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7AD131" w14:textId="0CA1B182" w:rsidR="009F361B" w:rsidRDefault="009F361B" w:rsidP="006B60DB">
      <w:pPr>
        <w:rPr>
          <w:lang w:val="en-US"/>
        </w:rPr>
      </w:pPr>
      <w:r w:rsidRPr="009F361B">
        <w:rPr>
          <w:lang w:val="en-US"/>
        </w:rPr>
        <w:t>Pre-print m</w:t>
      </w:r>
      <w:r>
        <w:rPr>
          <w:lang w:val="en-US"/>
        </w:rPr>
        <w:t>a</w:t>
      </w:r>
      <w:r w:rsidRPr="009F361B">
        <w:rPr>
          <w:lang w:val="en-US"/>
        </w:rPr>
        <w:t>nusc</w:t>
      </w:r>
      <w:r>
        <w:rPr>
          <w:lang w:val="en-US"/>
        </w:rPr>
        <w:t>ript</w:t>
      </w:r>
    </w:p>
    <w:p w14:paraId="624923FD" w14:textId="77777777" w:rsidR="009F361B" w:rsidRPr="009F361B" w:rsidRDefault="009F361B" w:rsidP="006B60DB">
      <w:pPr>
        <w:rPr>
          <w:lang w:val="en-US"/>
        </w:rPr>
      </w:pPr>
    </w:p>
    <w:p w14:paraId="5798BCC9" w14:textId="13944E2D" w:rsidR="006B60DB" w:rsidRPr="009F361B" w:rsidRDefault="009F361B" w:rsidP="006B60DB">
      <w:pPr>
        <w:rPr>
          <w:lang w:val="en-US"/>
        </w:rPr>
      </w:pPr>
      <w:r>
        <w:rPr>
          <w:lang w:val="en-US"/>
        </w:rPr>
        <w:t xml:space="preserve">Title: </w:t>
      </w:r>
      <w:r w:rsidR="006B60DB" w:rsidRPr="009F361B">
        <w:rPr>
          <w:lang w:val="en-US"/>
        </w:rPr>
        <w:t xml:space="preserve">AUTHOR REPLY </w:t>
      </w:r>
    </w:p>
    <w:p w14:paraId="51843742" w14:textId="61E2E476" w:rsidR="006B60DB" w:rsidRDefault="006B60DB" w:rsidP="006B60DB">
      <w:proofErr w:type="spellStart"/>
      <w:r>
        <w:t>Authors</w:t>
      </w:r>
      <w:proofErr w:type="spellEnd"/>
      <w:r>
        <w:t xml:space="preserve">: </w:t>
      </w:r>
      <w:r w:rsidRPr="006B60DB">
        <w:t xml:space="preserve">Giancarlo Marra, Alessandro </w:t>
      </w:r>
      <w:proofErr w:type="spellStart"/>
      <w:r w:rsidRPr="006B60DB">
        <w:t>Marquis</w:t>
      </w:r>
      <w:proofErr w:type="spellEnd"/>
      <w:r w:rsidRPr="006B60DB">
        <w:t>, Giorgio</w:t>
      </w:r>
      <w:r>
        <w:t xml:space="preserve"> </w:t>
      </w:r>
      <w:r w:rsidRPr="006B60DB">
        <w:t>Calleris, Marco Oderda, Paolo Gontero, Department of</w:t>
      </w:r>
      <w:r>
        <w:t xml:space="preserve"> </w:t>
      </w:r>
      <w:r w:rsidRPr="006B60DB">
        <w:t xml:space="preserve">Urology, San Giovanni Battista Hospital, </w:t>
      </w:r>
    </w:p>
    <w:p w14:paraId="5848C6E7" w14:textId="30EB2D82" w:rsidR="006B60DB" w:rsidRDefault="006B60DB" w:rsidP="006B60DB">
      <w:proofErr w:type="spellStart"/>
      <w:r>
        <w:t>Affiliations</w:t>
      </w:r>
      <w:proofErr w:type="spellEnd"/>
      <w:r>
        <w:t xml:space="preserve">: </w:t>
      </w:r>
      <w:r w:rsidRPr="006B60DB">
        <w:t>Cit</w:t>
      </w:r>
      <w:r>
        <w:t>tà</w:t>
      </w:r>
      <w:r w:rsidRPr="006B60DB">
        <w:t xml:space="preserve"> della Salute e</w:t>
      </w:r>
      <w:r>
        <w:t xml:space="preserve"> </w:t>
      </w:r>
      <w:r w:rsidRPr="006B60DB">
        <w:t xml:space="preserve">della Scienza and University of Turin, Turin, </w:t>
      </w:r>
      <w:proofErr w:type="spellStart"/>
      <w:r w:rsidRPr="006B60DB">
        <w:t>Italy</w:t>
      </w:r>
      <w:proofErr w:type="spellEnd"/>
      <w:r w:rsidRPr="006B60DB">
        <w:t xml:space="preserve"> </w:t>
      </w:r>
    </w:p>
    <w:p w14:paraId="10F77E65" w14:textId="77777777" w:rsidR="006B60DB" w:rsidRDefault="006B60DB" w:rsidP="006B60DB">
      <w:pPr>
        <w:rPr>
          <w:lang w:val="en-US"/>
        </w:rPr>
      </w:pPr>
      <w:r>
        <w:rPr>
          <w:lang w:val="en-US"/>
        </w:rPr>
        <w:t>Text:</w:t>
      </w:r>
    </w:p>
    <w:p w14:paraId="27EA0240" w14:textId="633F5D9F" w:rsidR="006B60DB" w:rsidRDefault="006B60DB" w:rsidP="006B60DB">
      <w:pPr>
        <w:rPr>
          <w:lang w:val="en-US"/>
        </w:rPr>
      </w:pPr>
      <w:r w:rsidRPr="006B60DB">
        <w:rPr>
          <w:lang w:val="en-US"/>
        </w:rPr>
        <w:t>We would like to thank the authors for their comment. Our</w:t>
      </w:r>
      <w:r>
        <w:rPr>
          <w:lang w:val="en-US"/>
        </w:rPr>
        <w:t xml:space="preserve"> </w:t>
      </w:r>
      <w:r w:rsidRPr="006B60DB">
        <w:rPr>
          <w:lang w:val="en-US"/>
        </w:rPr>
        <w:t>viewpoint is low complications and negligible infections may</w:t>
      </w:r>
      <w:r>
        <w:rPr>
          <w:lang w:val="en-US"/>
        </w:rPr>
        <w:t xml:space="preserve"> </w:t>
      </w:r>
      <w:r w:rsidRPr="006B60DB">
        <w:rPr>
          <w:lang w:val="en-US"/>
        </w:rPr>
        <w:t>favor the use of transperineal (TP). Nonetheless, no level 1 evidence</w:t>
      </w:r>
      <w:r>
        <w:rPr>
          <w:lang w:val="en-US"/>
        </w:rPr>
        <w:t xml:space="preserve"> </w:t>
      </w:r>
      <w:r w:rsidRPr="006B60DB">
        <w:rPr>
          <w:lang w:val="en-US"/>
        </w:rPr>
        <w:t>currently proves TP superiority over transrectal biopsies.</w:t>
      </w:r>
      <w:r>
        <w:rPr>
          <w:lang w:val="en-US"/>
        </w:rPr>
        <w:t xml:space="preserve"> </w:t>
      </w:r>
      <w:r w:rsidRPr="006B60DB">
        <w:rPr>
          <w:lang w:val="en-US"/>
        </w:rPr>
        <w:t>With data concerning TP biopsy feasibility now being mature,</w:t>
      </w:r>
      <w:r>
        <w:rPr>
          <w:lang w:val="en-US"/>
        </w:rPr>
        <w:t xml:space="preserve"> </w:t>
      </w:r>
      <w:r w:rsidRPr="006B60DB">
        <w:rPr>
          <w:lang w:val="en-US"/>
        </w:rPr>
        <w:t>properly designed randomized trials are awaited to eventually</w:t>
      </w:r>
      <w:r>
        <w:rPr>
          <w:lang w:val="en-US"/>
        </w:rPr>
        <w:t xml:space="preserve"> </w:t>
      </w:r>
      <w:r w:rsidRPr="006B60DB">
        <w:rPr>
          <w:lang w:val="en-US"/>
        </w:rPr>
        <w:t>overcome the transrectal approach.</w:t>
      </w:r>
      <w:r>
        <w:rPr>
          <w:lang w:val="en-US"/>
        </w:rPr>
        <w:t xml:space="preserve"> </w:t>
      </w:r>
      <w:r w:rsidRPr="006B60DB">
        <w:rPr>
          <w:lang w:val="en-US"/>
        </w:rPr>
        <w:t xml:space="preserve">Concerning the </w:t>
      </w:r>
      <w:proofErr w:type="spellStart"/>
      <w:r w:rsidRPr="006B60DB">
        <w:rPr>
          <w:lang w:val="en-US"/>
        </w:rPr>
        <w:t>PrecisionPoint</w:t>
      </w:r>
      <w:proofErr w:type="spellEnd"/>
      <w:r w:rsidRPr="006B60DB">
        <w:rPr>
          <w:lang w:val="en-US"/>
        </w:rPr>
        <w:t xml:space="preserve"> we have some doubts on the</w:t>
      </w:r>
      <w:r>
        <w:rPr>
          <w:lang w:val="en-US"/>
        </w:rPr>
        <w:t xml:space="preserve"> </w:t>
      </w:r>
      <w:r w:rsidRPr="006B60DB">
        <w:rPr>
          <w:lang w:val="en-US"/>
        </w:rPr>
        <w:t>issues raised by the authors.</w:t>
      </w:r>
      <w:r>
        <w:rPr>
          <w:lang w:val="en-US"/>
        </w:rPr>
        <w:t xml:space="preserve"> </w:t>
      </w:r>
      <w:r w:rsidRPr="006B60DB">
        <w:rPr>
          <w:lang w:val="en-US"/>
        </w:rPr>
        <w:t>First, when dealing with patient pain, limiting the number of</w:t>
      </w:r>
      <w:r>
        <w:rPr>
          <w:lang w:val="en-US"/>
        </w:rPr>
        <w:t xml:space="preserve"> </w:t>
      </w:r>
      <w:r w:rsidRPr="006B60DB">
        <w:rPr>
          <w:lang w:val="en-US"/>
        </w:rPr>
        <w:t>skin punctures may reduce patient discomfort. Nonetheless, in</w:t>
      </w:r>
      <w:r>
        <w:rPr>
          <w:lang w:val="en-US"/>
        </w:rPr>
        <w:t xml:space="preserve"> </w:t>
      </w:r>
      <w:r w:rsidRPr="006B60DB">
        <w:rPr>
          <w:lang w:val="en-US"/>
        </w:rPr>
        <w:t>our series pain was relatively low and higher at the moment of</w:t>
      </w:r>
      <w:r>
        <w:rPr>
          <w:lang w:val="en-US"/>
        </w:rPr>
        <w:t xml:space="preserve"> </w:t>
      </w:r>
      <w:r w:rsidRPr="006B60DB">
        <w:rPr>
          <w:lang w:val="en-US"/>
        </w:rPr>
        <w:t>local anesthesia: highest perceived pain did not depend on the</w:t>
      </w:r>
      <w:r>
        <w:rPr>
          <w:lang w:val="en-US"/>
        </w:rPr>
        <w:t xml:space="preserve"> </w:t>
      </w:r>
      <w:r w:rsidRPr="006B60DB">
        <w:rPr>
          <w:lang w:val="en-US"/>
        </w:rPr>
        <w:t>number of cores taken/skin punctures. Would a single access</w:t>
      </w:r>
      <w:r>
        <w:rPr>
          <w:lang w:val="en-US"/>
        </w:rPr>
        <w:t xml:space="preserve"> </w:t>
      </w:r>
      <w:r w:rsidRPr="006B60DB">
        <w:rPr>
          <w:lang w:val="en-US"/>
        </w:rPr>
        <w:t>really translate into clinically meaningful differences in terms of</w:t>
      </w:r>
      <w:r>
        <w:rPr>
          <w:lang w:val="en-US"/>
        </w:rPr>
        <w:t xml:space="preserve"> </w:t>
      </w:r>
      <w:r w:rsidRPr="006B60DB">
        <w:rPr>
          <w:lang w:val="en-US"/>
        </w:rPr>
        <w:t>pain? One small RCT has shown diminished biopsy pain using a</w:t>
      </w:r>
      <w:r>
        <w:rPr>
          <w:lang w:val="en-US"/>
        </w:rPr>
        <w:t xml:space="preserve"> </w:t>
      </w:r>
      <w:r w:rsidRPr="006B60DB">
        <w:rPr>
          <w:lang w:val="en-US"/>
        </w:rPr>
        <w:t>coaxial needle.1 However, reported VAS scores using Precision-</w:t>
      </w:r>
      <w:r>
        <w:rPr>
          <w:lang w:val="en-US"/>
        </w:rPr>
        <w:t xml:space="preserve"> </w:t>
      </w:r>
      <w:r w:rsidRPr="006B60DB">
        <w:rPr>
          <w:lang w:val="en-US"/>
        </w:rPr>
        <w:t>Point are comparable to ours.2</w:t>
      </w:r>
      <w:r>
        <w:rPr>
          <w:lang w:val="en-US"/>
        </w:rPr>
        <w:t xml:space="preserve"> </w:t>
      </w:r>
      <w:r w:rsidRPr="006B60DB">
        <w:rPr>
          <w:lang w:val="en-US"/>
        </w:rPr>
        <w:t>Second, from a diagnostic perspective, radical prostatectomy</w:t>
      </w:r>
      <w:r>
        <w:rPr>
          <w:lang w:val="en-US"/>
        </w:rPr>
        <w:t xml:space="preserve"> </w:t>
      </w:r>
      <w:r w:rsidRPr="006B60DB">
        <w:rPr>
          <w:lang w:val="en-US"/>
        </w:rPr>
        <w:t>specimen analysis shows only about 30% of cancers are located</w:t>
      </w:r>
      <w:r>
        <w:rPr>
          <w:lang w:val="en-US"/>
        </w:rPr>
        <w:t xml:space="preserve"> </w:t>
      </w:r>
      <w:r w:rsidRPr="006B60DB">
        <w:rPr>
          <w:lang w:val="en-US"/>
        </w:rPr>
        <w:t>solely in the anterior zone and mpMRI entails a good diagnostic</w:t>
      </w:r>
      <w:r>
        <w:rPr>
          <w:lang w:val="en-US"/>
        </w:rPr>
        <w:t xml:space="preserve"> </w:t>
      </w:r>
      <w:r w:rsidRPr="006B60DB">
        <w:rPr>
          <w:lang w:val="en-US"/>
        </w:rPr>
        <w:t>performance on these lesions.3 The impact of “random” anterior</w:t>
      </w:r>
      <w:r>
        <w:rPr>
          <w:lang w:val="en-US"/>
        </w:rPr>
        <w:t xml:space="preserve"> </w:t>
      </w:r>
      <w:r w:rsidRPr="006B60DB">
        <w:rPr>
          <w:lang w:val="en-US"/>
        </w:rPr>
        <w:t>zone sampling in case of negative mpMRI also remains unclear,</w:t>
      </w:r>
      <w:r>
        <w:rPr>
          <w:lang w:val="en-US"/>
        </w:rPr>
        <w:t xml:space="preserve"> </w:t>
      </w:r>
      <w:r w:rsidRPr="006B60DB">
        <w:rPr>
          <w:lang w:val="en-US"/>
        </w:rPr>
        <w:t>as recently shown by recent RCT in the context of active</w:t>
      </w:r>
      <w:r>
        <w:rPr>
          <w:lang w:val="en-US"/>
        </w:rPr>
        <w:t xml:space="preserve"> </w:t>
      </w:r>
      <w:r w:rsidRPr="006B60DB">
        <w:rPr>
          <w:lang w:val="en-US"/>
        </w:rPr>
        <w:t>surveillance.4</w:t>
      </w:r>
      <w:r>
        <w:rPr>
          <w:lang w:val="en-US"/>
        </w:rPr>
        <w:t xml:space="preserve"> </w:t>
      </w:r>
      <w:r w:rsidRPr="006B60DB">
        <w:rPr>
          <w:lang w:val="en-US"/>
        </w:rPr>
        <w:t>Third, we do not agree on the need of maintaining a fix plane</w:t>
      </w:r>
      <w:r>
        <w:rPr>
          <w:lang w:val="en-US"/>
        </w:rPr>
        <w:t xml:space="preserve"> </w:t>
      </w:r>
      <w:r w:rsidRPr="006B60DB">
        <w:rPr>
          <w:lang w:val="en-US"/>
        </w:rPr>
        <w:t>of the needle with the ultrasound probe as slight probe movements</w:t>
      </w:r>
      <w:r>
        <w:rPr>
          <w:lang w:val="en-US"/>
        </w:rPr>
        <w:t xml:space="preserve"> </w:t>
      </w:r>
      <w:r w:rsidRPr="006B60DB">
        <w:rPr>
          <w:lang w:val="en-US"/>
        </w:rPr>
        <w:t>usually allow an easy needle visualization in case it is initially</w:t>
      </w:r>
      <w:r>
        <w:rPr>
          <w:lang w:val="en-US"/>
        </w:rPr>
        <w:t xml:space="preserve"> </w:t>
      </w:r>
      <w:r w:rsidRPr="006B60DB">
        <w:rPr>
          <w:lang w:val="en-US"/>
        </w:rPr>
        <w:t>not seen. On the contrary, we do believe inserting the</w:t>
      </w:r>
      <w:r>
        <w:rPr>
          <w:lang w:val="en-US"/>
        </w:rPr>
        <w:t xml:space="preserve"> </w:t>
      </w:r>
      <w:r w:rsidRPr="006B60DB">
        <w:rPr>
          <w:lang w:val="en-US"/>
        </w:rPr>
        <w:t>needle through a “fixed” entry point and plane limits potential</w:t>
      </w:r>
      <w:r>
        <w:rPr>
          <w:lang w:val="en-US"/>
        </w:rPr>
        <w:t xml:space="preserve"> </w:t>
      </w:r>
      <w:r w:rsidRPr="006B60DB">
        <w:rPr>
          <w:lang w:val="en-US"/>
        </w:rPr>
        <w:t>movements and needle trajectories (</w:t>
      </w:r>
      <w:proofErr w:type="spellStart"/>
      <w:r w:rsidRPr="006B60DB">
        <w:rPr>
          <w:lang w:val="en-US"/>
        </w:rPr>
        <w:t>eg</w:t>
      </w:r>
      <w:proofErr w:type="spellEnd"/>
      <w:r w:rsidRPr="006B60DB">
        <w:rPr>
          <w:lang w:val="en-US"/>
        </w:rPr>
        <w:t>, needle being not parallel</w:t>
      </w:r>
      <w:r>
        <w:rPr>
          <w:lang w:val="en-US"/>
        </w:rPr>
        <w:t xml:space="preserve"> </w:t>
      </w:r>
      <w:r w:rsidRPr="006B60DB">
        <w:rPr>
          <w:lang w:val="en-US"/>
        </w:rPr>
        <w:t>to the ultrasound probe). This may be important, especially</w:t>
      </w:r>
      <w:r>
        <w:rPr>
          <w:lang w:val="en-US"/>
        </w:rPr>
        <w:t xml:space="preserve"> </w:t>
      </w:r>
      <w:r w:rsidRPr="006B60DB">
        <w:rPr>
          <w:lang w:val="en-US"/>
        </w:rPr>
        <w:t>when sampling the anterior prostate in case of big glands due to</w:t>
      </w:r>
      <w:r>
        <w:rPr>
          <w:lang w:val="en-US"/>
        </w:rPr>
        <w:t xml:space="preserve"> </w:t>
      </w:r>
      <w:r w:rsidRPr="006B60DB">
        <w:rPr>
          <w:lang w:val="en-US"/>
        </w:rPr>
        <w:t>pubic arch interference.</w:t>
      </w:r>
      <w:r>
        <w:rPr>
          <w:lang w:val="en-US"/>
        </w:rPr>
        <w:t xml:space="preserve"> </w:t>
      </w:r>
      <w:r w:rsidRPr="006B60DB">
        <w:rPr>
          <w:lang w:val="en-US"/>
        </w:rPr>
        <w:t>Fourth, we do have the perception learning curve for TP</w:t>
      </w:r>
      <w:r>
        <w:rPr>
          <w:lang w:val="en-US"/>
        </w:rPr>
        <w:t xml:space="preserve"> </w:t>
      </w:r>
      <w:r w:rsidRPr="006B60DB">
        <w:rPr>
          <w:lang w:val="en-US"/>
        </w:rPr>
        <w:t>biopsy is short, although this has not been properly detailed yet.</w:t>
      </w:r>
      <w:r>
        <w:rPr>
          <w:lang w:val="en-US"/>
        </w:rPr>
        <w:t xml:space="preserve"> </w:t>
      </w:r>
      <w:r w:rsidRPr="006B60DB">
        <w:rPr>
          <w:lang w:val="en-US"/>
        </w:rPr>
        <w:t>In our center we have been performing TP biopsies for more</w:t>
      </w:r>
      <w:r>
        <w:rPr>
          <w:lang w:val="en-US"/>
        </w:rPr>
        <w:t xml:space="preserve"> </w:t>
      </w:r>
      <w:r w:rsidRPr="006B60DB">
        <w:rPr>
          <w:lang w:val="en-US"/>
        </w:rPr>
        <w:t>than 10 years and TP are one of the first procedures learnt by residents.</w:t>
      </w:r>
      <w:r>
        <w:rPr>
          <w:lang w:val="en-US"/>
        </w:rPr>
        <w:t xml:space="preserve"> </w:t>
      </w:r>
      <w:r w:rsidRPr="006B60DB">
        <w:rPr>
          <w:lang w:val="en-US"/>
        </w:rPr>
        <w:t>Fifth, an ideal diagnostic procedure should be cost effective.</w:t>
      </w:r>
      <w:r>
        <w:rPr>
          <w:lang w:val="en-US"/>
        </w:rPr>
        <w:t xml:space="preserve"> </w:t>
      </w:r>
      <w:r w:rsidRPr="006B60DB">
        <w:rPr>
          <w:lang w:val="en-US"/>
        </w:rPr>
        <w:t>Precision Point is a non−re-usable device and its use would</w:t>
      </w:r>
      <w:r>
        <w:rPr>
          <w:lang w:val="en-US"/>
        </w:rPr>
        <w:t xml:space="preserve"> </w:t>
      </w:r>
      <w:r w:rsidRPr="006B60DB">
        <w:rPr>
          <w:lang w:val="en-US"/>
        </w:rPr>
        <w:t>increase the cost of approximately $250 per procedure.</w:t>
      </w:r>
      <w:r>
        <w:rPr>
          <w:lang w:val="en-US"/>
        </w:rPr>
        <w:t xml:space="preserve"> </w:t>
      </w:r>
      <w:r w:rsidRPr="006B60DB">
        <w:rPr>
          <w:lang w:val="en-US"/>
        </w:rPr>
        <w:t>To conclude, although we do not have any experience with</w:t>
      </w:r>
      <w:r>
        <w:rPr>
          <w:lang w:val="en-US"/>
        </w:rPr>
        <w:t xml:space="preserve"> </w:t>
      </w:r>
      <w:proofErr w:type="spellStart"/>
      <w:r w:rsidRPr="006B60DB">
        <w:rPr>
          <w:lang w:val="en-US"/>
        </w:rPr>
        <w:t>PrecisionPoint</w:t>
      </w:r>
      <w:proofErr w:type="spellEnd"/>
      <w:r w:rsidRPr="006B60DB">
        <w:rPr>
          <w:lang w:val="en-US"/>
        </w:rPr>
        <w:t xml:space="preserve"> and recognize this as a limitation, we are unsure</w:t>
      </w:r>
      <w:r>
        <w:rPr>
          <w:lang w:val="en-US"/>
        </w:rPr>
        <w:t xml:space="preserve"> </w:t>
      </w:r>
      <w:r w:rsidRPr="006B60DB">
        <w:rPr>
          <w:lang w:val="en-US"/>
        </w:rPr>
        <w:t>its use allows relevant advantages and this will need to be clearly</w:t>
      </w:r>
      <w:r>
        <w:rPr>
          <w:lang w:val="en-US"/>
        </w:rPr>
        <w:t xml:space="preserve"> </w:t>
      </w:r>
      <w:r w:rsidRPr="006B60DB">
        <w:rPr>
          <w:lang w:val="en-US"/>
        </w:rPr>
        <w:t>proven to justify its costs, as TP biopsies are feasible free-hand.</w:t>
      </w:r>
      <w:r>
        <w:rPr>
          <w:lang w:val="en-US"/>
        </w:rPr>
        <w:t xml:space="preserve"> </w:t>
      </w:r>
      <w:r w:rsidRPr="006B60DB">
        <w:rPr>
          <w:lang w:val="en-US"/>
        </w:rPr>
        <w:t>This said, we are performing further analyses for more than a</w:t>
      </w:r>
      <w:r>
        <w:rPr>
          <w:lang w:val="en-US"/>
        </w:rPr>
        <w:t xml:space="preserve"> </w:t>
      </w:r>
      <w:r w:rsidRPr="006B60DB">
        <w:rPr>
          <w:lang w:val="en-US"/>
        </w:rPr>
        <w:t>n = 1000 prospective multicenter free-hand cases concerning</w:t>
      </w:r>
      <w:r>
        <w:rPr>
          <w:lang w:val="en-US"/>
        </w:rPr>
        <w:t xml:space="preserve"> </w:t>
      </w:r>
      <w:r w:rsidRPr="006B60DB">
        <w:rPr>
          <w:lang w:val="en-US"/>
        </w:rPr>
        <w:t>pain and learning curves and we will hopefully clarify some of</w:t>
      </w:r>
      <w:r>
        <w:rPr>
          <w:lang w:val="en-US"/>
        </w:rPr>
        <w:t xml:space="preserve"> </w:t>
      </w:r>
      <w:r w:rsidRPr="006B60DB">
        <w:rPr>
          <w:lang w:val="en-US"/>
        </w:rPr>
        <w:t>the points under discussion.</w:t>
      </w:r>
      <w:r>
        <w:rPr>
          <w:lang w:val="en-US"/>
        </w:rPr>
        <w:t xml:space="preserve"> </w:t>
      </w:r>
      <w:r w:rsidRPr="006B60DB">
        <w:rPr>
          <w:lang w:val="en-US"/>
        </w:rPr>
        <w:t>Indeed, with the expansion of TP biopsy all the issues discussed</w:t>
      </w:r>
      <w:r>
        <w:rPr>
          <w:lang w:val="en-US"/>
        </w:rPr>
        <w:t xml:space="preserve"> </w:t>
      </w:r>
      <w:r w:rsidRPr="006B60DB">
        <w:rPr>
          <w:lang w:val="en-US"/>
        </w:rPr>
        <w:t>will likely become more and more relevant in the near</w:t>
      </w:r>
      <w:r>
        <w:rPr>
          <w:lang w:val="en-US"/>
        </w:rPr>
        <w:t xml:space="preserve"> </w:t>
      </w:r>
      <w:r w:rsidRPr="006B60DB">
        <w:rPr>
          <w:lang w:val="en-US"/>
        </w:rPr>
        <w:t>future and we should all work together to solve uncertainty and</w:t>
      </w:r>
      <w:r>
        <w:rPr>
          <w:lang w:val="en-US"/>
        </w:rPr>
        <w:t xml:space="preserve"> </w:t>
      </w:r>
      <w:r w:rsidRPr="006B60DB">
        <w:rPr>
          <w:lang w:val="en-US"/>
        </w:rPr>
        <w:t xml:space="preserve">improve patient care. </w:t>
      </w:r>
    </w:p>
    <w:p w14:paraId="44BC6639" w14:textId="77777777" w:rsidR="006B60DB" w:rsidRDefault="006B60DB" w:rsidP="006B60DB">
      <w:proofErr w:type="spellStart"/>
      <w:r w:rsidRPr="006B60DB">
        <w:t>References</w:t>
      </w:r>
      <w:proofErr w:type="spellEnd"/>
      <w:r>
        <w:t xml:space="preserve"> </w:t>
      </w:r>
    </w:p>
    <w:p w14:paraId="4580D2FC" w14:textId="77777777" w:rsidR="006B60DB" w:rsidRDefault="006B60DB" w:rsidP="006B60DB">
      <w:pPr>
        <w:rPr>
          <w:lang w:val="en-US"/>
        </w:rPr>
      </w:pPr>
      <w:r w:rsidRPr="006B60DB">
        <w:t xml:space="preserve">1. Novella G, Ficarra V, Galfano A, et al. </w:t>
      </w:r>
      <w:r w:rsidRPr="006B60DB">
        <w:rPr>
          <w:lang w:val="en-US"/>
        </w:rPr>
        <w:t>Pain assessment after original</w:t>
      </w:r>
      <w:r>
        <w:rPr>
          <w:lang w:val="en-US"/>
        </w:rPr>
        <w:t xml:space="preserve"> </w:t>
      </w:r>
      <w:r w:rsidRPr="006B60DB">
        <w:rPr>
          <w:lang w:val="en-US"/>
        </w:rPr>
        <w:t>transperineal prostate biopsy using a coaxial needle. Urology.</w:t>
      </w:r>
      <w:r>
        <w:rPr>
          <w:lang w:val="en-US"/>
        </w:rPr>
        <w:t xml:space="preserve"> </w:t>
      </w:r>
      <w:r w:rsidRPr="006B60DB">
        <w:rPr>
          <w:lang w:val="en-US"/>
        </w:rPr>
        <w:t>2003;62:689–692.</w:t>
      </w:r>
      <w:r>
        <w:rPr>
          <w:lang w:val="en-US"/>
        </w:rPr>
        <w:t xml:space="preserve"> </w:t>
      </w:r>
    </w:p>
    <w:p w14:paraId="58CDEBBA" w14:textId="77777777" w:rsidR="006B60DB" w:rsidRDefault="006B60DB" w:rsidP="006B60DB">
      <w:pPr>
        <w:rPr>
          <w:lang w:val="fr-FR"/>
        </w:rPr>
      </w:pPr>
      <w:r w:rsidRPr="006B60DB">
        <w:rPr>
          <w:lang w:val="en-US"/>
        </w:rPr>
        <w:lastRenderedPageBreak/>
        <w:t xml:space="preserve">2. Kum F, Elhage O, </w:t>
      </w:r>
      <w:proofErr w:type="spellStart"/>
      <w:r w:rsidRPr="006B60DB">
        <w:rPr>
          <w:lang w:val="en-US"/>
        </w:rPr>
        <w:t>Maliyil</w:t>
      </w:r>
      <w:proofErr w:type="spellEnd"/>
      <w:r w:rsidRPr="006B60DB">
        <w:rPr>
          <w:lang w:val="en-US"/>
        </w:rPr>
        <w:t xml:space="preserve"> J, et al. Initial outcomes of local </w:t>
      </w:r>
      <w:proofErr w:type="spellStart"/>
      <w:r w:rsidRPr="006B60DB">
        <w:rPr>
          <w:lang w:val="en-US"/>
        </w:rPr>
        <w:t>anaesthetic</w:t>
      </w:r>
      <w:proofErr w:type="spellEnd"/>
      <w:r>
        <w:rPr>
          <w:lang w:val="en-US"/>
        </w:rPr>
        <w:t xml:space="preserve"> </w:t>
      </w:r>
      <w:r w:rsidRPr="006B60DB">
        <w:rPr>
          <w:lang w:val="en-US"/>
        </w:rPr>
        <w:t xml:space="preserve">freehand transperineal prostate biopsies in the outpatient setting. </w:t>
      </w:r>
      <w:r w:rsidRPr="006B60DB">
        <w:rPr>
          <w:lang w:val="fr-FR"/>
        </w:rPr>
        <w:t>BJU</w:t>
      </w:r>
      <w:r>
        <w:rPr>
          <w:lang w:val="fr-FR"/>
        </w:rPr>
        <w:t xml:space="preserve"> </w:t>
      </w:r>
      <w:r w:rsidRPr="006B60DB">
        <w:rPr>
          <w:lang w:val="fr-FR"/>
        </w:rPr>
        <w:t>Int. 2020;125:244–252.</w:t>
      </w:r>
      <w:r>
        <w:rPr>
          <w:lang w:val="fr-FR"/>
        </w:rPr>
        <w:t xml:space="preserve"> </w:t>
      </w:r>
    </w:p>
    <w:p w14:paraId="188D5133" w14:textId="77777777" w:rsidR="006B60DB" w:rsidRDefault="006B60DB" w:rsidP="006B60DB">
      <w:r w:rsidRPr="006B60DB">
        <w:rPr>
          <w:lang w:val="fr-FR"/>
        </w:rPr>
        <w:t xml:space="preserve">3. Kim M, Choi SK, Park M, et al. </w:t>
      </w:r>
      <w:r w:rsidRPr="006B60DB">
        <w:rPr>
          <w:lang w:val="en-US"/>
        </w:rPr>
        <w:t>Characteristics of anteriorly located</w:t>
      </w:r>
      <w:r>
        <w:rPr>
          <w:lang w:val="en-US"/>
        </w:rPr>
        <w:t xml:space="preserve"> </w:t>
      </w:r>
      <w:r w:rsidRPr="006B60DB">
        <w:rPr>
          <w:lang w:val="en-US"/>
        </w:rPr>
        <w:t>prostate cancer and the usefulness of multiparametric magnetic resonance</w:t>
      </w:r>
      <w:r>
        <w:rPr>
          <w:lang w:val="en-US"/>
        </w:rPr>
        <w:t xml:space="preserve"> </w:t>
      </w:r>
      <w:r w:rsidRPr="006B60DB">
        <w:rPr>
          <w:lang w:val="en-US"/>
        </w:rPr>
        <w:t xml:space="preserve">imaging for diagnosis. </w:t>
      </w:r>
      <w:r w:rsidRPr="006B60DB">
        <w:t xml:space="preserve">J </w:t>
      </w:r>
      <w:proofErr w:type="spellStart"/>
      <w:r w:rsidRPr="006B60DB">
        <w:t>Urol</w:t>
      </w:r>
      <w:proofErr w:type="spellEnd"/>
      <w:r w:rsidRPr="006B60DB">
        <w:t xml:space="preserve">. 2016;196:367–373. </w:t>
      </w:r>
    </w:p>
    <w:p w14:paraId="0D28C18C" w14:textId="6F95D2E6" w:rsidR="009F361B" w:rsidRDefault="006B60DB" w:rsidP="006B60DB">
      <w:pPr>
        <w:rPr>
          <w:lang w:val="en-US"/>
        </w:rPr>
      </w:pPr>
      <w:r w:rsidRPr="006B60DB">
        <w:t xml:space="preserve">4. Bratt O, Holmberg E, </w:t>
      </w:r>
      <w:proofErr w:type="spellStart"/>
      <w:r w:rsidRPr="006B60DB">
        <w:t>Andr_en</w:t>
      </w:r>
      <w:proofErr w:type="spellEnd"/>
      <w:r w:rsidRPr="006B60DB">
        <w:t xml:space="preserve"> O, et al. </w:t>
      </w:r>
      <w:r w:rsidRPr="006B60DB">
        <w:rPr>
          <w:lang w:val="en-US"/>
        </w:rPr>
        <w:t>The value of an extensive</w:t>
      </w:r>
      <w:r>
        <w:rPr>
          <w:lang w:val="en-US"/>
        </w:rPr>
        <w:t xml:space="preserve"> </w:t>
      </w:r>
      <w:r w:rsidRPr="006B60DB">
        <w:rPr>
          <w:lang w:val="en-US"/>
        </w:rPr>
        <w:t>transrectal repeat biopsy with anterior sampling in men on active surveillance</w:t>
      </w:r>
      <w:r>
        <w:rPr>
          <w:lang w:val="en-US"/>
        </w:rPr>
        <w:t xml:space="preserve"> </w:t>
      </w:r>
      <w:r w:rsidRPr="006B60DB">
        <w:rPr>
          <w:lang w:val="en-US"/>
        </w:rPr>
        <w:t xml:space="preserve">for low-risk prostate cancer: a comparison from the </w:t>
      </w:r>
      <w:proofErr w:type="spellStart"/>
      <w:r w:rsidRPr="006B60DB">
        <w:rPr>
          <w:lang w:val="en-US"/>
        </w:rPr>
        <w:t>randomised</w:t>
      </w:r>
      <w:proofErr w:type="spellEnd"/>
      <w:r>
        <w:rPr>
          <w:lang w:val="en-US"/>
        </w:rPr>
        <w:t xml:space="preserve"> </w:t>
      </w:r>
      <w:r w:rsidRPr="006B60DB">
        <w:rPr>
          <w:lang w:val="en-US"/>
        </w:rPr>
        <w:t xml:space="preserve">Study of Active Monitoring in Sweden (SAMS). </w:t>
      </w:r>
      <w:proofErr w:type="spellStart"/>
      <w:r w:rsidRPr="006B60DB">
        <w:rPr>
          <w:lang w:val="en-US"/>
        </w:rPr>
        <w:t>Eur</w:t>
      </w:r>
      <w:proofErr w:type="spellEnd"/>
      <w:r w:rsidRPr="006B60DB">
        <w:rPr>
          <w:lang w:val="en-US"/>
        </w:rPr>
        <w:t xml:space="preserve"> Urol. 2019;76:461–466. </w:t>
      </w:r>
    </w:p>
    <w:sectPr w:rsidR="009F361B" w:rsidSect="00385E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0DB"/>
    <w:rsid w:val="00051CEB"/>
    <w:rsid w:val="002914F1"/>
    <w:rsid w:val="00385EF4"/>
    <w:rsid w:val="003A6A26"/>
    <w:rsid w:val="003C6B7F"/>
    <w:rsid w:val="003C7E0E"/>
    <w:rsid w:val="003E762A"/>
    <w:rsid w:val="004D67F4"/>
    <w:rsid w:val="005C421A"/>
    <w:rsid w:val="006118BE"/>
    <w:rsid w:val="006B60DB"/>
    <w:rsid w:val="009F361B"/>
    <w:rsid w:val="00A351BB"/>
    <w:rsid w:val="00F03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BF051"/>
  <w15:chartTrackingRefBased/>
  <w15:docId w15:val="{EF9B2B53-CF72-45C8-8E0C-F4B9C46DA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421A"/>
    <w:rPr>
      <w:rFonts w:ascii="Times New Roman" w:hAnsi="Times New Roman"/>
      <w:kern w:val="0"/>
      <w:sz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B60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B60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B60D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B60D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B60D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B60D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B60D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B60D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B60D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e"/>
    <w:link w:val="EndNoteBibliographyTitleCarattere"/>
    <w:autoRedefine/>
    <w:qFormat/>
    <w:rsid w:val="00051CEB"/>
    <w:pPr>
      <w:spacing w:after="0"/>
      <w:jc w:val="center"/>
    </w:pPr>
    <w:rPr>
      <w:rFonts w:cs="Times New Roman"/>
      <w:noProof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051CEB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e"/>
    <w:link w:val="EndNoteBibliographyCarattere"/>
    <w:autoRedefine/>
    <w:qFormat/>
    <w:rsid w:val="00051CEB"/>
    <w:pPr>
      <w:spacing w:line="240" w:lineRule="auto"/>
      <w:ind w:left="720" w:hanging="720"/>
    </w:pPr>
    <w:rPr>
      <w:rFonts w:cs="Times New Roman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051CEB"/>
    <w:rPr>
      <w:rFonts w:ascii="Times New Roman" w:hAnsi="Times New Roman" w:cs="Times New Roman"/>
      <w:noProof/>
      <w:sz w:val="24"/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B60DB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B60DB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B60DB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B60DB"/>
    <w:rPr>
      <w:rFonts w:eastAsiaTheme="majorEastAsia" w:cstheme="majorBidi"/>
      <w:i/>
      <w:iCs/>
      <w:color w:val="0F4761" w:themeColor="accent1" w:themeShade="BF"/>
      <w:kern w:val="0"/>
      <w:sz w:val="24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B60DB"/>
    <w:rPr>
      <w:rFonts w:eastAsiaTheme="majorEastAsia" w:cstheme="majorBidi"/>
      <w:color w:val="0F4761" w:themeColor="accent1" w:themeShade="BF"/>
      <w:kern w:val="0"/>
      <w:sz w:val="24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B60DB"/>
    <w:rPr>
      <w:rFonts w:eastAsiaTheme="majorEastAsia" w:cstheme="majorBidi"/>
      <w:i/>
      <w:iCs/>
      <w:color w:val="595959" w:themeColor="text1" w:themeTint="A6"/>
      <w:kern w:val="0"/>
      <w:sz w:val="24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B60DB"/>
    <w:rPr>
      <w:rFonts w:eastAsiaTheme="majorEastAsia" w:cstheme="majorBidi"/>
      <w:color w:val="595959" w:themeColor="text1" w:themeTint="A6"/>
      <w:kern w:val="0"/>
      <w:sz w:val="24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B60DB"/>
    <w:rPr>
      <w:rFonts w:eastAsiaTheme="majorEastAsia" w:cstheme="majorBidi"/>
      <w:i/>
      <w:iCs/>
      <w:color w:val="272727" w:themeColor="text1" w:themeTint="D8"/>
      <w:kern w:val="0"/>
      <w:sz w:val="24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B60DB"/>
    <w:rPr>
      <w:rFonts w:eastAsiaTheme="majorEastAsia" w:cstheme="majorBidi"/>
      <w:color w:val="272727" w:themeColor="text1" w:themeTint="D8"/>
      <w:kern w:val="0"/>
      <w:sz w:val="24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6B60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B60DB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B60D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B60DB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B60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B60DB"/>
    <w:rPr>
      <w:rFonts w:ascii="Times New Roman" w:hAnsi="Times New Roman"/>
      <w:i/>
      <w:iCs/>
      <w:color w:val="404040" w:themeColor="text1" w:themeTint="BF"/>
      <w:kern w:val="0"/>
      <w:sz w:val="24"/>
      <w14:ligatures w14:val="none"/>
    </w:rPr>
  </w:style>
  <w:style w:type="paragraph" w:styleId="Paragrafoelenco">
    <w:name w:val="List Paragraph"/>
    <w:basedOn w:val="Normale"/>
    <w:uiPriority w:val="34"/>
    <w:qFormat/>
    <w:rsid w:val="006B60D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B60D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B60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B60DB"/>
    <w:rPr>
      <w:rFonts w:ascii="Times New Roman" w:hAnsi="Times New Roman"/>
      <w:i/>
      <w:iCs/>
      <w:color w:val="0F4761" w:themeColor="accent1" w:themeShade="BF"/>
      <w:kern w:val="0"/>
      <w:sz w:val="24"/>
      <w14:ligatures w14:val="none"/>
    </w:rPr>
  </w:style>
  <w:style w:type="character" w:styleId="Riferimentointenso">
    <w:name w:val="Intense Reference"/>
    <w:basedOn w:val="Carpredefinitoparagrafo"/>
    <w:uiPriority w:val="32"/>
    <w:qFormat/>
    <w:rsid w:val="006B60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3534</Characters>
  <Application>Microsoft Office Word</Application>
  <DocSecurity>0</DocSecurity>
  <Lines>29</Lines>
  <Paragraphs>8</Paragraphs>
  <ScaleCrop>false</ScaleCrop>
  <Company/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 Calleris</dc:creator>
  <cp:keywords/>
  <dc:description/>
  <cp:lastModifiedBy>Giorgio  Calleris</cp:lastModifiedBy>
  <cp:revision>2</cp:revision>
  <dcterms:created xsi:type="dcterms:W3CDTF">2025-05-04T17:43:00Z</dcterms:created>
  <dcterms:modified xsi:type="dcterms:W3CDTF">2025-05-04T17:46:00Z</dcterms:modified>
</cp:coreProperties>
</file>