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21BE25" w14:textId="4A58AAEB" w:rsidR="00D60CF5" w:rsidRPr="000C008B" w:rsidRDefault="000C008B" w:rsidP="000C008B">
      <w:pPr>
        <w:pStyle w:val="Titolo"/>
        <w:rPr>
          <w:lang w:val="en-US"/>
        </w:rPr>
      </w:pPr>
      <w:r w:rsidRPr="000C008B">
        <w:rPr>
          <w:rStyle w:val="cf01"/>
          <w:rFonts w:ascii="Times New Roman" w:hAnsi="Times New Roman" w:cstheme="majorBidi"/>
          <w:sz w:val="56"/>
          <w:szCs w:val="56"/>
          <w:lang w:val="en-US"/>
        </w:rPr>
        <w:t>A novel statistical approach for upper-limb movement segmentation using a single wrist-worn magneto-inertial measurement unit</w:t>
      </w:r>
    </w:p>
    <w:p w14:paraId="138877CC" w14:textId="3F1403EA" w:rsidR="00D60CF5" w:rsidRPr="003F0B10" w:rsidRDefault="00D60CF5" w:rsidP="00FC71AA">
      <w:pPr>
        <w:spacing w:afterLines="50" w:after="120" w:line="360" w:lineRule="auto"/>
        <w:rPr>
          <w:rFonts w:cs="Times New Roman"/>
          <w:sz w:val="24"/>
          <w:szCs w:val="24"/>
        </w:rPr>
      </w:pPr>
      <w:r w:rsidRPr="275B6A1F">
        <w:rPr>
          <w:rFonts w:cs="Times New Roman"/>
          <w:sz w:val="24"/>
          <w:szCs w:val="24"/>
        </w:rPr>
        <w:t>Gregorio DOTTI</w:t>
      </w:r>
      <w:r w:rsidRPr="275B6A1F">
        <w:rPr>
          <w:rFonts w:cs="Times New Roman"/>
          <w:sz w:val="24"/>
          <w:szCs w:val="24"/>
          <w:vertAlign w:val="superscript"/>
        </w:rPr>
        <w:t>1</w:t>
      </w:r>
      <w:r w:rsidRPr="275B6A1F">
        <w:rPr>
          <w:rFonts w:cs="Times New Roman"/>
          <w:sz w:val="24"/>
          <w:szCs w:val="24"/>
        </w:rPr>
        <w:t>, Marco GHISLIERI</w:t>
      </w:r>
      <w:r w:rsidRPr="275B6A1F">
        <w:rPr>
          <w:rFonts w:cs="Times New Roman"/>
          <w:sz w:val="24"/>
          <w:szCs w:val="24"/>
          <w:vertAlign w:val="superscript"/>
        </w:rPr>
        <w:t>1</w:t>
      </w:r>
      <w:r w:rsidR="00237C3F">
        <w:rPr>
          <w:rFonts w:cs="Times New Roman"/>
          <w:sz w:val="24"/>
          <w:szCs w:val="24"/>
        </w:rPr>
        <w:t>,</w:t>
      </w:r>
      <w:r w:rsidRPr="275B6A1F">
        <w:rPr>
          <w:rFonts w:cs="Times New Roman"/>
          <w:sz w:val="24"/>
          <w:szCs w:val="24"/>
        </w:rPr>
        <w:t xml:space="preserve"> and Marco KNAFLITZ</w:t>
      </w:r>
      <w:r w:rsidRPr="275B6A1F">
        <w:rPr>
          <w:rFonts w:cs="Times New Roman"/>
          <w:sz w:val="24"/>
          <w:szCs w:val="24"/>
          <w:vertAlign w:val="superscript"/>
        </w:rPr>
        <w:t>1</w:t>
      </w:r>
    </w:p>
    <w:p w14:paraId="75688561" w14:textId="46A1DB74" w:rsidR="00D60CF5" w:rsidRDefault="00D60CF5" w:rsidP="00FC71AA">
      <w:pPr>
        <w:spacing w:afterLines="50" w:after="120" w:line="360" w:lineRule="auto"/>
        <w:rPr>
          <w:rFonts w:cs="Times New Roman"/>
          <w:sz w:val="24"/>
          <w:szCs w:val="24"/>
          <w:lang w:val="en-US"/>
        </w:rPr>
      </w:pPr>
      <w:r w:rsidRPr="275B6A1F">
        <w:rPr>
          <w:rFonts w:cs="Times New Roman"/>
          <w:sz w:val="24"/>
          <w:szCs w:val="24"/>
          <w:vertAlign w:val="superscript"/>
          <w:lang w:val="en-US"/>
        </w:rPr>
        <w:t xml:space="preserve">1 </w:t>
      </w:r>
      <w:proofErr w:type="spellStart"/>
      <w:r w:rsidRPr="275B6A1F">
        <w:rPr>
          <w:rFonts w:cs="Times New Roman"/>
          <w:sz w:val="24"/>
          <w:szCs w:val="24"/>
          <w:lang w:val="en-US"/>
        </w:rPr>
        <w:t>Politecnico</w:t>
      </w:r>
      <w:proofErr w:type="spellEnd"/>
      <w:r w:rsidRPr="275B6A1F">
        <w:rPr>
          <w:rFonts w:cs="Times New Roman"/>
          <w:sz w:val="24"/>
          <w:szCs w:val="24"/>
          <w:lang w:val="en-US"/>
        </w:rPr>
        <w:t xml:space="preserve"> di Torino, Turin, 10129, Italy</w:t>
      </w:r>
    </w:p>
    <w:p w14:paraId="45D1C3E3" w14:textId="7E003BA6" w:rsidR="00D60CF5" w:rsidRPr="000C008B" w:rsidRDefault="00D60CF5" w:rsidP="00FC71AA">
      <w:pPr>
        <w:spacing w:afterLines="50" w:after="120" w:line="360" w:lineRule="auto"/>
        <w:rPr>
          <w:rFonts w:cs="Times New Roman"/>
          <w:szCs w:val="20"/>
          <w:lang w:val="en-US"/>
        </w:rPr>
      </w:pPr>
      <w:r w:rsidRPr="000C008B">
        <w:rPr>
          <w:rFonts w:cs="Times New Roman"/>
          <w:b/>
          <w:bCs/>
          <w:szCs w:val="20"/>
          <w:lang w:val="en-US"/>
        </w:rPr>
        <w:t>Keywords</w:t>
      </w:r>
      <w:r w:rsidRPr="000C008B">
        <w:rPr>
          <w:rFonts w:cs="Times New Roman"/>
          <w:szCs w:val="20"/>
          <w:lang w:val="en-US"/>
        </w:rPr>
        <w:t xml:space="preserve">: </w:t>
      </w:r>
      <w:r w:rsidR="006C4310" w:rsidRPr="000C008B">
        <w:rPr>
          <w:rFonts w:cs="Times New Roman"/>
          <w:szCs w:val="20"/>
          <w:lang w:val="en-US"/>
        </w:rPr>
        <w:t>activities of daily living; MIMU; motor impairments; movement segmentation; telerehabilitation.</w:t>
      </w:r>
    </w:p>
    <w:p w14:paraId="1B54B9CD" w14:textId="77777777" w:rsidR="00D60CF5" w:rsidRPr="0021017B" w:rsidRDefault="00D60CF5" w:rsidP="00AE2541">
      <w:pPr>
        <w:pStyle w:val="Titolo2"/>
        <w:rPr>
          <w:lang w:val="en-US"/>
        </w:rPr>
      </w:pPr>
      <w:r w:rsidRPr="0021017B">
        <w:rPr>
          <w:lang w:val="en-US"/>
        </w:rPr>
        <w:t>Introduction</w:t>
      </w:r>
    </w:p>
    <w:p w14:paraId="1C68BB40" w14:textId="45236E5F" w:rsidR="00D60CF5" w:rsidRPr="00E27BB2" w:rsidRDefault="00D60CF5" w:rsidP="00E27BB2">
      <w:pPr>
        <w:jc w:val="both"/>
        <w:rPr>
          <w:szCs w:val="20"/>
          <w:lang w:val="en-US"/>
        </w:rPr>
      </w:pPr>
      <w:r>
        <w:rPr>
          <w:szCs w:val="20"/>
          <w:lang w:val="en-US"/>
        </w:rPr>
        <w:t xml:space="preserve">Activities of </w:t>
      </w:r>
      <w:r w:rsidR="00237C3F">
        <w:rPr>
          <w:szCs w:val="20"/>
          <w:lang w:val="en-US"/>
        </w:rPr>
        <w:t>D</w:t>
      </w:r>
      <w:r>
        <w:rPr>
          <w:szCs w:val="20"/>
          <w:lang w:val="en-US"/>
        </w:rPr>
        <w:t xml:space="preserve">aily </w:t>
      </w:r>
      <w:r w:rsidR="00237C3F">
        <w:rPr>
          <w:szCs w:val="20"/>
          <w:lang w:val="en-US"/>
        </w:rPr>
        <w:t>L</w:t>
      </w:r>
      <w:r>
        <w:rPr>
          <w:szCs w:val="20"/>
          <w:lang w:val="en-US"/>
        </w:rPr>
        <w:t>ife (</w:t>
      </w:r>
      <w:r w:rsidRPr="00E27BB2">
        <w:rPr>
          <w:szCs w:val="20"/>
          <w:lang w:val="en-US"/>
        </w:rPr>
        <w:t>ADLs</w:t>
      </w:r>
      <w:r>
        <w:rPr>
          <w:szCs w:val="20"/>
          <w:lang w:val="en-US"/>
        </w:rPr>
        <w:t>)</w:t>
      </w:r>
      <w:r w:rsidRPr="00E27BB2">
        <w:rPr>
          <w:szCs w:val="20"/>
          <w:lang w:val="en-US"/>
        </w:rPr>
        <w:t xml:space="preserve"> are fundamental tasks that need to be carried out </w:t>
      </w:r>
      <w:r>
        <w:rPr>
          <w:szCs w:val="20"/>
          <w:lang w:val="en-US"/>
        </w:rPr>
        <w:t>for</w:t>
      </w:r>
      <w:r w:rsidRPr="00E27BB2">
        <w:rPr>
          <w:szCs w:val="20"/>
          <w:lang w:val="en-US"/>
        </w:rPr>
        <w:t xml:space="preserve"> maintain</w:t>
      </w:r>
      <w:r>
        <w:rPr>
          <w:szCs w:val="20"/>
          <w:lang w:val="en-US"/>
        </w:rPr>
        <w:t>ing</w:t>
      </w:r>
      <w:r w:rsidRPr="00E27BB2">
        <w:rPr>
          <w:szCs w:val="20"/>
          <w:lang w:val="en-US"/>
        </w:rPr>
        <w:t xml:space="preserve"> </w:t>
      </w:r>
      <w:r>
        <w:rPr>
          <w:szCs w:val="20"/>
          <w:lang w:val="en-US"/>
        </w:rPr>
        <w:t xml:space="preserve">a </w:t>
      </w:r>
      <w:r w:rsidRPr="00E27BB2">
        <w:rPr>
          <w:szCs w:val="20"/>
          <w:lang w:val="en-US"/>
        </w:rPr>
        <w:t>good quality of life. For patients with motor impairment</w:t>
      </w:r>
      <w:r w:rsidR="00237C3F">
        <w:rPr>
          <w:szCs w:val="20"/>
          <w:lang w:val="en-US"/>
        </w:rPr>
        <w:t>s</w:t>
      </w:r>
      <w:r w:rsidRPr="00E27BB2">
        <w:rPr>
          <w:szCs w:val="20"/>
          <w:lang w:val="en-US"/>
        </w:rPr>
        <w:t>, task</w:t>
      </w:r>
      <w:r>
        <w:rPr>
          <w:szCs w:val="20"/>
          <w:lang w:val="en-US"/>
        </w:rPr>
        <w:t>-</w:t>
      </w:r>
      <w:r w:rsidRPr="00E27BB2">
        <w:rPr>
          <w:szCs w:val="20"/>
          <w:lang w:val="en-US"/>
        </w:rPr>
        <w:t xml:space="preserve">oriented therapy is </w:t>
      </w:r>
      <w:r>
        <w:rPr>
          <w:szCs w:val="20"/>
          <w:lang w:val="en-US"/>
        </w:rPr>
        <w:t>a reasonable</w:t>
      </w:r>
      <w:r w:rsidRPr="00E27BB2">
        <w:rPr>
          <w:szCs w:val="20"/>
          <w:lang w:val="en-US"/>
        </w:rPr>
        <w:t xml:space="preserve"> approach for recovering the ability </w:t>
      </w:r>
      <w:r>
        <w:rPr>
          <w:szCs w:val="20"/>
          <w:lang w:val="en-US"/>
        </w:rPr>
        <w:t>to perform</w:t>
      </w:r>
      <w:r w:rsidRPr="00E27BB2">
        <w:rPr>
          <w:szCs w:val="20"/>
          <w:lang w:val="en-US"/>
        </w:rPr>
        <w:t xml:space="preserve"> basic ADLs</w:t>
      </w:r>
      <w:r w:rsidR="00B73E8E">
        <w:rPr>
          <w:szCs w:val="20"/>
          <w:lang w:val="en-US"/>
        </w:rPr>
        <w:t xml:space="preserve"> [1]</w:t>
      </w:r>
      <w:r w:rsidRPr="00E27BB2">
        <w:rPr>
          <w:szCs w:val="20"/>
          <w:lang w:val="en-US"/>
        </w:rPr>
        <w:t xml:space="preserve">. </w:t>
      </w:r>
      <w:r>
        <w:rPr>
          <w:szCs w:val="20"/>
          <w:lang w:val="en-US"/>
        </w:rPr>
        <w:t xml:space="preserve">Magneto-Inertial Measurement Units (MIMUs) are </w:t>
      </w:r>
      <w:r w:rsidRPr="00E27BB2">
        <w:rPr>
          <w:rFonts w:cs="Times New Roman"/>
          <w:szCs w:val="20"/>
          <w:lang w:val="en-US"/>
        </w:rPr>
        <w:t>commonly used for kinematic assessments in various pathological conditions</w:t>
      </w:r>
      <w:r w:rsidR="007B1398" w:rsidRPr="000C008B">
        <w:rPr>
          <w:color w:val="000000"/>
          <w:lang w:val="en-US"/>
        </w:rPr>
        <w:t xml:space="preserve"> [</w:t>
      </w:r>
      <w:r w:rsidR="00B73E8E">
        <w:rPr>
          <w:color w:val="000000"/>
          <w:lang w:val="en-US"/>
        </w:rPr>
        <w:t>2</w:t>
      </w:r>
      <w:r w:rsidR="007B1398" w:rsidRPr="000C008B">
        <w:rPr>
          <w:color w:val="000000"/>
          <w:lang w:val="en-US"/>
        </w:rPr>
        <w:t>]</w:t>
      </w:r>
      <w:r w:rsidRPr="00E27BB2">
        <w:rPr>
          <w:szCs w:val="20"/>
          <w:lang w:val="en-US"/>
        </w:rPr>
        <w:t xml:space="preserve">. </w:t>
      </w:r>
      <w:r w:rsidR="00237C3F">
        <w:rPr>
          <w:szCs w:val="20"/>
          <w:lang w:val="en-US"/>
        </w:rPr>
        <w:t>The time needed to complete a motor task is a metric often used by physical therapists to assess motor impairments. To facilitate this evaluation, accurate algorithms that can distinguish between movement and rest states are needed.</w:t>
      </w:r>
      <w:r w:rsidR="00B73E8E" w:rsidRPr="00106F12">
        <w:rPr>
          <w:szCs w:val="20"/>
          <w:lang w:val="en-US"/>
        </w:rPr>
        <w:t xml:space="preserve"> </w:t>
      </w:r>
      <w:r w:rsidR="00237C3F">
        <w:rPr>
          <w:szCs w:val="20"/>
          <w:lang w:val="en-US"/>
        </w:rPr>
        <w:t>This contribution aims at</w:t>
      </w:r>
      <w:r w:rsidRPr="00E27BB2">
        <w:rPr>
          <w:szCs w:val="20"/>
          <w:lang w:val="en-US"/>
        </w:rPr>
        <w:t xml:space="preserve"> introduc</w:t>
      </w:r>
      <w:r>
        <w:rPr>
          <w:szCs w:val="20"/>
          <w:lang w:val="en-US"/>
        </w:rPr>
        <w:t>ing</w:t>
      </w:r>
      <w:r w:rsidRPr="00E27BB2">
        <w:rPr>
          <w:szCs w:val="20"/>
          <w:lang w:val="en-US"/>
        </w:rPr>
        <w:t xml:space="preserve"> a segmentation method</w:t>
      </w:r>
      <w:r>
        <w:rPr>
          <w:szCs w:val="20"/>
          <w:lang w:val="en-US"/>
        </w:rPr>
        <w:t xml:space="preserve"> for the identification of </w:t>
      </w:r>
      <w:r w:rsidR="00237C3F">
        <w:rPr>
          <w:szCs w:val="20"/>
          <w:lang w:val="en-US"/>
        </w:rPr>
        <w:t xml:space="preserve">upper-limb </w:t>
      </w:r>
      <w:r>
        <w:rPr>
          <w:szCs w:val="20"/>
          <w:lang w:val="en-US"/>
        </w:rPr>
        <w:t xml:space="preserve">movements </w:t>
      </w:r>
      <w:r w:rsidR="00237C3F">
        <w:rPr>
          <w:szCs w:val="20"/>
          <w:lang w:val="en-US"/>
        </w:rPr>
        <w:t>based on statistical considerations</w:t>
      </w:r>
      <w:r>
        <w:rPr>
          <w:szCs w:val="20"/>
          <w:lang w:val="en-US"/>
        </w:rPr>
        <w:t>.</w:t>
      </w:r>
    </w:p>
    <w:p w14:paraId="78E44E8D" w14:textId="7B4E14BD" w:rsidR="00D60CF5" w:rsidRDefault="00D60CF5" w:rsidP="00AE2541">
      <w:pPr>
        <w:pStyle w:val="Titolo2"/>
        <w:rPr>
          <w:lang w:val="en-US"/>
        </w:rPr>
      </w:pPr>
      <w:r w:rsidRPr="00AA29F1">
        <w:rPr>
          <w:lang w:val="en-US"/>
        </w:rPr>
        <w:t>Methods</w:t>
      </w:r>
    </w:p>
    <w:p w14:paraId="33E12F85" w14:textId="528814EA" w:rsidR="00D60CF5" w:rsidRPr="00106F12" w:rsidRDefault="00237C3F" w:rsidP="00732B21">
      <w:pPr>
        <w:jc w:val="both"/>
        <w:rPr>
          <w:szCs w:val="20"/>
          <w:lang w:val="en-US"/>
        </w:rPr>
      </w:pPr>
      <w:r w:rsidRPr="00237C3F">
        <w:rPr>
          <w:szCs w:val="20"/>
          <w:lang w:val="en-US"/>
        </w:rPr>
        <w:t>Twenty-five healthy participants were instructed to grasp a bottle, take a sip of water, and then return the bottle while seated comfortably in front of a table.</w:t>
      </w:r>
      <w:r>
        <w:rPr>
          <w:szCs w:val="20"/>
          <w:lang w:val="en-US"/>
        </w:rPr>
        <w:t xml:space="preserve"> </w:t>
      </w:r>
      <w:r w:rsidR="00D60CF5">
        <w:rPr>
          <w:szCs w:val="20"/>
          <w:lang w:val="en-US"/>
        </w:rPr>
        <w:t xml:space="preserve">Subjects were instrumented with a MIMU fixed at the dominant wrist </w:t>
      </w:r>
      <w:r w:rsidR="006B4BD5">
        <w:rPr>
          <w:szCs w:val="20"/>
          <w:lang w:val="en-US"/>
        </w:rPr>
        <w:t>using</w:t>
      </w:r>
      <w:r w:rsidR="00D60CF5">
        <w:rPr>
          <w:szCs w:val="20"/>
          <w:lang w:val="en-US"/>
        </w:rPr>
        <w:t xml:space="preserve"> double-sided adhesive tape</w:t>
      </w:r>
      <w:r w:rsidR="007B1398">
        <w:rPr>
          <w:szCs w:val="20"/>
          <w:lang w:val="en-US"/>
        </w:rPr>
        <w:t xml:space="preserve">. </w:t>
      </w:r>
      <w:r w:rsidR="00D60CF5">
        <w:rPr>
          <w:szCs w:val="20"/>
          <w:lang w:val="en-US"/>
        </w:rPr>
        <w:t xml:space="preserve">The </w:t>
      </w:r>
      <w:r w:rsidR="00925C93">
        <w:rPr>
          <w:szCs w:val="20"/>
          <w:lang w:val="en-US"/>
        </w:rPr>
        <w:t xml:space="preserve">proposed </w:t>
      </w:r>
      <w:r w:rsidR="00D60CF5">
        <w:rPr>
          <w:szCs w:val="20"/>
          <w:lang w:val="en-US"/>
        </w:rPr>
        <w:t xml:space="preserve">method </w:t>
      </w:r>
      <w:r w:rsidR="00925C93">
        <w:rPr>
          <w:szCs w:val="20"/>
          <w:lang w:val="en-US"/>
        </w:rPr>
        <w:t xml:space="preserve">segments </w:t>
      </w:r>
      <w:r>
        <w:rPr>
          <w:szCs w:val="20"/>
          <w:lang w:val="en-US"/>
        </w:rPr>
        <w:t>upper-limb</w:t>
      </w:r>
      <w:r w:rsidR="00925C93">
        <w:rPr>
          <w:szCs w:val="20"/>
          <w:lang w:val="en-US"/>
        </w:rPr>
        <w:t xml:space="preserve"> movements by applying a relative threshold to the </w:t>
      </w:r>
      <w:r w:rsidR="00F358CA">
        <w:rPr>
          <w:szCs w:val="20"/>
          <w:lang w:val="en-US"/>
        </w:rPr>
        <w:t xml:space="preserve">norm of the </w:t>
      </w:r>
      <w:r w:rsidR="00925C93">
        <w:rPr>
          <w:szCs w:val="20"/>
          <w:lang w:val="en-US"/>
        </w:rPr>
        <w:t>angular velocit</w:t>
      </w:r>
      <w:r w:rsidR="00F358CA">
        <w:rPr>
          <w:szCs w:val="20"/>
          <w:lang w:val="en-US"/>
        </w:rPr>
        <w:t>ies acquired through the MIMU</w:t>
      </w:r>
      <w:r w:rsidR="00925C93">
        <w:rPr>
          <w:szCs w:val="20"/>
          <w:lang w:val="en-US"/>
        </w:rPr>
        <w:t xml:space="preserve">. </w:t>
      </w:r>
      <w:r w:rsidR="00EE7856" w:rsidRPr="00EE7856">
        <w:rPr>
          <w:szCs w:val="20"/>
          <w:lang w:val="en-US"/>
        </w:rPr>
        <w:t>To compensate for segmentation errors, a post-processing step is applied based on statistical considerations of movement duration distribution</w:t>
      </w:r>
      <w:r w:rsidR="00EE7856" w:rsidRPr="00EE7856" w:rsidDel="00EE7856">
        <w:rPr>
          <w:szCs w:val="20"/>
          <w:lang w:val="en-US"/>
        </w:rPr>
        <w:t xml:space="preserve"> </w:t>
      </w:r>
      <w:r w:rsidR="003A0DC8">
        <w:rPr>
          <w:szCs w:val="20"/>
          <w:lang w:val="en-US"/>
        </w:rPr>
        <w:t>[3]</w:t>
      </w:r>
      <w:r w:rsidR="00D60CF5">
        <w:rPr>
          <w:szCs w:val="20"/>
          <w:lang w:val="en-US"/>
        </w:rPr>
        <w:t xml:space="preserve">. The proposed approach was compared to </w:t>
      </w:r>
      <w:r w:rsidR="005E4E50">
        <w:rPr>
          <w:szCs w:val="20"/>
          <w:lang w:val="en-US"/>
        </w:rPr>
        <w:t>the</w:t>
      </w:r>
      <w:r w:rsidR="00D60CF5">
        <w:rPr>
          <w:szCs w:val="20"/>
          <w:lang w:val="en-US"/>
        </w:rPr>
        <w:t xml:space="preserve"> threshold-based segmentation methods proposed by Carpinella et al. </w:t>
      </w:r>
      <w:r w:rsidR="007B1398">
        <w:rPr>
          <w:szCs w:val="20"/>
          <w:lang w:val="en-US"/>
        </w:rPr>
        <w:t>[</w:t>
      </w:r>
      <w:r w:rsidR="003A0DC8">
        <w:rPr>
          <w:szCs w:val="20"/>
          <w:lang w:val="en-US"/>
        </w:rPr>
        <w:t>4</w:t>
      </w:r>
      <w:r w:rsidR="007B1398">
        <w:rPr>
          <w:szCs w:val="20"/>
          <w:lang w:val="en-US"/>
        </w:rPr>
        <w:t xml:space="preserve">] </w:t>
      </w:r>
      <w:r w:rsidR="00D60CF5" w:rsidRPr="000C008B">
        <w:rPr>
          <w:color w:val="000000"/>
          <w:lang w:val="en-US"/>
        </w:rPr>
        <w:t>and Schwarz et al.</w:t>
      </w:r>
      <w:r w:rsidR="007B1398">
        <w:rPr>
          <w:color w:val="000000"/>
          <w:lang w:val="en-US"/>
        </w:rPr>
        <w:t xml:space="preserve"> [</w:t>
      </w:r>
      <w:r w:rsidR="003A0DC8">
        <w:rPr>
          <w:color w:val="000000"/>
          <w:lang w:val="en-US"/>
        </w:rPr>
        <w:t>5</w:t>
      </w:r>
      <w:r w:rsidR="007B1398">
        <w:rPr>
          <w:color w:val="000000"/>
          <w:lang w:val="en-US"/>
        </w:rPr>
        <w:t>]</w:t>
      </w:r>
      <w:r w:rsidR="00D60CF5">
        <w:rPr>
          <w:szCs w:val="20"/>
          <w:lang w:val="en-US"/>
        </w:rPr>
        <w:t xml:space="preserve">. </w:t>
      </w:r>
      <w:r w:rsidR="00D60CF5">
        <w:rPr>
          <w:noProof/>
          <w:lang w:val="en-US"/>
        </w:rPr>
        <w:t xml:space="preserve">The performance of the </w:t>
      </w:r>
      <w:r w:rsidR="00EE7856">
        <w:rPr>
          <w:noProof/>
          <w:lang w:val="en-US"/>
        </w:rPr>
        <w:t>assessed</w:t>
      </w:r>
      <w:r w:rsidR="00D60CF5">
        <w:rPr>
          <w:noProof/>
          <w:lang w:val="en-US"/>
        </w:rPr>
        <w:t xml:space="preserve"> approaches w</w:t>
      </w:r>
      <w:r w:rsidR="006B4BD5">
        <w:rPr>
          <w:noProof/>
          <w:lang w:val="en-US"/>
        </w:rPr>
        <w:t>as</w:t>
      </w:r>
      <w:r w:rsidR="00D60CF5">
        <w:rPr>
          <w:noProof/>
          <w:lang w:val="en-US"/>
        </w:rPr>
        <w:t xml:space="preserve"> tested against a </w:t>
      </w:r>
      <w:r w:rsidR="00925C93">
        <w:rPr>
          <w:noProof/>
          <w:lang w:val="en-US"/>
        </w:rPr>
        <w:t xml:space="preserve">gold standard, the </w:t>
      </w:r>
      <w:r w:rsidR="00D60CF5">
        <w:rPr>
          <w:noProof/>
          <w:lang w:val="en-US"/>
        </w:rPr>
        <w:t>stereophotogrammetric system (</w:t>
      </w:r>
      <w:r w:rsidR="00D60CF5" w:rsidRPr="00D60CF5">
        <w:rPr>
          <w:noProof/>
          <w:lang w:val="en-US"/>
        </w:rPr>
        <w:t>Vicon T20</w:t>
      </w:r>
      <w:r w:rsidR="00D60CF5">
        <w:rPr>
          <w:noProof/>
          <w:lang w:val="en-US"/>
        </w:rPr>
        <w:t xml:space="preserve">). </w:t>
      </w:r>
      <w:r w:rsidR="00925C93">
        <w:rPr>
          <w:noProof/>
          <w:lang w:val="en-US"/>
        </w:rPr>
        <w:t xml:space="preserve">Performance was tested through the Mean Absolute Error (MAE) of the movement onset/offset estimates. </w:t>
      </w:r>
      <w:r w:rsidR="00D60CF5">
        <w:rPr>
          <w:noProof/>
          <w:lang w:val="en-US"/>
        </w:rPr>
        <w:t xml:space="preserve">A </w:t>
      </w:r>
      <w:r w:rsidR="00D60CF5" w:rsidRPr="000C008B">
        <w:rPr>
          <w:i/>
          <w:iCs/>
          <w:noProof/>
          <w:lang w:val="en-US"/>
        </w:rPr>
        <w:t>1-way</w:t>
      </w:r>
      <w:r w:rsidR="00D60CF5">
        <w:rPr>
          <w:noProof/>
          <w:lang w:val="en-US"/>
        </w:rPr>
        <w:t xml:space="preserve"> ANOVA with Bonferroni correction </w:t>
      </w:r>
      <w:r w:rsidR="004B74F9">
        <w:rPr>
          <w:noProof/>
          <w:lang w:val="en-US"/>
        </w:rPr>
        <w:t xml:space="preserve">for multiple comparisons </w:t>
      </w:r>
      <w:r w:rsidR="00D60CF5">
        <w:rPr>
          <w:noProof/>
          <w:lang w:val="en-US"/>
        </w:rPr>
        <w:t>was performed to test performance differences.</w:t>
      </w:r>
    </w:p>
    <w:p w14:paraId="60E8C49A" w14:textId="77777777" w:rsidR="00D60CF5" w:rsidRDefault="00D60CF5" w:rsidP="00AE2541">
      <w:pPr>
        <w:pStyle w:val="Titolo2"/>
        <w:rPr>
          <w:lang w:val="en-US"/>
        </w:rPr>
      </w:pPr>
      <w:r w:rsidRPr="00AA29F1">
        <w:rPr>
          <w:lang w:val="en-US"/>
        </w:rPr>
        <w:t>Results</w:t>
      </w:r>
    </w:p>
    <w:p w14:paraId="5CCB2621" w14:textId="5530AA7E" w:rsidR="00D60CF5" w:rsidRPr="00E675AD" w:rsidRDefault="008E43FF" w:rsidP="00E675AD">
      <w:pPr>
        <w:jc w:val="both"/>
        <w:rPr>
          <w:rFonts w:cs="Times New Roman"/>
          <w:szCs w:val="20"/>
          <w:lang w:val="en-US"/>
        </w:rPr>
      </w:pPr>
      <w:r w:rsidRPr="008E43FF">
        <w:rPr>
          <w:lang w:val="en-US"/>
        </w:rPr>
        <w:t xml:space="preserve">Figure 1A and </w:t>
      </w:r>
      <w:r w:rsidR="00B30979">
        <w:rPr>
          <w:lang w:val="en-US"/>
        </w:rPr>
        <w:t xml:space="preserve">Figure </w:t>
      </w:r>
      <w:r w:rsidRPr="008E43FF">
        <w:rPr>
          <w:lang w:val="en-US"/>
        </w:rPr>
        <w:t xml:space="preserve">1B show the MAE distributions </w:t>
      </w:r>
      <w:r>
        <w:rPr>
          <w:lang w:val="en-US"/>
        </w:rPr>
        <w:t xml:space="preserve">of the three tested segmentation approaches </w:t>
      </w:r>
      <w:r w:rsidRPr="008E43FF">
        <w:rPr>
          <w:lang w:val="en-US"/>
        </w:rPr>
        <w:t>for movement onset and offset, respectively.</w:t>
      </w:r>
      <w:r w:rsidR="00F358CA">
        <w:rPr>
          <w:lang w:val="en-US"/>
        </w:rPr>
        <w:t xml:space="preserve"> </w:t>
      </w:r>
      <w:r>
        <w:rPr>
          <w:lang w:val="en-US"/>
        </w:rPr>
        <w:t xml:space="preserve">The newly proposed approach significantly outperformed the other tested approaches in terms of both onset MAE (proposed method: </w:t>
      </w:r>
      <w:r w:rsidRPr="00E675AD">
        <w:rPr>
          <w:rFonts w:cs="Times New Roman"/>
          <w:szCs w:val="20"/>
          <w:lang w:val="en-US"/>
        </w:rPr>
        <w:t>0.07±0.02 s</w:t>
      </w:r>
      <w:r>
        <w:rPr>
          <w:lang w:val="en-US"/>
        </w:rPr>
        <w:t xml:space="preserve"> (mean </w:t>
      </w:r>
      <w:r>
        <w:rPr>
          <w:rFonts w:cs="Times New Roman"/>
          <w:lang w:val="en-US"/>
        </w:rPr>
        <w:t>±</w:t>
      </w:r>
      <w:r>
        <w:rPr>
          <w:lang w:val="en-US"/>
        </w:rPr>
        <w:t xml:space="preserve"> SD); </w:t>
      </w:r>
      <w:proofErr w:type="spellStart"/>
      <w:r>
        <w:rPr>
          <w:lang w:val="en-US"/>
        </w:rPr>
        <w:t>Caprinella</w:t>
      </w:r>
      <w:proofErr w:type="spellEnd"/>
      <w:r>
        <w:rPr>
          <w:lang w:val="en-US"/>
        </w:rPr>
        <w:t xml:space="preserve"> et al.: </w:t>
      </w:r>
      <w:r w:rsidRPr="00E675AD">
        <w:rPr>
          <w:rFonts w:cs="Times New Roman"/>
          <w:szCs w:val="20"/>
          <w:lang w:val="en-US"/>
        </w:rPr>
        <w:t>0.10±0.04 s</w:t>
      </w:r>
      <w:r>
        <w:rPr>
          <w:rFonts w:cs="Times New Roman"/>
          <w:szCs w:val="20"/>
          <w:lang w:val="en-US"/>
        </w:rPr>
        <w:t xml:space="preserve">; Schwarz et al.: </w:t>
      </w:r>
      <w:r w:rsidRPr="00E675AD">
        <w:rPr>
          <w:rFonts w:cs="Times New Roman"/>
          <w:szCs w:val="20"/>
          <w:lang w:val="en-US"/>
        </w:rPr>
        <w:t>0.22±0.05 s</w:t>
      </w:r>
      <w:r>
        <w:rPr>
          <w:lang w:val="en-US"/>
        </w:rPr>
        <w:t xml:space="preserve">) and offset MAE (proposed method: </w:t>
      </w:r>
      <w:r w:rsidRPr="00E675AD">
        <w:rPr>
          <w:rFonts w:cs="Times New Roman"/>
          <w:szCs w:val="20"/>
          <w:lang w:val="en-US"/>
        </w:rPr>
        <w:t>0.08±0.03</w:t>
      </w:r>
      <w:r>
        <w:rPr>
          <w:rFonts w:cs="Times New Roman"/>
          <w:szCs w:val="20"/>
          <w:lang w:val="en-US"/>
        </w:rPr>
        <w:t xml:space="preserve"> </w:t>
      </w:r>
      <w:r w:rsidRPr="00E675AD">
        <w:rPr>
          <w:rFonts w:cs="Times New Roman"/>
          <w:szCs w:val="20"/>
          <w:lang w:val="en-US"/>
        </w:rPr>
        <w:t>s</w:t>
      </w:r>
      <w:r>
        <w:rPr>
          <w:lang w:val="en-US"/>
        </w:rPr>
        <w:t xml:space="preserve">; </w:t>
      </w:r>
      <w:proofErr w:type="spellStart"/>
      <w:r>
        <w:rPr>
          <w:lang w:val="en-US"/>
        </w:rPr>
        <w:t>Caprinella</w:t>
      </w:r>
      <w:proofErr w:type="spellEnd"/>
      <w:r>
        <w:rPr>
          <w:lang w:val="en-US"/>
        </w:rPr>
        <w:t xml:space="preserve"> et al.: </w:t>
      </w:r>
      <w:r w:rsidRPr="00E675AD">
        <w:rPr>
          <w:rFonts w:cs="Times New Roman"/>
          <w:szCs w:val="20"/>
          <w:lang w:val="en-US"/>
        </w:rPr>
        <w:t>0.20±0.04 s</w:t>
      </w:r>
      <w:r>
        <w:rPr>
          <w:rFonts w:cs="Times New Roman"/>
          <w:szCs w:val="20"/>
          <w:lang w:val="en-US"/>
        </w:rPr>
        <w:t xml:space="preserve">; Schwarz et al.: </w:t>
      </w:r>
      <w:r w:rsidRPr="00E675AD">
        <w:rPr>
          <w:rFonts w:cs="Times New Roman"/>
          <w:szCs w:val="20"/>
          <w:lang w:val="en-US"/>
        </w:rPr>
        <w:t>0.29±0.07 s</w:t>
      </w:r>
      <w:r>
        <w:rPr>
          <w:lang w:val="en-US"/>
        </w:rPr>
        <w:t>).</w:t>
      </w:r>
    </w:p>
    <w:p w14:paraId="7882A630" w14:textId="5119C120" w:rsidR="00D60CF5" w:rsidRDefault="00D60CF5" w:rsidP="00AE2541">
      <w:pPr>
        <w:pStyle w:val="Titolo2"/>
        <w:rPr>
          <w:lang w:val="en-US"/>
        </w:rPr>
      </w:pPr>
      <w:r w:rsidRPr="00AA29F1">
        <w:rPr>
          <w:lang w:val="en-US"/>
        </w:rPr>
        <w:t>Discussion</w:t>
      </w:r>
    </w:p>
    <w:p w14:paraId="472E7659" w14:textId="48311433" w:rsidR="00D60CF5" w:rsidRDefault="00D60CF5" w:rsidP="00BB6FEF">
      <w:pPr>
        <w:jc w:val="both"/>
        <w:rPr>
          <w:lang w:val="en-US"/>
        </w:rPr>
      </w:pPr>
      <w:r>
        <w:rPr>
          <w:lang w:val="en-US"/>
        </w:rPr>
        <w:t xml:space="preserve">The newly </w:t>
      </w:r>
      <w:r w:rsidR="006B4BD5">
        <w:rPr>
          <w:lang w:val="en-US"/>
        </w:rPr>
        <w:t xml:space="preserve">proposed </w:t>
      </w:r>
      <w:r>
        <w:rPr>
          <w:lang w:val="en-US"/>
        </w:rPr>
        <w:t xml:space="preserve">method </w:t>
      </w:r>
      <w:r w:rsidR="006B4BD5">
        <w:rPr>
          <w:lang w:val="en-US"/>
        </w:rPr>
        <w:t xml:space="preserve">revealed significantly </w:t>
      </w:r>
      <w:r>
        <w:rPr>
          <w:lang w:val="en-US"/>
        </w:rPr>
        <w:t xml:space="preserve">better </w:t>
      </w:r>
      <w:r w:rsidR="006B4BD5">
        <w:rPr>
          <w:lang w:val="en-US"/>
        </w:rPr>
        <w:t>performance in movement segmentation from MIMU recordings compared to state-of-the-art approaches</w:t>
      </w:r>
      <w:r>
        <w:rPr>
          <w:lang w:val="en-US"/>
        </w:rPr>
        <w:t xml:space="preserve">. </w:t>
      </w:r>
      <w:r w:rsidR="006B4BD5" w:rsidRPr="006B4BD5">
        <w:rPr>
          <w:lang w:val="en-US"/>
        </w:rPr>
        <w:t>This method has proven to be effective in segmenting upper-limb movements, indicating its usefulness in studies that require movement segmentation without the use of expensive stereophotogrammetric systems.</w:t>
      </w:r>
      <w:r>
        <w:rPr>
          <w:lang w:val="en-US"/>
        </w:rPr>
        <w:t xml:space="preserve"> Future studies will focus on validating the method on patients affected by neurological disorders and </w:t>
      </w:r>
      <w:r w:rsidR="006B4BD5">
        <w:rPr>
          <w:lang w:val="en-US"/>
        </w:rPr>
        <w:t>characterizing reach-to-grasp</w:t>
      </w:r>
      <w:r>
        <w:rPr>
          <w:lang w:val="en-US"/>
        </w:rPr>
        <w:t xml:space="preserve"> </w:t>
      </w:r>
      <w:r w:rsidR="006B4BD5">
        <w:rPr>
          <w:lang w:val="en-US"/>
        </w:rPr>
        <w:t>movements</w:t>
      </w:r>
      <w:r w:rsidR="006B4BD5" w:rsidRPr="006B4BD5">
        <w:rPr>
          <w:lang w:val="en-US"/>
        </w:rPr>
        <w:t xml:space="preserve"> </w:t>
      </w:r>
      <w:r w:rsidR="006B4BD5">
        <w:rPr>
          <w:lang w:val="en-US"/>
        </w:rPr>
        <w:t>kinematically</w:t>
      </w:r>
      <w:r>
        <w:rPr>
          <w:lang w:val="en-US"/>
        </w:rPr>
        <w:t>.</w:t>
      </w:r>
    </w:p>
    <w:p w14:paraId="560A4028" w14:textId="7F83BCAE" w:rsidR="008E43FF" w:rsidRDefault="000C008B" w:rsidP="000C008B">
      <w:pPr>
        <w:pStyle w:val="Titolo2"/>
        <w:rPr>
          <w:lang w:val="en-US"/>
        </w:rPr>
      </w:pPr>
      <w:r>
        <w:rPr>
          <w:noProof/>
          <w:lang w:val="en-US"/>
        </w:rPr>
        <w:lastRenderedPageBreak/>
        <mc:AlternateContent>
          <mc:Choice Requires="wps">
            <w:drawing>
              <wp:anchor distT="0" distB="0" distL="114300" distR="114300" simplePos="0" relativeHeight="251659264" behindDoc="0" locked="0" layoutInCell="1" allowOverlap="1" wp14:anchorId="12D66E12" wp14:editId="40811D5E">
                <wp:simplePos x="0" y="0"/>
                <wp:positionH relativeFrom="margin">
                  <wp:align>center</wp:align>
                </wp:positionH>
                <wp:positionV relativeFrom="paragraph">
                  <wp:posOffset>539</wp:posOffset>
                </wp:positionV>
                <wp:extent cx="5759450" cy="1800000"/>
                <wp:effectExtent l="0" t="0" r="0" b="0"/>
                <wp:wrapTopAndBottom/>
                <wp:docPr id="1540669790" name="Casella di testo 3"/>
                <wp:cNvGraphicFramePr/>
                <a:graphic xmlns:a="http://schemas.openxmlformats.org/drawingml/2006/main">
                  <a:graphicData uri="http://schemas.microsoft.com/office/word/2010/wordprocessingShape">
                    <wps:wsp>
                      <wps:cNvSpPr txBox="1"/>
                      <wps:spPr>
                        <a:xfrm>
                          <a:off x="0" y="0"/>
                          <a:ext cx="5759450" cy="1800000"/>
                        </a:xfrm>
                        <a:prstGeom prst="rect">
                          <a:avLst/>
                        </a:prstGeom>
                        <a:solidFill>
                          <a:schemeClr val="lt1"/>
                        </a:solidFill>
                        <a:ln w="6350">
                          <a:noFill/>
                        </a:ln>
                      </wps:spPr>
                      <wps:txbx>
                        <w:txbxContent>
                          <w:p w14:paraId="0163F2B5" w14:textId="77777777" w:rsidR="00D60CF5" w:rsidRDefault="00D60CF5" w:rsidP="000C008B">
                            <w:pPr>
                              <w:keepNext/>
                              <w:spacing w:after="0"/>
                              <w:jc w:val="center"/>
                            </w:pPr>
                            <w:r>
                              <w:rPr>
                                <w:noProof/>
                              </w:rPr>
                              <w:drawing>
                                <wp:inline distT="0" distB="0" distL="0" distR="0" wp14:anchorId="5B21D455" wp14:editId="23AA037E">
                                  <wp:extent cx="4835865" cy="1370008"/>
                                  <wp:effectExtent l="0" t="0" r="3175" b="1905"/>
                                  <wp:docPr id="192874476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744763" name="Immagine 4"/>
                                          <pic:cNvPicPr>
                                            <a:picLocks noChangeAspect="1" noChangeArrowheads="1"/>
                                          </pic:cNvPicPr>
                                        </pic:nvPicPr>
                                        <pic:blipFill>
                                          <a:blip r:embed="rId5">
                                            <a:extLst>
                                              <a:ext uri="{28A0092B-C50C-407E-A947-70E740481C1C}">
                                                <a14:useLocalDpi xmlns:a14="http://schemas.microsoft.com/office/drawing/2010/main" val="0"/>
                                              </a:ext>
                                            </a:extLst>
                                          </a:blip>
                                          <a:stretch>
                                            <a:fillRect/>
                                          </a:stretch>
                                        </pic:blipFill>
                                        <pic:spPr bwMode="auto">
                                          <a:xfrm>
                                            <a:off x="0" y="0"/>
                                            <a:ext cx="4841048" cy="1371476"/>
                                          </a:xfrm>
                                          <a:prstGeom prst="rect">
                                            <a:avLst/>
                                          </a:prstGeom>
                                          <a:noFill/>
                                          <a:ln>
                                            <a:noFill/>
                                          </a:ln>
                                        </pic:spPr>
                                      </pic:pic>
                                    </a:graphicData>
                                  </a:graphic>
                                </wp:inline>
                              </w:drawing>
                            </w:r>
                          </w:p>
                          <w:p w14:paraId="189087B5" w14:textId="41779243" w:rsidR="007515B4" w:rsidRPr="000C008B" w:rsidRDefault="007515B4" w:rsidP="000C008B">
                            <w:pPr>
                              <w:pStyle w:val="Didascalia"/>
                              <w:spacing w:after="0"/>
                              <w:jc w:val="both"/>
                              <w:rPr>
                                <w:i w:val="0"/>
                                <w:iCs w:val="0"/>
                                <w:color w:val="auto"/>
                                <w:sz w:val="14"/>
                                <w:szCs w:val="14"/>
                                <w:lang w:val="en-US"/>
                              </w:rPr>
                            </w:pPr>
                            <w:r w:rsidRPr="000C008B">
                              <w:rPr>
                                <w:b/>
                                <w:bCs/>
                                <w:i w:val="0"/>
                                <w:iCs w:val="0"/>
                                <w:color w:val="auto"/>
                                <w:sz w:val="14"/>
                                <w:szCs w:val="14"/>
                                <w:lang w:val="en-US"/>
                              </w:rPr>
                              <w:t>Figure 1.</w:t>
                            </w:r>
                            <w:r w:rsidRPr="000C008B">
                              <w:rPr>
                                <w:i w:val="0"/>
                                <w:iCs w:val="0"/>
                                <w:color w:val="auto"/>
                                <w:sz w:val="14"/>
                                <w:szCs w:val="14"/>
                                <w:lang w:val="en-US"/>
                              </w:rPr>
                              <w:t xml:space="preserve"> </w:t>
                            </w:r>
                            <w:r w:rsidRPr="000C008B">
                              <w:rPr>
                                <w:b/>
                                <w:bCs/>
                                <w:i w:val="0"/>
                                <w:iCs w:val="0"/>
                                <w:color w:val="auto"/>
                                <w:sz w:val="14"/>
                                <w:szCs w:val="14"/>
                                <w:lang w:val="en-US"/>
                              </w:rPr>
                              <w:t xml:space="preserve">Boxplots of </w:t>
                            </w:r>
                            <w:r w:rsidR="004E6ABE" w:rsidRPr="000C008B">
                              <w:rPr>
                                <w:b/>
                                <w:bCs/>
                                <w:i w:val="0"/>
                                <w:iCs w:val="0"/>
                                <w:color w:val="auto"/>
                                <w:sz w:val="14"/>
                                <w:szCs w:val="14"/>
                                <w:lang w:val="en-US"/>
                              </w:rPr>
                              <w:t>the onset and offset mean absolute errors between the tested segmentation methods and the gold standard.</w:t>
                            </w:r>
                          </w:p>
                          <w:p w14:paraId="51418F43" w14:textId="21E67B53" w:rsidR="00D60CF5" w:rsidRPr="00703FC9" w:rsidRDefault="004E6ABE" w:rsidP="000C008B">
                            <w:pPr>
                              <w:pStyle w:val="Didascalia"/>
                              <w:jc w:val="both"/>
                              <w:rPr>
                                <w:lang w:val="en-US"/>
                              </w:rPr>
                            </w:pPr>
                            <w:r w:rsidRPr="000C008B">
                              <w:rPr>
                                <w:color w:val="auto"/>
                                <w:sz w:val="14"/>
                                <w:szCs w:val="14"/>
                                <w:lang w:val="en-US"/>
                              </w:rPr>
                              <w:t xml:space="preserve">Boxplot showing differences in onset and offset Mean Absolute Error (MAE) between the tested segmentation algorithms and the gold standard are represented in </w:t>
                            </w:r>
                            <w:r w:rsidRPr="000C008B">
                              <w:rPr>
                                <w:b/>
                                <w:bCs/>
                                <w:color w:val="auto"/>
                                <w:sz w:val="14"/>
                                <w:szCs w:val="14"/>
                                <w:lang w:val="en-US"/>
                              </w:rPr>
                              <w:t>Figure 1A</w:t>
                            </w:r>
                            <w:r w:rsidRPr="000C008B">
                              <w:rPr>
                                <w:color w:val="auto"/>
                                <w:sz w:val="14"/>
                                <w:szCs w:val="14"/>
                                <w:lang w:val="en-US"/>
                              </w:rPr>
                              <w:t xml:space="preserve"> and </w:t>
                            </w:r>
                            <w:r w:rsidRPr="000C008B">
                              <w:rPr>
                                <w:b/>
                                <w:bCs/>
                                <w:color w:val="auto"/>
                                <w:sz w:val="14"/>
                                <w:szCs w:val="14"/>
                                <w:lang w:val="en-US"/>
                              </w:rPr>
                              <w:t>Figure 1B</w:t>
                            </w:r>
                            <w:r w:rsidRPr="000C008B">
                              <w:rPr>
                                <w:color w:val="auto"/>
                                <w:sz w:val="14"/>
                                <w:szCs w:val="14"/>
                                <w:lang w:val="en-US"/>
                              </w:rPr>
                              <w:t>, respectively. Statistically significant differences are represented by asterisks (*** p&lt;0.001).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D66E12" id="_x0000_t202" coordsize="21600,21600" o:spt="202" path="m,l,21600r21600,l21600,xe">
                <v:stroke joinstyle="miter"/>
                <v:path gradientshapeok="t" o:connecttype="rect"/>
              </v:shapetype>
              <v:shape id="Casella di testo 3" o:spid="_x0000_s1026" type="#_x0000_t202" style="position:absolute;margin-left:0;margin-top:.05pt;width:453.5pt;height:141.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" fillcolor="white [3201]" stroked="f" strokeweight=".5pt">
                <v:textbox>
                  <w:txbxContent>
                    <w:p w14:paraId="0163F2B5" w14:textId="77777777" w:rsidR="00D60CF5" w:rsidRDefault="00D60CF5" w:rsidP="000C008B">
                      <w:pPr>
                        <w:keepNext/>
                        <w:spacing w:after="0"/>
                        <w:jc w:val="center"/>
                      </w:pPr>
                      <w:r>
                        <w:rPr>
                          <w:noProof/>
                        </w:rPr>
                        <w:drawing>
                          <wp:inline distT="0" distB="0" distL="0" distR="0" wp14:anchorId="5B21D455" wp14:editId="23AA037E">
                            <wp:extent cx="4835865" cy="1370008"/>
                            <wp:effectExtent l="0" t="0" r="3175" b="1905"/>
                            <wp:docPr id="192874476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744763" name="Immagine 4"/>
                                    <pic:cNvPicPr>
                                      <a:picLocks noChangeAspect="1" noChangeArrowheads="1"/>
                                    </pic:cNvPicPr>
                                  </pic:nvPicPr>
                                  <pic:blipFill>
                                    <a:blip r:embed="rId5">
                                      <a:extLst>
                                        <a:ext uri="{28A0092B-C50C-407E-A947-70E740481C1C}">
                                          <a14:useLocalDpi xmlns:a14="http://schemas.microsoft.com/office/drawing/2010/main" val="0"/>
                                        </a:ext>
                                      </a:extLst>
                                    </a:blip>
                                    <a:stretch>
                                      <a:fillRect/>
                                    </a:stretch>
                                  </pic:blipFill>
                                  <pic:spPr bwMode="auto">
                                    <a:xfrm>
                                      <a:off x="0" y="0"/>
                                      <a:ext cx="4841048" cy="1371476"/>
                                    </a:xfrm>
                                    <a:prstGeom prst="rect">
                                      <a:avLst/>
                                    </a:prstGeom>
                                    <a:noFill/>
                                    <a:ln>
                                      <a:noFill/>
                                    </a:ln>
                                  </pic:spPr>
                                </pic:pic>
                              </a:graphicData>
                            </a:graphic>
                          </wp:inline>
                        </w:drawing>
                      </w:r>
                    </w:p>
                    <w:p w14:paraId="189087B5" w14:textId="41779243" w:rsidR="007515B4" w:rsidRPr="000C008B" w:rsidRDefault="007515B4" w:rsidP="000C008B">
                      <w:pPr>
                        <w:pStyle w:val="Didascalia"/>
                        <w:spacing w:after="0"/>
                        <w:jc w:val="both"/>
                        <w:rPr>
                          <w:i w:val="0"/>
                          <w:iCs w:val="0"/>
                          <w:color w:val="auto"/>
                          <w:sz w:val="14"/>
                          <w:szCs w:val="14"/>
                          <w:lang w:val="en-US"/>
                        </w:rPr>
                      </w:pPr>
                      <w:r w:rsidRPr="000C008B">
                        <w:rPr>
                          <w:b/>
                          <w:bCs/>
                          <w:i w:val="0"/>
                          <w:iCs w:val="0"/>
                          <w:color w:val="auto"/>
                          <w:sz w:val="14"/>
                          <w:szCs w:val="14"/>
                          <w:lang w:val="en-US"/>
                        </w:rPr>
                        <w:t>Figure 1.</w:t>
                      </w:r>
                      <w:r w:rsidRPr="000C008B">
                        <w:rPr>
                          <w:i w:val="0"/>
                          <w:iCs w:val="0"/>
                          <w:color w:val="auto"/>
                          <w:sz w:val="14"/>
                          <w:szCs w:val="14"/>
                          <w:lang w:val="en-US"/>
                        </w:rPr>
                        <w:t xml:space="preserve"> </w:t>
                      </w:r>
                      <w:r w:rsidRPr="000C008B">
                        <w:rPr>
                          <w:b/>
                          <w:bCs/>
                          <w:i w:val="0"/>
                          <w:iCs w:val="0"/>
                          <w:color w:val="auto"/>
                          <w:sz w:val="14"/>
                          <w:szCs w:val="14"/>
                          <w:lang w:val="en-US"/>
                        </w:rPr>
                        <w:t xml:space="preserve">Boxplots of </w:t>
                      </w:r>
                      <w:r w:rsidR="004E6ABE" w:rsidRPr="000C008B">
                        <w:rPr>
                          <w:b/>
                          <w:bCs/>
                          <w:i w:val="0"/>
                          <w:iCs w:val="0"/>
                          <w:color w:val="auto"/>
                          <w:sz w:val="14"/>
                          <w:szCs w:val="14"/>
                          <w:lang w:val="en-US"/>
                        </w:rPr>
                        <w:t>the onset and offset mean absolute errors between the tested segmentation methods and the gold standard.</w:t>
                      </w:r>
                    </w:p>
                    <w:p w14:paraId="51418F43" w14:textId="21E67B53" w:rsidR="00D60CF5" w:rsidRPr="00703FC9" w:rsidRDefault="004E6ABE" w:rsidP="000C008B">
                      <w:pPr>
                        <w:pStyle w:val="Didascalia"/>
                        <w:jc w:val="both"/>
                        <w:rPr>
                          <w:lang w:val="en-US"/>
                        </w:rPr>
                      </w:pPr>
                      <w:r w:rsidRPr="000C008B">
                        <w:rPr>
                          <w:color w:val="auto"/>
                          <w:sz w:val="14"/>
                          <w:szCs w:val="14"/>
                          <w:lang w:val="en-US"/>
                        </w:rPr>
                        <w:t xml:space="preserve">Boxplot showing differences in onset and offset Mean Absolute Error (MAE) between the tested segmentation algorithms and the gold standard are represented in </w:t>
                      </w:r>
                      <w:r w:rsidRPr="000C008B">
                        <w:rPr>
                          <w:b/>
                          <w:bCs/>
                          <w:color w:val="auto"/>
                          <w:sz w:val="14"/>
                          <w:szCs w:val="14"/>
                          <w:lang w:val="en-US"/>
                        </w:rPr>
                        <w:t>Figure 1A</w:t>
                      </w:r>
                      <w:r w:rsidRPr="000C008B">
                        <w:rPr>
                          <w:color w:val="auto"/>
                          <w:sz w:val="14"/>
                          <w:szCs w:val="14"/>
                          <w:lang w:val="en-US"/>
                        </w:rPr>
                        <w:t xml:space="preserve"> and </w:t>
                      </w:r>
                      <w:r w:rsidRPr="000C008B">
                        <w:rPr>
                          <w:b/>
                          <w:bCs/>
                          <w:color w:val="auto"/>
                          <w:sz w:val="14"/>
                          <w:szCs w:val="14"/>
                          <w:lang w:val="en-US"/>
                        </w:rPr>
                        <w:t>Figure 1B</w:t>
                      </w:r>
                      <w:r w:rsidRPr="000C008B">
                        <w:rPr>
                          <w:color w:val="auto"/>
                          <w:sz w:val="14"/>
                          <w:szCs w:val="14"/>
                          <w:lang w:val="en-US"/>
                        </w:rPr>
                        <w:t>, respectively. Statistically significant differences are represented by asterisks (*** p&lt;0.001).</w:t>
                      </w:r>
                    </w:p>
                  </w:txbxContent>
                </v:textbox>
                <w10:wrap type="topAndBottom" anchorx="margin"/>
              </v:shape>
            </w:pict>
          </mc:Fallback>
        </mc:AlternateContent>
      </w:r>
      <w:r w:rsidR="008E43FF">
        <w:rPr>
          <w:lang w:val="en-US"/>
        </w:rPr>
        <w:t>References</w:t>
      </w:r>
    </w:p>
    <w:p w14:paraId="79A1EF0F" w14:textId="1A1DAD08" w:rsidR="005E4E50" w:rsidRDefault="005E4E50" w:rsidP="007B1398">
      <w:pPr>
        <w:autoSpaceDE w:val="0"/>
        <w:autoSpaceDN w:val="0"/>
        <w:ind w:left="640" w:hanging="640"/>
        <w:jc w:val="both"/>
        <w:rPr>
          <w:rFonts w:eastAsia="Times New Roman"/>
          <w:lang w:val="en-US"/>
        </w:rPr>
      </w:pPr>
      <w:r w:rsidRPr="00B0263C">
        <w:rPr>
          <w:rFonts w:eastAsia="Times New Roman"/>
          <w:lang w:val="en-US"/>
        </w:rPr>
        <w:t>[</w:t>
      </w:r>
      <w:r w:rsidR="00B73E8E">
        <w:rPr>
          <w:rFonts w:eastAsia="Times New Roman"/>
          <w:lang w:val="en-US"/>
        </w:rPr>
        <w:t>1</w:t>
      </w:r>
      <w:r w:rsidRPr="00B0263C">
        <w:rPr>
          <w:rFonts w:eastAsia="Times New Roman"/>
          <w:lang w:val="en-US"/>
        </w:rPr>
        <w:t>]</w:t>
      </w:r>
      <w:r w:rsidRPr="00B0263C">
        <w:rPr>
          <w:rFonts w:eastAsia="Times New Roman"/>
          <w:lang w:val="en-US"/>
        </w:rPr>
        <w:tab/>
        <w:t xml:space="preserve">V. M. Parker, D. T. Wade, and R. L. Hewer, “Loss of arm function after stroke: measurement, frequency, and recovery,” </w:t>
      </w:r>
      <w:r w:rsidRPr="00B0263C">
        <w:rPr>
          <w:rFonts w:eastAsia="Times New Roman"/>
          <w:i/>
          <w:iCs/>
          <w:lang w:val="en-US"/>
        </w:rPr>
        <w:t xml:space="preserve">Int </w:t>
      </w:r>
      <w:proofErr w:type="spellStart"/>
      <w:r w:rsidRPr="00B0263C">
        <w:rPr>
          <w:rFonts w:eastAsia="Times New Roman"/>
          <w:i/>
          <w:iCs/>
          <w:lang w:val="en-US"/>
        </w:rPr>
        <w:t>Rehabil</w:t>
      </w:r>
      <w:proofErr w:type="spellEnd"/>
      <w:r w:rsidRPr="00B0263C">
        <w:rPr>
          <w:rFonts w:eastAsia="Times New Roman"/>
          <w:i/>
          <w:iCs/>
          <w:lang w:val="en-US"/>
        </w:rPr>
        <w:t xml:space="preserve"> Med</w:t>
      </w:r>
      <w:r w:rsidRPr="00B0263C">
        <w:rPr>
          <w:rFonts w:eastAsia="Times New Roman"/>
          <w:lang w:val="en-US"/>
        </w:rPr>
        <w:t xml:space="preserve">, vol. 8, no. 2, pp. 69–73, 1986, </w:t>
      </w:r>
      <w:proofErr w:type="spellStart"/>
      <w:r w:rsidRPr="00B0263C">
        <w:rPr>
          <w:rFonts w:eastAsia="Times New Roman"/>
          <w:lang w:val="en-US"/>
        </w:rPr>
        <w:t>doi</w:t>
      </w:r>
      <w:proofErr w:type="spellEnd"/>
      <w:r w:rsidRPr="00B0263C">
        <w:rPr>
          <w:rFonts w:eastAsia="Times New Roman"/>
          <w:lang w:val="en-US"/>
        </w:rPr>
        <w:t>: 10.3109/03790798609166178.</w:t>
      </w:r>
    </w:p>
    <w:p w14:paraId="4C734792" w14:textId="049D42F3" w:rsidR="00B73E8E" w:rsidRPr="000C008B" w:rsidRDefault="00B73E8E" w:rsidP="00B73E8E">
      <w:pPr>
        <w:autoSpaceDE w:val="0"/>
        <w:autoSpaceDN w:val="0"/>
        <w:ind w:left="640" w:hanging="640"/>
        <w:jc w:val="both"/>
        <w:rPr>
          <w:rFonts w:eastAsia="Times New Roman"/>
          <w:kern w:val="0"/>
          <w:sz w:val="24"/>
          <w:szCs w:val="24"/>
          <w:lang w:val="en-US"/>
          <w14:ligatures w14:val="none"/>
        </w:rPr>
      </w:pPr>
      <w:r w:rsidRPr="00B0263C">
        <w:rPr>
          <w:rFonts w:eastAsia="Times New Roman"/>
          <w:lang w:val="en-US"/>
        </w:rPr>
        <w:t>[</w:t>
      </w:r>
      <w:r>
        <w:rPr>
          <w:rFonts w:eastAsia="Times New Roman"/>
          <w:lang w:val="en-US"/>
        </w:rPr>
        <w:t>2</w:t>
      </w:r>
      <w:r w:rsidRPr="00B0263C">
        <w:rPr>
          <w:rFonts w:eastAsia="Times New Roman"/>
          <w:lang w:val="en-US"/>
        </w:rPr>
        <w:t>]</w:t>
      </w:r>
      <w:r w:rsidRPr="00B0263C">
        <w:rPr>
          <w:rFonts w:eastAsia="Times New Roman"/>
          <w:lang w:val="en-US"/>
        </w:rPr>
        <w:tab/>
        <w:t xml:space="preserve">I. </w:t>
      </w:r>
      <w:proofErr w:type="spellStart"/>
      <w:r w:rsidRPr="00B0263C">
        <w:rPr>
          <w:rFonts w:eastAsia="Times New Roman"/>
          <w:lang w:val="en-US"/>
        </w:rPr>
        <w:t>Vanmechelen</w:t>
      </w:r>
      <w:proofErr w:type="spellEnd"/>
      <w:r w:rsidRPr="00B0263C">
        <w:rPr>
          <w:rFonts w:eastAsia="Times New Roman"/>
          <w:lang w:val="en-US"/>
        </w:rPr>
        <w:t xml:space="preserve"> </w:t>
      </w:r>
      <w:r w:rsidRPr="00B0263C">
        <w:rPr>
          <w:rFonts w:eastAsia="Times New Roman"/>
          <w:i/>
          <w:iCs/>
          <w:lang w:val="en-US"/>
        </w:rPr>
        <w:t>et al.</w:t>
      </w:r>
      <w:r w:rsidRPr="00B0263C">
        <w:rPr>
          <w:rFonts w:eastAsia="Times New Roman"/>
          <w:lang w:val="en-US"/>
        </w:rPr>
        <w:t>, “Assessment of movement disorders using wearable sensors during upper limb tasks: A scoping review”</w:t>
      </w:r>
      <w:r>
        <w:rPr>
          <w:rFonts w:eastAsia="Times New Roman"/>
          <w:lang w:val="en-US"/>
        </w:rPr>
        <w:t>,</w:t>
      </w:r>
      <w:r w:rsidRPr="00B0263C">
        <w:rPr>
          <w:rFonts w:eastAsia="Times New Roman"/>
          <w:lang w:val="en-US"/>
        </w:rPr>
        <w:t xml:space="preserve"> </w:t>
      </w:r>
      <w:r w:rsidRPr="00B0263C">
        <w:rPr>
          <w:rFonts w:eastAsia="Times New Roman"/>
          <w:i/>
          <w:iCs/>
          <w:lang w:val="en-US"/>
        </w:rPr>
        <w:t>Front Robot AI</w:t>
      </w:r>
      <w:r w:rsidRPr="00B0263C">
        <w:rPr>
          <w:rFonts w:eastAsia="Times New Roman"/>
          <w:lang w:val="en-US"/>
        </w:rPr>
        <w:t xml:space="preserve">, vol. 9, Jan. 2023, </w:t>
      </w:r>
      <w:proofErr w:type="spellStart"/>
      <w:r w:rsidRPr="00B0263C">
        <w:rPr>
          <w:rFonts w:eastAsia="Times New Roman"/>
          <w:lang w:val="en-US"/>
        </w:rPr>
        <w:t>doi</w:t>
      </w:r>
      <w:proofErr w:type="spellEnd"/>
      <w:r w:rsidRPr="00B0263C">
        <w:rPr>
          <w:rFonts w:eastAsia="Times New Roman"/>
          <w:lang w:val="en-US"/>
        </w:rPr>
        <w:t>: 10.3389/frobt.2022.1068413.</w:t>
      </w:r>
    </w:p>
    <w:p w14:paraId="49B6FA68" w14:textId="232B2CDA" w:rsidR="003A0DC8" w:rsidRPr="003A0DC8" w:rsidRDefault="003A0DC8" w:rsidP="007B1398">
      <w:pPr>
        <w:autoSpaceDE w:val="0"/>
        <w:autoSpaceDN w:val="0"/>
        <w:ind w:left="640" w:hanging="640"/>
        <w:jc w:val="both"/>
        <w:rPr>
          <w:rFonts w:eastAsia="Times New Roman"/>
          <w:lang w:val="en-US"/>
        </w:rPr>
      </w:pPr>
      <w:r w:rsidRPr="003A0DC8">
        <w:rPr>
          <w:rFonts w:eastAsia="Times New Roman"/>
          <w:lang w:val="en-US"/>
        </w:rPr>
        <w:t>[3]</w:t>
      </w:r>
      <w:r w:rsidRPr="003A0DC8">
        <w:rPr>
          <w:rFonts w:eastAsia="Times New Roman"/>
          <w:lang w:val="en-US"/>
        </w:rPr>
        <w:tab/>
        <w:t>V. Agostini, G. Balestra, a</w:t>
      </w:r>
      <w:r w:rsidRPr="000C008B">
        <w:rPr>
          <w:rFonts w:eastAsia="Times New Roman"/>
          <w:lang w:val="en-US"/>
        </w:rPr>
        <w:t>nd M. Knaflitz, “Segmentation and Classification of Gait Cycles”</w:t>
      </w:r>
      <w:r>
        <w:rPr>
          <w:rFonts w:eastAsia="Times New Roman"/>
          <w:lang w:val="en-US"/>
        </w:rPr>
        <w:t xml:space="preserve">, </w:t>
      </w:r>
      <w:r w:rsidRPr="000C008B">
        <w:rPr>
          <w:rFonts w:eastAsia="Times New Roman"/>
          <w:i/>
          <w:iCs/>
          <w:lang w:val="en-US"/>
        </w:rPr>
        <w:t>IEEE Transactions on Neural Systems and Rehabilitation Engineering</w:t>
      </w:r>
      <w:r>
        <w:rPr>
          <w:rFonts w:eastAsia="Times New Roman"/>
          <w:lang w:val="en-US"/>
        </w:rPr>
        <w:t xml:space="preserve">, vol. 22, no. 5, pp. 946-952, </w:t>
      </w:r>
      <w:proofErr w:type="spellStart"/>
      <w:r>
        <w:rPr>
          <w:rFonts w:eastAsia="Times New Roman"/>
          <w:lang w:val="en-US"/>
        </w:rPr>
        <w:t>doi</w:t>
      </w:r>
      <w:proofErr w:type="spellEnd"/>
      <w:r>
        <w:rPr>
          <w:rFonts w:eastAsia="Times New Roman"/>
          <w:lang w:val="en-US"/>
        </w:rPr>
        <w:t xml:space="preserve">: </w:t>
      </w:r>
      <w:r w:rsidRPr="003A0DC8">
        <w:rPr>
          <w:rFonts w:eastAsia="Times New Roman"/>
          <w:lang w:val="en-US"/>
        </w:rPr>
        <w:t>10.1109/TNSRE.2013.2291907</w:t>
      </w:r>
      <w:r>
        <w:rPr>
          <w:rFonts w:eastAsia="Times New Roman"/>
          <w:lang w:val="en-US"/>
        </w:rPr>
        <w:t>.</w:t>
      </w:r>
    </w:p>
    <w:p w14:paraId="545D1739" w14:textId="0A2B5692" w:rsidR="005E4E50" w:rsidRPr="00B0263C" w:rsidRDefault="005E4E50" w:rsidP="007B1398">
      <w:pPr>
        <w:autoSpaceDE w:val="0"/>
        <w:autoSpaceDN w:val="0"/>
        <w:ind w:left="640" w:hanging="640"/>
        <w:jc w:val="both"/>
        <w:rPr>
          <w:rFonts w:eastAsia="Times New Roman"/>
          <w:lang w:val="en-US"/>
        </w:rPr>
      </w:pPr>
      <w:r w:rsidRPr="00B0263C">
        <w:rPr>
          <w:rFonts w:eastAsia="Times New Roman"/>
          <w:lang w:val="en-US"/>
        </w:rPr>
        <w:t>[</w:t>
      </w:r>
      <w:r w:rsidR="003A0DC8">
        <w:rPr>
          <w:rFonts w:eastAsia="Times New Roman"/>
          <w:lang w:val="en-US"/>
        </w:rPr>
        <w:t>4</w:t>
      </w:r>
      <w:r w:rsidRPr="00B0263C">
        <w:rPr>
          <w:rFonts w:eastAsia="Times New Roman"/>
          <w:lang w:val="en-US"/>
        </w:rPr>
        <w:t>]</w:t>
      </w:r>
      <w:r w:rsidRPr="00B0263C">
        <w:rPr>
          <w:rFonts w:eastAsia="Times New Roman"/>
          <w:lang w:val="en-US"/>
        </w:rPr>
        <w:tab/>
        <w:t xml:space="preserve">I. Carpinella, D. Cattaneo, and M. </w:t>
      </w:r>
      <w:proofErr w:type="spellStart"/>
      <w:r w:rsidRPr="00B0263C">
        <w:rPr>
          <w:rFonts w:eastAsia="Times New Roman"/>
          <w:lang w:val="en-US"/>
        </w:rPr>
        <w:t>Ferrarin</w:t>
      </w:r>
      <w:proofErr w:type="spellEnd"/>
      <w:r w:rsidRPr="00B0263C">
        <w:rPr>
          <w:rFonts w:eastAsia="Times New Roman"/>
          <w:lang w:val="en-US"/>
        </w:rPr>
        <w:t>, “Quantitative assessment of upper limb motor function in Multiple Sclerosis using an instrumented Action Research Arm Test”</w:t>
      </w:r>
      <w:r w:rsidR="003A0DC8">
        <w:rPr>
          <w:rFonts w:eastAsia="Times New Roman"/>
          <w:lang w:val="en-US"/>
        </w:rPr>
        <w:t>,</w:t>
      </w:r>
      <w:r w:rsidRPr="00B0263C">
        <w:rPr>
          <w:rFonts w:eastAsia="Times New Roman"/>
          <w:lang w:val="en-US"/>
        </w:rPr>
        <w:t xml:space="preserve"> </w:t>
      </w:r>
      <w:r w:rsidRPr="00B0263C">
        <w:rPr>
          <w:rFonts w:eastAsia="Times New Roman"/>
          <w:i/>
          <w:iCs/>
          <w:lang w:val="en-US"/>
        </w:rPr>
        <w:t xml:space="preserve">J </w:t>
      </w:r>
      <w:proofErr w:type="spellStart"/>
      <w:r w:rsidRPr="00B0263C">
        <w:rPr>
          <w:rFonts w:eastAsia="Times New Roman"/>
          <w:i/>
          <w:iCs/>
          <w:lang w:val="en-US"/>
        </w:rPr>
        <w:t>Neuroeng</w:t>
      </w:r>
      <w:proofErr w:type="spellEnd"/>
      <w:r w:rsidRPr="00B0263C">
        <w:rPr>
          <w:rFonts w:eastAsia="Times New Roman"/>
          <w:i/>
          <w:iCs/>
          <w:lang w:val="en-US"/>
        </w:rPr>
        <w:t xml:space="preserve"> </w:t>
      </w:r>
      <w:proofErr w:type="spellStart"/>
      <w:r w:rsidRPr="00B0263C">
        <w:rPr>
          <w:rFonts w:eastAsia="Times New Roman"/>
          <w:i/>
          <w:iCs/>
          <w:lang w:val="en-US"/>
        </w:rPr>
        <w:t>Rehabil</w:t>
      </w:r>
      <w:proofErr w:type="spellEnd"/>
      <w:r w:rsidRPr="00B0263C">
        <w:rPr>
          <w:rFonts w:eastAsia="Times New Roman"/>
          <w:lang w:val="en-US"/>
        </w:rPr>
        <w:t xml:space="preserve">, vol. 11, no. 1, pp. 1–16, 2014, </w:t>
      </w:r>
      <w:proofErr w:type="spellStart"/>
      <w:r w:rsidRPr="00B0263C">
        <w:rPr>
          <w:rFonts w:eastAsia="Times New Roman"/>
          <w:lang w:val="en-US"/>
        </w:rPr>
        <w:t>doi</w:t>
      </w:r>
      <w:proofErr w:type="spellEnd"/>
      <w:r w:rsidRPr="00B0263C">
        <w:rPr>
          <w:rFonts w:eastAsia="Times New Roman"/>
          <w:lang w:val="en-US"/>
        </w:rPr>
        <w:t>: 10.1186/1743-0003-11-67.</w:t>
      </w:r>
    </w:p>
    <w:p w14:paraId="5C7F185C" w14:textId="31A29384" w:rsidR="00D60CF5" w:rsidRPr="005E4E50" w:rsidRDefault="005E4E50" w:rsidP="007B1398">
      <w:pPr>
        <w:autoSpaceDE w:val="0"/>
        <w:autoSpaceDN w:val="0"/>
        <w:ind w:left="640" w:hanging="640"/>
        <w:jc w:val="both"/>
        <w:rPr>
          <w:rFonts w:eastAsia="Times New Roman"/>
          <w:lang w:val="en-US"/>
        </w:rPr>
      </w:pPr>
      <w:r w:rsidRPr="00B0263C">
        <w:rPr>
          <w:rFonts w:eastAsia="Times New Roman"/>
          <w:lang w:val="en-US"/>
        </w:rPr>
        <w:t>[</w:t>
      </w:r>
      <w:r w:rsidR="003A0DC8">
        <w:rPr>
          <w:rFonts w:eastAsia="Times New Roman"/>
          <w:lang w:val="en-US"/>
        </w:rPr>
        <w:t>5</w:t>
      </w:r>
      <w:r w:rsidRPr="00B0263C">
        <w:rPr>
          <w:rFonts w:eastAsia="Times New Roman"/>
          <w:lang w:val="en-US"/>
        </w:rPr>
        <w:t>]</w:t>
      </w:r>
      <w:r w:rsidRPr="00B0263C">
        <w:rPr>
          <w:rFonts w:eastAsia="Times New Roman"/>
          <w:lang w:val="en-US"/>
        </w:rPr>
        <w:tab/>
        <w:t xml:space="preserve">A. Schwarz, M. M. C. </w:t>
      </w:r>
      <w:proofErr w:type="spellStart"/>
      <w:r w:rsidRPr="00B0263C">
        <w:rPr>
          <w:rFonts w:eastAsia="Times New Roman"/>
          <w:lang w:val="en-US"/>
        </w:rPr>
        <w:t>Bhagubai</w:t>
      </w:r>
      <w:proofErr w:type="spellEnd"/>
      <w:r w:rsidRPr="00B0263C">
        <w:rPr>
          <w:rFonts w:eastAsia="Times New Roman"/>
          <w:lang w:val="en-US"/>
        </w:rPr>
        <w:t xml:space="preserve">, G. </w:t>
      </w:r>
      <w:proofErr w:type="spellStart"/>
      <w:r w:rsidRPr="00B0263C">
        <w:rPr>
          <w:rFonts w:eastAsia="Times New Roman"/>
          <w:lang w:val="en-US"/>
        </w:rPr>
        <w:t>Wolterink</w:t>
      </w:r>
      <w:proofErr w:type="spellEnd"/>
      <w:r w:rsidRPr="00B0263C">
        <w:rPr>
          <w:rFonts w:eastAsia="Times New Roman"/>
          <w:lang w:val="en-US"/>
        </w:rPr>
        <w:t xml:space="preserve">, J. P. O. Held, A. R. Luft, and P. H. </w:t>
      </w:r>
      <w:proofErr w:type="spellStart"/>
      <w:r w:rsidRPr="00B0263C">
        <w:rPr>
          <w:rFonts w:eastAsia="Times New Roman"/>
          <w:lang w:val="en-US"/>
        </w:rPr>
        <w:t>Veltink</w:t>
      </w:r>
      <w:proofErr w:type="spellEnd"/>
      <w:r w:rsidRPr="00B0263C">
        <w:rPr>
          <w:rFonts w:eastAsia="Times New Roman"/>
          <w:lang w:val="en-US"/>
        </w:rPr>
        <w:t>, “Assessment of upper limb movement impairments after stroke using wearable inertial sensing”</w:t>
      </w:r>
      <w:r w:rsidR="003A0DC8">
        <w:rPr>
          <w:rFonts w:eastAsia="Times New Roman"/>
          <w:lang w:val="en-US"/>
        </w:rPr>
        <w:t>,</w:t>
      </w:r>
      <w:r w:rsidRPr="00B0263C">
        <w:rPr>
          <w:rFonts w:eastAsia="Times New Roman"/>
          <w:lang w:val="en-US"/>
        </w:rPr>
        <w:t xml:space="preserve"> </w:t>
      </w:r>
      <w:r w:rsidRPr="00B0263C">
        <w:rPr>
          <w:rFonts w:eastAsia="Times New Roman"/>
          <w:i/>
          <w:iCs/>
          <w:lang w:val="en-US"/>
        </w:rPr>
        <w:t>Sensors (Switzerland)</w:t>
      </w:r>
      <w:r w:rsidRPr="00B0263C">
        <w:rPr>
          <w:rFonts w:eastAsia="Times New Roman"/>
          <w:lang w:val="en-US"/>
        </w:rPr>
        <w:t>, vol. 20, no. 17, pp. 1–22, 2020, doi: 10.3390/s20174770.</w:t>
      </w:r>
    </w:p>
    <w:sectPr w:rsidR="00D60CF5" w:rsidRPr="005E4E5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7QwN7CwNLK0NDe1NDZS0lEKTi0uzszPAykwqgUAD0f2MywAAAA="/>
  </w:docVars>
  <w:rsids>
    <w:rsidRoot w:val="00AE2541"/>
    <w:rsid w:val="00041345"/>
    <w:rsid w:val="000600EB"/>
    <w:rsid w:val="000C008B"/>
    <w:rsid w:val="000D5700"/>
    <w:rsid w:val="000E271C"/>
    <w:rsid w:val="000E3270"/>
    <w:rsid w:val="00106F12"/>
    <w:rsid w:val="00170D91"/>
    <w:rsid w:val="00206781"/>
    <w:rsid w:val="0021017B"/>
    <w:rsid w:val="00237C3F"/>
    <w:rsid w:val="00277DE1"/>
    <w:rsid w:val="00284C9E"/>
    <w:rsid w:val="002945E4"/>
    <w:rsid w:val="002A08CD"/>
    <w:rsid w:val="002A5DF2"/>
    <w:rsid w:val="002B2C0A"/>
    <w:rsid w:val="002F060C"/>
    <w:rsid w:val="003015FA"/>
    <w:rsid w:val="00320CCE"/>
    <w:rsid w:val="00360794"/>
    <w:rsid w:val="00371838"/>
    <w:rsid w:val="003A0DC8"/>
    <w:rsid w:val="003E49FD"/>
    <w:rsid w:val="00416F2D"/>
    <w:rsid w:val="0042731E"/>
    <w:rsid w:val="004B74F9"/>
    <w:rsid w:val="004E11B3"/>
    <w:rsid w:val="004E6ABE"/>
    <w:rsid w:val="00562600"/>
    <w:rsid w:val="005E4E50"/>
    <w:rsid w:val="005E5F43"/>
    <w:rsid w:val="006307E9"/>
    <w:rsid w:val="00636EB9"/>
    <w:rsid w:val="006434B4"/>
    <w:rsid w:val="006B4BD5"/>
    <w:rsid w:val="006C4310"/>
    <w:rsid w:val="00703FC9"/>
    <w:rsid w:val="00732B21"/>
    <w:rsid w:val="007515B4"/>
    <w:rsid w:val="00770225"/>
    <w:rsid w:val="00782555"/>
    <w:rsid w:val="007A2D37"/>
    <w:rsid w:val="007B1398"/>
    <w:rsid w:val="00867EB4"/>
    <w:rsid w:val="008812A9"/>
    <w:rsid w:val="00896A96"/>
    <w:rsid w:val="008973CE"/>
    <w:rsid w:val="008E43FF"/>
    <w:rsid w:val="00925C93"/>
    <w:rsid w:val="0093375B"/>
    <w:rsid w:val="00935F02"/>
    <w:rsid w:val="009F0107"/>
    <w:rsid w:val="009F3824"/>
    <w:rsid w:val="00A056BD"/>
    <w:rsid w:val="00A87A63"/>
    <w:rsid w:val="00AA29F1"/>
    <w:rsid w:val="00AE2541"/>
    <w:rsid w:val="00B24021"/>
    <w:rsid w:val="00B30979"/>
    <w:rsid w:val="00B3477C"/>
    <w:rsid w:val="00B73E8E"/>
    <w:rsid w:val="00B74A69"/>
    <w:rsid w:val="00B82367"/>
    <w:rsid w:val="00BB6FEF"/>
    <w:rsid w:val="00BF040C"/>
    <w:rsid w:val="00C46BCE"/>
    <w:rsid w:val="00CC25AE"/>
    <w:rsid w:val="00CE26CC"/>
    <w:rsid w:val="00D60CF5"/>
    <w:rsid w:val="00E07925"/>
    <w:rsid w:val="00E27BB2"/>
    <w:rsid w:val="00E43573"/>
    <w:rsid w:val="00E45A64"/>
    <w:rsid w:val="00E53D6C"/>
    <w:rsid w:val="00E675AD"/>
    <w:rsid w:val="00E75EC3"/>
    <w:rsid w:val="00EE4C4C"/>
    <w:rsid w:val="00EE7856"/>
    <w:rsid w:val="00F13638"/>
    <w:rsid w:val="00F2397D"/>
    <w:rsid w:val="00F247D2"/>
    <w:rsid w:val="00F358CA"/>
    <w:rsid w:val="00FA0372"/>
    <w:rsid w:val="00FA075B"/>
    <w:rsid w:val="00FB2BEE"/>
    <w:rsid w:val="00FC71AA"/>
    <w:rsid w:val="00FF5E51"/>
    <w:rsid w:val="00FF64F3"/>
    <w:rsid w:val="275B6A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EE49EA"/>
  <w15:chartTrackingRefBased/>
  <w15:docId w15:val="{61CEB26B-15D4-4DE8-8DB6-B22C80BE8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675AD"/>
    <w:rPr>
      <w:rFonts w:ascii="Times New Roman" w:hAnsi="Times New Roman"/>
      <w:sz w:val="20"/>
    </w:rPr>
  </w:style>
  <w:style w:type="paragraph" w:styleId="Titolo1">
    <w:name w:val="heading 1"/>
    <w:basedOn w:val="Normale"/>
    <w:next w:val="Normale"/>
    <w:link w:val="Titolo1Carattere"/>
    <w:uiPriority w:val="9"/>
    <w:qFormat/>
    <w:rsid w:val="00AE2541"/>
    <w:pPr>
      <w:keepNext/>
      <w:keepLines/>
      <w:spacing w:before="360" w:after="80"/>
      <w:outlineLvl w:val="0"/>
    </w:pPr>
    <w:rPr>
      <w:rFonts w:eastAsiaTheme="majorEastAsia" w:cstheme="majorBidi"/>
      <w:sz w:val="40"/>
      <w:szCs w:val="40"/>
    </w:rPr>
  </w:style>
  <w:style w:type="paragraph" w:styleId="Titolo2">
    <w:name w:val="heading 2"/>
    <w:basedOn w:val="Normale"/>
    <w:next w:val="Normale"/>
    <w:link w:val="Titolo2Carattere"/>
    <w:uiPriority w:val="9"/>
    <w:unhideWhenUsed/>
    <w:qFormat/>
    <w:rsid w:val="00AE2541"/>
    <w:pPr>
      <w:keepNext/>
      <w:keepLines/>
      <w:spacing w:before="160" w:after="80"/>
      <w:outlineLvl w:val="1"/>
    </w:pPr>
    <w:rPr>
      <w:rFonts w:eastAsiaTheme="majorEastAsia" w:cstheme="majorBidi"/>
      <w:sz w:val="32"/>
      <w:szCs w:val="32"/>
    </w:rPr>
  </w:style>
  <w:style w:type="paragraph" w:styleId="Titolo3">
    <w:name w:val="heading 3"/>
    <w:basedOn w:val="Normale"/>
    <w:next w:val="Normale"/>
    <w:link w:val="Titolo3Carattere"/>
    <w:uiPriority w:val="9"/>
    <w:semiHidden/>
    <w:unhideWhenUsed/>
    <w:qFormat/>
    <w:rsid w:val="00AE2541"/>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AE2541"/>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E2541"/>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E2541"/>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E2541"/>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E2541"/>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E2541"/>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AE2541"/>
    <w:rPr>
      <w:rFonts w:ascii="Times New Roman" w:eastAsiaTheme="majorEastAsia" w:hAnsi="Times New Roman" w:cstheme="majorBidi"/>
      <w:sz w:val="40"/>
      <w:szCs w:val="40"/>
    </w:rPr>
  </w:style>
  <w:style w:type="character" w:customStyle="1" w:styleId="Titolo2Carattere">
    <w:name w:val="Titolo 2 Carattere"/>
    <w:basedOn w:val="Carpredefinitoparagrafo"/>
    <w:link w:val="Titolo2"/>
    <w:uiPriority w:val="9"/>
    <w:rsid w:val="00AE2541"/>
    <w:rPr>
      <w:rFonts w:ascii="Times New Roman" w:eastAsiaTheme="majorEastAsia" w:hAnsi="Times New Roman" w:cstheme="majorBidi"/>
      <w:sz w:val="32"/>
      <w:szCs w:val="32"/>
    </w:rPr>
  </w:style>
  <w:style w:type="character" w:customStyle="1" w:styleId="Titolo3Carattere">
    <w:name w:val="Titolo 3 Carattere"/>
    <w:basedOn w:val="Carpredefinitoparagrafo"/>
    <w:link w:val="Titolo3"/>
    <w:uiPriority w:val="9"/>
    <w:semiHidden/>
    <w:rsid w:val="00AE2541"/>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AE2541"/>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E2541"/>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E2541"/>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E2541"/>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E2541"/>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E2541"/>
    <w:rPr>
      <w:rFonts w:eastAsiaTheme="majorEastAsia" w:cstheme="majorBidi"/>
      <w:color w:val="272727" w:themeColor="text1" w:themeTint="D8"/>
    </w:rPr>
  </w:style>
  <w:style w:type="paragraph" w:styleId="Titolo">
    <w:name w:val="Title"/>
    <w:basedOn w:val="Normale"/>
    <w:next w:val="Normale"/>
    <w:link w:val="TitoloCarattere"/>
    <w:uiPriority w:val="10"/>
    <w:qFormat/>
    <w:rsid w:val="00AE2541"/>
    <w:pPr>
      <w:spacing w:after="80" w:line="240" w:lineRule="auto"/>
      <w:contextualSpacing/>
    </w:pPr>
    <w:rPr>
      <w:rFonts w:eastAsiaTheme="majorEastAsia" w:cstheme="majorBidi"/>
      <w:spacing w:val="-10"/>
      <w:kern w:val="28"/>
      <w:sz w:val="56"/>
      <w:szCs w:val="56"/>
    </w:rPr>
  </w:style>
  <w:style w:type="character" w:customStyle="1" w:styleId="TitoloCarattere">
    <w:name w:val="Titolo Carattere"/>
    <w:basedOn w:val="Carpredefinitoparagrafo"/>
    <w:link w:val="Titolo"/>
    <w:uiPriority w:val="10"/>
    <w:rsid w:val="00AE2541"/>
    <w:rPr>
      <w:rFonts w:ascii="Times New Roman" w:eastAsiaTheme="majorEastAsia" w:hAnsi="Times New Roman" w:cstheme="majorBidi"/>
      <w:spacing w:val="-10"/>
      <w:kern w:val="28"/>
      <w:sz w:val="56"/>
      <w:szCs w:val="56"/>
    </w:rPr>
  </w:style>
  <w:style w:type="paragraph" w:styleId="Sottotitolo">
    <w:name w:val="Subtitle"/>
    <w:basedOn w:val="Normale"/>
    <w:next w:val="Normale"/>
    <w:link w:val="SottotitoloCarattere"/>
    <w:uiPriority w:val="11"/>
    <w:qFormat/>
    <w:rsid w:val="00AE2541"/>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E2541"/>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E2541"/>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E2541"/>
    <w:rPr>
      <w:i/>
      <w:iCs/>
      <w:color w:val="404040" w:themeColor="text1" w:themeTint="BF"/>
    </w:rPr>
  </w:style>
  <w:style w:type="paragraph" w:styleId="Paragrafoelenco">
    <w:name w:val="List Paragraph"/>
    <w:basedOn w:val="Normale"/>
    <w:uiPriority w:val="34"/>
    <w:qFormat/>
    <w:rsid w:val="00AE2541"/>
    <w:pPr>
      <w:ind w:left="720"/>
      <w:contextualSpacing/>
    </w:pPr>
  </w:style>
  <w:style w:type="character" w:styleId="Enfasiintensa">
    <w:name w:val="Intense Emphasis"/>
    <w:basedOn w:val="Carpredefinitoparagrafo"/>
    <w:uiPriority w:val="21"/>
    <w:qFormat/>
    <w:rsid w:val="00AE2541"/>
    <w:rPr>
      <w:i/>
      <w:iCs/>
      <w:color w:val="0F4761" w:themeColor="accent1" w:themeShade="BF"/>
    </w:rPr>
  </w:style>
  <w:style w:type="paragraph" w:styleId="Citazioneintensa">
    <w:name w:val="Intense Quote"/>
    <w:basedOn w:val="Normale"/>
    <w:next w:val="Normale"/>
    <w:link w:val="CitazioneintensaCarattere"/>
    <w:uiPriority w:val="30"/>
    <w:qFormat/>
    <w:rsid w:val="00AE254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E2541"/>
    <w:rPr>
      <w:i/>
      <w:iCs/>
      <w:color w:val="0F4761" w:themeColor="accent1" w:themeShade="BF"/>
    </w:rPr>
  </w:style>
  <w:style w:type="character" w:styleId="Riferimentointenso">
    <w:name w:val="Intense Reference"/>
    <w:basedOn w:val="Carpredefinitoparagrafo"/>
    <w:uiPriority w:val="32"/>
    <w:qFormat/>
    <w:rsid w:val="00AE2541"/>
    <w:rPr>
      <w:b/>
      <w:bCs/>
      <w:smallCaps/>
      <w:color w:val="0F4761" w:themeColor="accent1" w:themeShade="BF"/>
      <w:spacing w:val="5"/>
    </w:rPr>
  </w:style>
  <w:style w:type="table" w:styleId="Tabellagriglia6acolori">
    <w:name w:val="Grid Table 6 Colorful"/>
    <w:basedOn w:val="Tabellanormale"/>
    <w:uiPriority w:val="51"/>
    <w:rsid w:val="00E675AD"/>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Didascalia">
    <w:name w:val="caption"/>
    <w:basedOn w:val="Normale"/>
    <w:next w:val="Normale"/>
    <w:uiPriority w:val="35"/>
    <w:unhideWhenUsed/>
    <w:qFormat/>
    <w:rsid w:val="00703FC9"/>
    <w:pPr>
      <w:spacing w:after="200" w:line="240" w:lineRule="auto"/>
    </w:pPr>
    <w:rPr>
      <w:i/>
      <w:iCs/>
      <w:color w:val="0E2841" w:themeColor="text2"/>
      <w:sz w:val="18"/>
      <w:szCs w:val="18"/>
    </w:rPr>
  </w:style>
  <w:style w:type="character" w:styleId="Rimandocommento">
    <w:name w:val="annotation reference"/>
    <w:basedOn w:val="Carpredefinitoparagrafo"/>
    <w:uiPriority w:val="99"/>
    <w:semiHidden/>
    <w:unhideWhenUsed/>
    <w:rsid w:val="002945E4"/>
    <w:rPr>
      <w:sz w:val="16"/>
      <w:szCs w:val="16"/>
    </w:rPr>
  </w:style>
  <w:style w:type="paragraph" w:styleId="Testocommento">
    <w:name w:val="annotation text"/>
    <w:basedOn w:val="Normale"/>
    <w:link w:val="TestocommentoCarattere"/>
    <w:uiPriority w:val="99"/>
    <w:unhideWhenUsed/>
    <w:rsid w:val="002945E4"/>
    <w:pPr>
      <w:spacing w:line="240" w:lineRule="auto"/>
    </w:pPr>
    <w:rPr>
      <w:szCs w:val="20"/>
    </w:rPr>
  </w:style>
  <w:style w:type="character" w:customStyle="1" w:styleId="TestocommentoCarattere">
    <w:name w:val="Testo commento Carattere"/>
    <w:basedOn w:val="Carpredefinitoparagrafo"/>
    <w:link w:val="Testocommento"/>
    <w:uiPriority w:val="99"/>
    <w:rsid w:val="002945E4"/>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2945E4"/>
    <w:rPr>
      <w:b/>
      <w:bCs/>
    </w:rPr>
  </w:style>
  <w:style w:type="character" w:customStyle="1" w:styleId="SoggettocommentoCarattere">
    <w:name w:val="Soggetto commento Carattere"/>
    <w:basedOn w:val="TestocommentoCarattere"/>
    <w:link w:val="Soggettocommento"/>
    <w:uiPriority w:val="99"/>
    <w:semiHidden/>
    <w:rsid w:val="002945E4"/>
    <w:rPr>
      <w:rFonts w:ascii="Times New Roman" w:hAnsi="Times New Roman"/>
      <w:b/>
      <w:bCs/>
      <w:sz w:val="20"/>
      <w:szCs w:val="20"/>
    </w:rPr>
  </w:style>
  <w:style w:type="paragraph" w:styleId="Testofumetto">
    <w:name w:val="Balloon Text"/>
    <w:basedOn w:val="Normale"/>
    <w:link w:val="TestofumettoCarattere"/>
    <w:uiPriority w:val="99"/>
    <w:semiHidden/>
    <w:unhideWhenUsed/>
    <w:rsid w:val="00FB2BE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B2BEE"/>
    <w:rPr>
      <w:rFonts w:ascii="Segoe UI" w:hAnsi="Segoe UI" w:cs="Segoe UI"/>
      <w:sz w:val="18"/>
      <w:szCs w:val="18"/>
    </w:rPr>
  </w:style>
  <w:style w:type="paragraph" w:styleId="Revisione">
    <w:name w:val="Revision"/>
    <w:hidden/>
    <w:uiPriority w:val="99"/>
    <w:semiHidden/>
    <w:rsid w:val="00562600"/>
    <w:pPr>
      <w:spacing w:after="0" w:line="240" w:lineRule="auto"/>
    </w:pPr>
    <w:rPr>
      <w:rFonts w:ascii="Times New Roman" w:hAnsi="Times New Roman"/>
      <w:sz w:val="20"/>
    </w:rPr>
  </w:style>
  <w:style w:type="character" w:styleId="Testosegnaposto">
    <w:name w:val="Placeholder Text"/>
    <w:basedOn w:val="Carpredefinitoparagrafo"/>
    <w:uiPriority w:val="99"/>
    <w:semiHidden/>
    <w:rsid w:val="00D60CF5"/>
    <w:rPr>
      <w:color w:val="666666"/>
    </w:rPr>
  </w:style>
  <w:style w:type="character" w:customStyle="1" w:styleId="cf01">
    <w:name w:val="cf01"/>
    <w:basedOn w:val="Carpredefinitoparagrafo"/>
    <w:rsid w:val="000C008B"/>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234376">
      <w:bodyDiv w:val="1"/>
      <w:marLeft w:val="0"/>
      <w:marRight w:val="0"/>
      <w:marTop w:val="0"/>
      <w:marBottom w:val="0"/>
      <w:divBdr>
        <w:top w:val="none" w:sz="0" w:space="0" w:color="auto"/>
        <w:left w:val="none" w:sz="0" w:space="0" w:color="auto"/>
        <w:bottom w:val="none" w:sz="0" w:space="0" w:color="auto"/>
        <w:right w:val="none" w:sz="0" w:space="0" w:color="auto"/>
      </w:divBdr>
      <w:divsChild>
        <w:div w:id="124086763">
          <w:marLeft w:val="640"/>
          <w:marRight w:val="0"/>
          <w:marTop w:val="0"/>
          <w:marBottom w:val="0"/>
          <w:divBdr>
            <w:top w:val="none" w:sz="0" w:space="0" w:color="auto"/>
            <w:left w:val="none" w:sz="0" w:space="0" w:color="auto"/>
            <w:bottom w:val="none" w:sz="0" w:space="0" w:color="auto"/>
            <w:right w:val="none" w:sz="0" w:space="0" w:color="auto"/>
          </w:divBdr>
        </w:div>
        <w:div w:id="936720019">
          <w:marLeft w:val="640"/>
          <w:marRight w:val="0"/>
          <w:marTop w:val="0"/>
          <w:marBottom w:val="0"/>
          <w:divBdr>
            <w:top w:val="none" w:sz="0" w:space="0" w:color="auto"/>
            <w:left w:val="none" w:sz="0" w:space="0" w:color="auto"/>
            <w:bottom w:val="none" w:sz="0" w:space="0" w:color="auto"/>
            <w:right w:val="none" w:sz="0" w:space="0" w:color="auto"/>
          </w:divBdr>
        </w:div>
        <w:div w:id="856315109">
          <w:marLeft w:val="640"/>
          <w:marRight w:val="0"/>
          <w:marTop w:val="0"/>
          <w:marBottom w:val="0"/>
          <w:divBdr>
            <w:top w:val="none" w:sz="0" w:space="0" w:color="auto"/>
            <w:left w:val="none" w:sz="0" w:space="0" w:color="auto"/>
            <w:bottom w:val="none" w:sz="0" w:space="0" w:color="auto"/>
            <w:right w:val="none" w:sz="0" w:space="0" w:color="auto"/>
          </w:divBdr>
        </w:div>
        <w:div w:id="724139044">
          <w:marLeft w:val="640"/>
          <w:marRight w:val="0"/>
          <w:marTop w:val="0"/>
          <w:marBottom w:val="0"/>
          <w:divBdr>
            <w:top w:val="none" w:sz="0" w:space="0" w:color="auto"/>
            <w:left w:val="none" w:sz="0" w:space="0" w:color="auto"/>
            <w:bottom w:val="none" w:sz="0" w:space="0" w:color="auto"/>
            <w:right w:val="none" w:sz="0" w:space="0" w:color="auto"/>
          </w:divBdr>
        </w:div>
        <w:div w:id="1512449965">
          <w:marLeft w:val="640"/>
          <w:marRight w:val="0"/>
          <w:marTop w:val="0"/>
          <w:marBottom w:val="0"/>
          <w:divBdr>
            <w:top w:val="none" w:sz="0" w:space="0" w:color="auto"/>
            <w:left w:val="none" w:sz="0" w:space="0" w:color="auto"/>
            <w:bottom w:val="none" w:sz="0" w:space="0" w:color="auto"/>
            <w:right w:val="none" w:sz="0" w:space="0" w:color="auto"/>
          </w:divBdr>
        </w:div>
      </w:divsChild>
    </w:div>
    <w:div w:id="247732622">
      <w:bodyDiv w:val="1"/>
      <w:marLeft w:val="0"/>
      <w:marRight w:val="0"/>
      <w:marTop w:val="0"/>
      <w:marBottom w:val="0"/>
      <w:divBdr>
        <w:top w:val="none" w:sz="0" w:space="0" w:color="auto"/>
        <w:left w:val="none" w:sz="0" w:space="0" w:color="auto"/>
        <w:bottom w:val="none" w:sz="0" w:space="0" w:color="auto"/>
        <w:right w:val="none" w:sz="0" w:space="0" w:color="auto"/>
      </w:divBdr>
      <w:divsChild>
        <w:div w:id="1003970765">
          <w:marLeft w:val="640"/>
          <w:marRight w:val="0"/>
          <w:marTop w:val="0"/>
          <w:marBottom w:val="0"/>
          <w:divBdr>
            <w:top w:val="none" w:sz="0" w:space="0" w:color="auto"/>
            <w:left w:val="none" w:sz="0" w:space="0" w:color="auto"/>
            <w:bottom w:val="none" w:sz="0" w:space="0" w:color="auto"/>
            <w:right w:val="none" w:sz="0" w:space="0" w:color="auto"/>
          </w:divBdr>
        </w:div>
        <w:div w:id="402333029">
          <w:marLeft w:val="640"/>
          <w:marRight w:val="0"/>
          <w:marTop w:val="0"/>
          <w:marBottom w:val="0"/>
          <w:divBdr>
            <w:top w:val="none" w:sz="0" w:space="0" w:color="auto"/>
            <w:left w:val="none" w:sz="0" w:space="0" w:color="auto"/>
            <w:bottom w:val="none" w:sz="0" w:space="0" w:color="auto"/>
            <w:right w:val="none" w:sz="0" w:space="0" w:color="auto"/>
          </w:divBdr>
        </w:div>
        <w:div w:id="2106028875">
          <w:marLeft w:val="640"/>
          <w:marRight w:val="0"/>
          <w:marTop w:val="0"/>
          <w:marBottom w:val="0"/>
          <w:divBdr>
            <w:top w:val="none" w:sz="0" w:space="0" w:color="auto"/>
            <w:left w:val="none" w:sz="0" w:space="0" w:color="auto"/>
            <w:bottom w:val="none" w:sz="0" w:space="0" w:color="auto"/>
            <w:right w:val="none" w:sz="0" w:space="0" w:color="auto"/>
          </w:divBdr>
        </w:div>
        <w:div w:id="2141652996">
          <w:marLeft w:val="640"/>
          <w:marRight w:val="0"/>
          <w:marTop w:val="0"/>
          <w:marBottom w:val="0"/>
          <w:divBdr>
            <w:top w:val="none" w:sz="0" w:space="0" w:color="auto"/>
            <w:left w:val="none" w:sz="0" w:space="0" w:color="auto"/>
            <w:bottom w:val="none" w:sz="0" w:space="0" w:color="auto"/>
            <w:right w:val="none" w:sz="0" w:space="0" w:color="auto"/>
          </w:divBdr>
        </w:div>
      </w:divsChild>
    </w:div>
    <w:div w:id="309673923">
      <w:bodyDiv w:val="1"/>
      <w:marLeft w:val="0"/>
      <w:marRight w:val="0"/>
      <w:marTop w:val="0"/>
      <w:marBottom w:val="0"/>
      <w:divBdr>
        <w:top w:val="none" w:sz="0" w:space="0" w:color="auto"/>
        <w:left w:val="none" w:sz="0" w:space="0" w:color="auto"/>
        <w:bottom w:val="none" w:sz="0" w:space="0" w:color="auto"/>
        <w:right w:val="none" w:sz="0" w:space="0" w:color="auto"/>
      </w:divBdr>
      <w:divsChild>
        <w:div w:id="674915821">
          <w:marLeft w:val="640"/>
          <w:marRight w:val="0"/>
          <w:marTop w:val="0"/>
          <w:marBottom w:val="0"/>
          <w:divBdr>
            <w:top w:val="none" w:sz="0" w:space="0" w:color="auto"/>
            <w:left w:val="none" w:sz="0" w:space="0" w:color="auto"/>
            <w:bottom w:val="none" w:sz="0" w:space="0" w:color="auto"/>
            <w:right w:val="none" w:sz="0" w:space="0" w:color="auto"/>
          </w:divBdr>
        </w:div>
        <w:div w:id="1827940417">
          <w:marLeft w:val="640"/>
          <w:marRight w:val="0"/>
          <w:marTop w:val="0"/>
          <w:marBottom w:val="0"/>
          <w:divBdr>
            <w:top w:val="none" w:sz="0" w:space="0" w:color="auto"/>
            <w:left w:val="none" w:sz="0" w:space="0" w:color="auto"/>
            <w:bottom w:val="none" w:sz="0" w:space="0" w:color="auto"/>
            <w:right w:val="none" w:sz="0" w:space="0" w:color="auto"/>
          </w:divBdr>
        </w:div>
        <w:div w:id="1333950978">
          <w:marLeft w:val="640"/>
          <w:marRight w:val="0"/>
          <w:marTop w:val="0"/>
          <w:marBottom w:val="0"/>
          <w:divBdr>
            <w:top w:val="none" w:sz="0" w:space="0" w:color="auto"/>
            <w:left w:val="none" w:sz="0" w:space="0" w:color="auto"/>
            <w:bottom w:val="none" w:sz="0" w:space="0" w:color="auto"/>
            <w:right w:val="none" w:sz="0" w:space="0" w:color="auto"/>
          </w:divBdr>
        </w:div>
        <w:div w:id="2081563711">
          <w:marLeft w:val="640"/>
          <w:marRight w:val="0"/>
          <w:marTop w:val="0"/>
          <w:marBottom w:val="0"/>
          <w:divBdr>
            <w:top w:val="none" w:sz="0" w:space="0" w:color="auto"/>
            <w:left w:val="none" w:sz="0" w:space="0" w:color="auto"/>
            <w:bottom w:val="none" w:sz="0" w:space="0" w:color="auto"/>
            <w:right w:val="none" w:sz="0" w:space="0" w:color="auto"/>
          </w:divBdr>
        </w:div>
      </w:divsChild>
    </w:div>
    <w:div w:id="574432180">
      <w:bodyDiv w:val="1"/>
      <w:marLeft w:val="0"/>
      <w:marRight w:val="0"/>
      <w:marTop w:val="0"/>
      <w:marBottom w:val="0"/>
      <w:divBdr>
        <w:top w:val="none" w:sz="0" w:space="0" w:color="auto"/>
        <w:left w:val="none" w:sz="0" w:space="0" w:color="auto"/>
        <w:bottom w:val="none" w:sz="0" w:space="0" w:color="auto"/>
        <w:right w:val="none" w:sz="0" w:space="0" w:color="auto"/>
      </w:divBdr>
      <w:divsChild>
        <w:div w:id="2006978846">
          <w:marLeft w:val="640"/>
          <w:marRight w:val="0"/>
          <w:marTop w:val="0"/>
          <w:marBottom w:val="0"/>
          <w:divBdr>
            <w:top w:val="none" w:sz="0" w:space="0" w:color="auto"/>
            <w:left w:val="none" w:sz="0" w:space="0" w:color="auto"/>
            <w:bottom w:val="none" w:sz="0" w:space="0" w:color="auto"/>
            <w:right w:val="none" w:sz="0" w:space="0" w:color="auto"/>
          </w:divBdr>
        </w:div>
        <w:div w:id="859662810">
          <w:marLeft w:val="640"/>
          <w:marRight w:val="0"/>
          <w:marTop w:val="0"/>
          <w:marBottom w:val="0"/>
          <w:divBdr>
            <w:top w:val="none" w:sz="0" w:space="0" w:color="auto"/>
            <w:left w:val="none" w:sz="0" w:space="0" w:color="auto"/>
            <w:bottom w:val="none" w:sz="0" w:space="0" w:color="auto"/>
            <w:right w:val="none" w:sz="0" w:space="0" w:color="auto"/>
          </w:divBdr>
        </w:div>
        <w:div w:id="466243702">
          <w:marLeft w:val="640"/>
          <w:marRight w:val="0"/>
          <w:marTop w:val="0"/>
          <w:marBottom w:val="0"/>
          <w:divBdr>
            <w:top w:val="none" w:sz="0" w:space="0" w:color="auto"/>
            <w:left w:val="none" w:sz="0" w:space="0" w:color="auto"/>
            <w:bottom w:val="none" w:sz="0" w:space="0" w:color="auto"/>
            <w:right w:val="none" w:sz="0" w:space="0" w:color="auto"/>
          </w:divBdr>
        </w:div>
        <w:div w:id="2039768031">
          <w:marLeft w:val="640"/>
          <w:marRight w:val="0"/>
          <w:marTop w:val="0"/>
          <w:marBottom w:val="0"/>
          <w:divBdr>
            <w:top w:val="none" w:sz="0" w:space="0" w:color="auto"/>
            <w:left w:val="none" w:sz="0" w:space="0" w:color="auto"/>
            <w:bottom w:val="none" w:sz="0" w:space="0" w:color="auto"/>
            <w:right w:val="none" w:sz="0" w:space="0" w:color="auto"/>
          </w:divBdr>
        </w:div>
        <w:div w:id="761415699">
          <w:marLeft w:val="640"/>
          <w:marRight w:val="0"/>
          <w:marTop w:val="0"/>
          <w:marBottom w:val="0"/>
          <w:divBdr>
            <w:top w:val="none" w:sz="0" w:space="0" w:color="auto"/>
            <w:left w:val="none" w:sz="0" w:space="0" w:color="auto"/>
            <w:bottom w:val="none" w:sz="0" w:space="0" w:color="auto"/>
            <w:right w:val="none" w:sz="0" w:space="0" w:color="auto"/>
          </w:divBdr>
        </w:div>
      </w:divsChild>
    </w:div>
    <w:div w:id="654601316">
      <w:bodyDiv w:val="1"/>
      <w:marLeft w:val="0"/>
      <w:marRight w:val="0"/>
      <w:marTop w:val="0"/>
      <w:marBottom w:val="0"/>
      <w:divBdr>
        <w:top w:val="none" w:sz="0" w:space="0" w:color="auto"/>
        <w:left w:val="none" w:sz="0" w:space="0" w:color="auto"/>
        <w:bottom w:val="none" w:sz="0" w:space="0" w:color="auto"/>
        <w:right w:val="none" w:sz="0" w:space="0" w:color="auto"/>
      </w:divBdr>
      <w:divsChild>
        <w:div w:id="244187443">
          <w:marLeft w:val="640"/>
          <w:marRight w:val="0"/>
          <w:marTop w:val="0"/>
          <w:marBottom w:val="0"/>
          <w:divBdr>
            <w:top w:val="none" w:sz="0" w:space="0" w:color="auto"/>
            <w:left w:val="none" w:sz="0" w:space="0" w:color="auto"/>
            <w:bottom w:val="none" w:sz="0" w:space="0" w:color="auto"/>
            <w:right w:val="none" w:sz="0" w:space="0" w:color="auto"/>
          </w:divBdr>
        </w:div>
        <w:div w:id="1201043771">
          <w:marLeft w:val="640"/>
          <w:marRight w:val="0"/>
          <w:marTop w:val="0"/>
          <w:marBottom w:val="0"/>
          <w:divBdr>
            <w:top w:val="none" w:sz="0" w:space="0" w:color="auto"/>
            <w:left w:val="none" w:sz="0" w:space="0" w:color="auto"/>
            <w:bottom w:val="none" w:sz="0" w:space="0" w:color="auto"/>
            <w:right w:val="none" w:sz="0" w:space="0" w:color="auto"/>
          </w:divBdr>
        </w:div>
        <w:div w:id="522675170">
          <w:marLeft w:val="640"/>
          <w:marRight w:val="0"/>
          <w:marTop w:val="0"/>
          <w:marBottom w:val="0"/>
          <w:divBdr>
            <w:top w:val="none" w:sz="0" w:space="0" w:color="auto"/>
            <w:left w:val="none" w:sz="0" w:space="0" w:color="auto"/>
            <w:bottom w:val="none" w:sz="0" w:space="0" w:color="auto"/>
            <w:right w:val="none" w:sz="0" w:space="0" w:color="auto"/>
          </w:divBdr>
        </w:div>
        <w:div w:id="2132019359">
          <w:marLeft w:val="640"/>
          <w:marRight w:val="0"/>
          <w:marTop w:val="0"/>
          <w:marBottom w:val="0"/>
          <w:divBdr>
            <w:top w:val="none" w:sz="0" w:space="0" w:color="auto"/>
            <w:left w:val="none" w:sz="0" w:space="0" w:color="auto"/>
            <w:bottom w:val="none" w:sz="0" w:space="0" w:color="auto"/>
            <w:right w:val="none" w:sz="0" w:space="0" w:color="auto"/>
          </w:divBdr>
        </w:div>
        <w:div w:id="359596952">
          <w:marLeft w:val="640"/>
          <w:marRight w:val="0"/>
          <w:marTop w:val="0"/>
          <w:marBottom w:val="0"/>
          <w:divBdr>
            <w:top w:val="none" w:sz="0" w:space="0" w:color="auto"/>
            <w:left w:val="none" w:sz="0" w:space="0" w:color="auto"/>
            <w:bottom w:val="none" w:sz="0" w:space="0" w:color="auto"/>
            <w:right w:val="none" w:sz="0" w:space="0" w:color="auto"/>
          </w:divBdr>
        </w:div>
      </w:divsChild>
    </w:div>
    <w:div w:id="669985239">
      <w:bodyDiv w:val="1"/>
      <w:marLeft w:val="0"/>
      <w:marRight w:val="0"/>
      <w:marTop w:val="0"/>
      <w:marBottom w:val="0"/>
      <w:divBdr>
        <w:top w:val="none" w:sz="0" w:space="0" w:color="auto"/>
        <w:left w:val="none" w:sz="0" w:space="0" w:color="auto"/>
        <w:bottom w:val="none" w:sz="0" w:space="0" w:color="auto"/>
        <w:right w:val="none" w:sz="0" w:space="0" w:color="auto"/>
      </w:divBdr>
      <w:divsChild>
        <w:div w:id="1536576659">
          <w:marLeft w:val="640"/>
          <w:marRight w:val="0"/>
          <w:marTop w:val="0"/>
          <w:marBottom w:val="0"/>
          <w:divBdr>
            <w:top w:val="none" w:sz="0" w:space="0" w:color="auto"/>
            <w:left w:val="none" w:sz="0" w:space="0" w:color="auto"/>
            <w:bottom w:val="none" w:sz="0" w:space="0" w:color="auto"/>
            <w:right w:val="none" w:sz="0" w:space="0" w:color="auto"/>
          </w:divBdr>
        </w:div>
        <w:div w:id="241261846">
          <w:marLeft w:val="640"/>
          <w:marRight w:val="0"/>
          <w:marTop w:val="0"/>
          <w:marBottom w:val="0"/>
          <w:divBdr>
            <w:top w:val="none" w:sz="0" w:space="0" w:color="auto"/>
            <w:left w:val="none" w:sz="0" w:space="0" w:color="auto"/>
            <w:bottom w:val="none" w:sz="0" w:space="0" w:color="auto"/>
            <w:right w:val="none" w:sz="0" w:space="0" w:color="auto"/>
          </w:divBdr>
        </w:div>
        <w:div w:id="1699504811">
          <w:marLeft w:val="640"/>
          <w:marRight w:val="0"/>
          <w:marTop w:val="0"/>
          <w:marBottom w:val="0"/>
          <w:divBdr>
            <w:top w:val="none" w:sz="0" w:space="0" w:color="auto"/>
            <w:left w:val="none" w:sz="0" w:space="0" w:color="auto"/>
            <w:bottom w:val="none" w:sz="0" w:space="0" w:color="auto"/>
            <w:right w:val="none" w:sz="0" w:space="0" w:color="auto"/>
          </w:divBdr>
        </w:div>
        <w:div w:id="1555462965">
          <w:marLeft w:val="640"/>
          <w:marRight w:val="0"/>
          <w:marTop w:val="0"/>
          <w:marBottom w:val="0"/>
          <w:divBdr>
            <w:top w:val="none" w:sz="0" w:space="0" w:color="auto"/>
            <w:left w:val="none" w:sz="0" w:space="0" w:color="auto"/>
            <w:bottom w:val="none" w:sz="0" w:space="0" w:color="auto"/>
            <w:right w:val="none" w:sz="0" w:space="0" w:color="auto"/>
          </w:divBdr>
        </w:div>
        <w:div w:id="1739746218">
          <w:marLeft w:val="640"/>
          <w:marRight w:val="0"/>
          <w:marTop w:val="0"/>
          <w:marBottom w:val="0"/>
          <w:divBdr>
            <w:top w:val="none" w:sz="0" w:space="0" w:color="auto"/>
            <w:left w:val="none" w:sz="0" w:space="0" w:color="auto"/>
            <w:bottom w:val="none" w:sz="0" w:space="0" w:color="auto"/>
            <w:right w:val="none" w:sz="0" w:space="0" w:color="auto"/>
          </w:divBdr>
        </w:div>
      </w:divsChild>
    </w:div>
    <w:div w:id="1161581933">
      <w:bodyDiv w:val="1"/>
      <w:marLeft w:val="0"/>
      <w:marRight w:val="0"/>
      <w:marTop w:val="0"/>
      <w:marBottom w:val="0"/>
      <w:divBdr>
        <w:top w:val="none" w:sz="0" w:space="0" w:color="auto"/>
        <w:left w:val="none" w:sz="0" w:space="0" w:color="auto"/>
        <w:bottom w:val="none" w:sz="0" w:space="0" w:color="auto"/>
        <w:right w:val="none" w:sz="0" w:space="0" w:color="auto"/>
      </w:divBdr>
      <w:divsChild>
        <w:div w:id="669794248">
          <w:marLeft w:val="640"/>
          <w:marRight w:val="0"/>
          <w:marTop w:val="0"/>
          <w:marBottom w:val="0"/>
          <w:divBdr>
            <w:top w:val="none" w:sz="0" w:space="0" w:color="auto"/>
            <w:left w:val="none" w:sz="0" w:space="0" w:color="auto"/>
            <w:bottom w:val="none" w:sz="0" w:space="0" w:color="auto"/>
            <w:right w:val="none" w:sz="0" w:space="0" w:color="auto"/>
          </w:divBdr>
        </w:div>
        <w:div w:id="658384527">
          <w:marLeft w:val="640"/>
          <w:marRight w:val="0"/>
          <w:marTop w:val="0"/>
          <w:marBottom w:val="0"/>
          <w:divBdr>
            <w:top w:val="none" w:sz="0" w:space="0" w:color="auto"/>
            <w:left w:val="none" w:sz="0" w:space="0" w:color="auto"/>
            <w:bottom w:val="none" w:sz="0" w:space="0" w:color="auto"/>
            <w:right w:val="none" w:sz="0" w:space="0" w:color="auto"/>
          </w:divBdr>
        </w:div>
        <w:div w:id="1780291385">
          <w:marLeft w:val="640"/>
          <w:marRight w:val="0"/>
          <w:marTop w:val="0"/>
          <w:marBottom w:val="0"/>
          <w:divBdr>
            <w:top w:val="none" w:sz="0" w:space="0" w:color="auto"/>
            <w:left w:val="none" w:sz="0" w:space="0" w:color="auto"/>
            <w:bottom w:val="none" w:sz="0" w:space="0" w:color="auto"/>
            <w:right w:val="none" w:sz="0" w:space="0" w:color="auto"/>
          </w:divBdr>
        </w:div>
        <w:div w:id="949973009">
          <w:marLeft w:val="640"/>
          <w:marRight w:val="0"/>
          <w:marTop w:val="0"/>
          <w:marBottom w:val="0"/>
          <w:divBdr>
            <w:top w:val="none" w:sz="0" w:space="0" w:color="auto"/>
            <w:left w:val="none" w:sz="0" w:space="0" w:color="auto"/>
            <w:bottom w:val="none" w:sz="0" w:space="0" w:color="auto"/>
            <w:right w:val="none" w:sz="0" w:space="0" w:color="auto"/>
          </w:divBdr>
        </w:div>
      </w:divsChild>
    </w:div>
    <w:div w:id="1271936359">
      <w:bodyDiv w:val="1"/>
      <w:marLeft w:val="0"/>
      <w:marRight w:val="0"/>
      <w:marTop w:val="0"/>
      <w:marBottom w:val="0"/>
      <w:divBdr>
        <w:top w:val="none" w:sz="0" w:space="0" w:color="auto"/>
        <w:left w:val="none" w:sz="0" w:space="0" w:color="auto"/>
        <w:bottom w:val="none" w:sz="0" w:space="0" w:color="auto"/>
        <w:right w:val="none" w:sz="0" w:space="0" w:color="auto"/>
      </w:divBdr>
      <w:divsChild>
        <w:div w:id="1040133368">
          <w:marLeft w:val="640"/>
          <w:marRight w:val="0"/>
          <w:marTop w:val="0"/>
          <w:marBottom w:val="0"/>
          <w:divBdr>
            <w:top w:val="none" w:sz="0" w:space="0" w:color="auto"/>
            <w:left w:val="none" w:sz="0" w:space="0" w:color="auto"/>
            <w:bottom w:val="none" w:sz="0" w:space="0" w:color="auto"/>
            <w:right w:val="none" w:sz="0" w:space="0" w:color="auto"/>
          </w:divBdr>
        </w:div>
        <w:div w:id="1532450350">
          <w:marLeft w:val="640"/>
          <w:marRight w:val="0"/>
          <w:marTop w:val="0"/>
          <w:marBottom w:val="0"/>
          <w:divBdr>
            <w:top w:val="none" w:sz="0" w:space="0" w:color="auto"/>
            <w:left w:val="none" w:sz="0" w:space="0" w:color="auto"/>
            <w:bottom w:val="none" w:sz="0" w:space="0" w:color="auto"/>
            <w:right w:val="none" w:sz="0" w:space="0" w:color="auto"/>
          </w:divBdr>
        </w:div>
        <w:div w:id="1832986346">
          <w:marLeft w:val="640"/>
          <w:marRight w:val="0"/>
          <w:marTop w:val="0"/>
          <w:marBottom w:val="0"/>
          <w:divBdr>
            <w:top w:val="none" w:sz="0" w:space="0" w:color="auto"/>
            <w:left w:val="none" w:sz="0" w:space="0" w:color="auto"/>
            <w:bottom w:val="none" w:sz="0" w:space="0" w:color="auto"/>
            <w:right w:val="none" w:sz="0" w:space="0" w:color="auto"/>
          </w:divBdr>
        </w:div>
        <w:div w:id="1910187596">
          <w:marLeft w:val="640"/>
          <w:marRight w:val="0"/>
          <w:marTop w:val="0"/>
          <w:marBottom w:val="0"/>
          <w:divBdr>
            <w:top w:val="none" w:sz="0" w:space="0" w:color="auto"/>
            <w:left w:val="none" w:sz="0" w:space="0" w:color="auto"/>
            <w:bottom w:val="none" w:sz="0" w:space="0" w:color="auto"/>
            <w:right w:val="none" w:sz="0" w:space="0" w:color="auto"/>
          </w:divBdr>
        </w:div>
        <w:div w:id="2088333139">
          <w:marLeft w:val="640"/>
          <w:marRight w:val="0"/>
          <w:marTop w:val="0"/>
          <w:marBottom w:val="0"/>
          <w:divBdr>
            <w:top w:val="none" w:sz="0" w:space="0" w:color="auto"/>
            <w:left w:val="none" w:sz="0" w:space="0" w:color="auto"/>
            <w:bottom w:val="none" w:sz="0" w:space="0" w:color="auto"/>
            <w:right w:val="none" w:sz="0" w:space="0" w:color="auto"/>
          </w:divBdr>
        </w:div>
      </w:divsChild>
    </w:div>
    <w:div w:id="1361397748">
      <w:bodyDiv w:val="1"/>
      <w:marLeft w:val="0"/>
      <w:marRight w:val="0"/>
      <w:marTop w:val="0"/>
      <w:marBottom w:val="0"/>
      <w:divBdr>
        <w:top w:val="none" w:sz="0" w:space="0" w:color="auto"/>
        <w:left w:val="none" w:sz="0" w:space="0" w:color="auto"/>
        <w:bottom w:val="none" w:sz="0" w:space="0" w:color="auto"/>
        <w:right w:val="none" w:sz="0" w:space="0" w:color="auto"/>
      </w:divBdr>
      <w:divsChild>
        <w:div w:id="1736783998">
          <w:marLeft w:val="640"/>
          <w:marRight w:val="0"/>
          <w:marTop w:val="0"/>
          <w:marBottom w:val="0"/>
          <w:divBdr>
            <w:top w:val="none" w:sz="0" w:space="0" w:color="auto"/>
            <w:left w:val="none" w:sz="0" w:space="0" w:color="auto"/>
            <w:bottom w:val="none" w:sz="0" w:space="0" w:color="auto"/>
            <w:right w:val="none" w:sz="0" w:space="0" w:color="auto"/>
          </w:divBdr>
        </w:div>
        <w:div w:id="1096556779">
          <w:marLeft w:val="640"/>
          <w:marRight w:val="0"/>
          <w:marTop w:val="0"/>
          <w:marBottom w:val="0"/>
          <w:divBdr>
            <w:top w:val="none" w:sz="0" w:space="0" w:color="auto"/>
            <w:left w:val="none" w:sz="0" w:space="0" w:color="auto"/>
            <w:bottom w:val="none" w:sz="0" w:space="0" w:color="auto"/>
            <w:right w:val="none" w:sz="0" w:space="0" w:color="auto"/>
          </w:divBdr>
        </w:div>
        <w:div w:id="608048435">
          <w:marLeft w:val="640"/>
          <w:marRight w:val="0"/>
          <w:marTop w:val="0"/>
          <w:marBottom w:val="0"/>
          <w:divBdr>
            <w:top w:val="none" w:sz="0" w:space="0" w:color="auto"/>
            <w:left w:val="none" w:sz="0" w:space="0" w:color="auto"/>
            <w:bottom w:val="none" w:sz="0" w:space="0" w:color="auto"/>
            <w:right w:val="none" w:sz="0" w:space="0" w:color="auto"/>
          </w:divBdr>
        </w:div>
        <w:div w:id="200825438">
          <w:marLeft w:val="640"/>
          <w:marRight w:val="0"/>
          <w:marTop w:val="0"/>
          <w:marBottom w:val="0"/>
          <w:divBdr>
            <w:top w:val="none" w:sz="0" w:space="0" w:color="auto"/>
            <w:left w:val="none" w:sz="0" w:space="0" w:color="auto"/>
            <w:bottom w:val="none" w:sz="0" w:space="0" w:color="auto"/>
            <w:right w:val="none" w:sz="0" w:space="0" w:color="auto"/>
          </w:divBdr>
        </w:div>
      </w:divsChild>
    </w:div>
    <w:div w:id="1771317915">
      <w:bodyDiv w:val="1"/>
      <w:marLeft w:val="0"/>
      <w:marRight w:val="0"/>
      <w:marTop w:val="0"/>
      <w:marBottom w:val="0"/>
      <w:divBdr>
        <w:top w:val="none" w:sz="0" w:space="0" w:color="auto"/>
        <w:left w:val="none" w:sz="0" w:space="0" w:color="auto"/>
        <w:bottom w:val="none" w:sz="0" w:space="0" w:color="auto"/>
        <w:right w:val="none" w:sz="0" w:space="0" w:color="auto"/>
      </w:divBdr>
      <w:divsChild>
        <w:div w:id="526602562">
          <w:marLeft w:val="640"/>
          <w:marRight w:val="0"/>
          <w:marTop w:val="0"/>
          <w:marBottom w:val="0"/>
          <w:divBdr>
            <w:top w:val="none" w:sz="0" w:space="0" w:color="auto"/>
            <w:left w:val="none" w:sz="0" w:space="0" w:color="auto"/>
            <w:bottom w:val="none" w:sz="0" w:space="0" w:color="auto"/>
            <w:right w:val="none" w:sz="0" w:space="0" w:color="auto"/>
          </w:divBdr>
        </w:div>
        <w:div w:id="401220264">
          <w:marLeft w:val="640"/>
          <w:marRight w:val="0"/>
          <w:marTop w:val="0"/>
          <w:marBottom w:val="0"/>
          <w:divBdr>
            <w:top w:val="none" w:sz="0" w:space="0" w:color="auto"/>
            <w:left w:val="none" w:sz="0" w:space="0" w:color="auto"/>
            <w:bottom w:val="none" w:sz="0" w:space="0" w:color="auto"/>
            <w:right w:val="none" w:sz="0" w:space="0" w:color="auto"/>
          </w:divBdr>
        </w:div>
        <w:div w:id="1851481701">
          <w:marLeft w:val="640"/>
          <w:marRight w:val="0"/>
          <w:marTop w:val="0"/>
          <w:marBottom w:val="0"/>
          <w:divBdr>
            <w:top w:val="none" w:sz="0" w:space="0" w:color="auto"/>
            <w:left w:val="none" w:sz="0" w:space="0" w:color="auto"/>
            <w:bottom w:val="none" w:sz="0" w:space="0" w:color="auto"/>
            <w:right w:val="none" w:sz="0" w:space="0" w:color="auto"/>
          </w:divBdr>
        </w:div>
        <w:div w:id="59376593">
          <w:marLeft w:val="640"/>
          <w:marRight w:val="0"/>
          <w:marTop w:val="0"/>
          <w:marBottom w:val="0"/>
          <w:divBdr>
            <w:top w:val="none" w:sz="0" w:space="0" w:color="auto"/>
            <w:left w:val="none" w:sz="0" w:space="0" w:color="auto"/>
            <w:bottom w:val="none" w:sz="0" w:space="0" w:color="auto"/>
            <w:right w:val="none" w:sz="0" w:space="0" w:color="auto"/>
          </w:divBdr>
        </w:div>
      </w:divsChild>
    </w:div>
    <w:div w:id="1861355933">
      <w:bodyDiv w:val="1"/>
      <w:marLeft w:val="0"/>
      <w:marRight w:val="0"/>
      <w:marTop w:val="0"/>
      <w:marBottom w:val="0"/>
      <w:divBdr>
        <w:top w:val="none" w:sz="0" w:space="0" w:color="auto"/>
        <w:left w:val="none" w:sz="0" w:space="0" w:color="auto"/>
        <w:bottom w:val="none" w:sz="0" w:space="0" w:color="auto"/>
        <w:right w:val="none" w:sz="0" w:space="0" w:color="auto"/>
      </w:divBdr>
      <w:divsChild>
        <w:div w:id="16127872">
          <w:marLeft w:val="640"/>
          <w:marRight w:val="0"/>
          <w:marTop w:val="0"/>
          <w:marBottom w:val="0"/>
          <w:divBdr>
            <w:top w:val="none" w:sz="0" w:space="0" w:color="auto"/>
            <w:left w:val="none" w:sz="0" w:space="0" w:color="auto"/>
            <w:bottom w:val="none" w:sz="0" w:space="0" w:color="auto"/>
            <w:right w:val="none" w:sz="0" w:space="0" w:color="auto"/>
          </w:divBdr>
        </w:div>
        <w:div w:id="300618114">
          <w:marLeft w:val="640"/>
          <w:marRight w:val="0"/>
          <w:marTop w:val="0"/>
          <w:marBottom w:val="0"/>
          <w:divBdr>
            <w:top w:val="none" w:sz="0" w:space="0" w:color="auto"/>
            <w:left w:val="none" w:sz="0" w:space="0" w:color="auto"/>
            <w:bottom w:val="none" w:sz="0" w:space="0" w:color="auto"/>
            <w:right w:val="none" w:sz="0" w:space="0" w:color="auto"/>
          </w:divBdr>
        </w:div>
        <w:div w:id="1977297618">
          <w:marLeft w:val="640"/>
          <w:marRight w:val="0"/>
          <w:marTop w:val="0"/>
          <w:marBottom w:val="0"/>
          <w:divBdr>
            <w:top w:val="none" w:sz="0" w:space="0" w:color="auto"/>
            <w:left w:val="none" w:sz="0" w:space="0" w:color="auto"/>
            <w:bottom w:val="none" w:sz="0" w:space="0" w:color="auto"/>
            <w:right w:val="none" w:sz="0" w:space="0" w:color="auto"/>
          </w:divBdr>
        </w:div>
      </w:divsChild>
    </w:div>
    <w:div w:id="2022855873">
      <w:bodyDiv w:val="1"/>
      <w:marLeft w:val="0"/>
      <w:marRight w:val="0"/>
      <w:marTop w:val="0"/>
      <w:marBottom w:val="0"/>
      <w:divBdr>
        <w:top w:val="none" w:sz="0" w:space="0" w:color="auto"/>
        <w:left w:val="none" w:sz="0" w:space="0" w:color="auto"/>
        <w:bottom w:val="none" w:sz="0" w:space="0" w:color="auto"/>
        <w:right w:val="none" w:sz="0" w:space="0" w:color="auto"/>
      </w:divBdr>
      <w:divsChild>
        <w:div w:id="480925621">
          <w:marLeft w:val="640"/>
          <w:marRight w:val="0"/>
          <w:marTop w:val="0"/>
          <w:marBottom w:val="0"/>
          <w:divBdr>
            <w:top w:val="none" w:sz="0" w:space="0" w:color="auto"/>
            <w:left w:val="none" w:sz="0" w:space="0" w:color="auto"/>
            <w:bottom w:val="none" w:sz="0" w:space="0" w:color="auto"/>
            <w:right w:val="none" w:sz="0" w:space="0" w:color="auto"/>
          </w:divBdr>
        </w:div>
        <w:div w:id="899051482">
          <w:marLeft w:val="640"/>
          <w:marRight w:val="0"/>
          <w:marTop w:val="0"/>
          <w:marBottom w:val="0"/>
          <w:divBdr>
            <w:top w:val="none" w:sz="0" w:space="0" w:color="auto"/>
            <w:left w:val="none" w:sz="0" w:space="0" w:color="auto"/>
            <w:bottom w:val="none" w:sz="0" w:space="0" w:color="auto"/>
            <w:right w:val="none" w:sz="0" w:space="0" w:color="auto"/>
          </w:divBdr>
        </w:div>
        <w:div w:id="454712514">
          <w:marLeft w:val="640"/>
          <w:marRight w:val="0"/>
          <w:marTop w:val="0"/>
          <w:marBottom w:val="0"/>
          <w:divBdr>
            <w:top w:val="none" w:sz="0" w:space="0" w:color="auto"/>
            <w:left w:val="none" w:sz="0" w:space="0" w:color="auto"/>
            <w:bottom w:val="none" w:sz="0" w:space="0" w:color="auto"/>
            <w:right w:val="none" w:sz="0" w:space="0" w:color="auto"/>
          </w:divBdr>
        </w:div>
        <w:div w:id="730153411">
          <w:marLeft w:val="640"/>
          <w:marRight w:val="0"/>
          <w:marTop w:val="0"/>
          <w:marBottom w:val="0"/>
          <w:divBdr>
            <w:top w:val="none" w:sz="0" w:space="0" w:color="auto"/>
            <w:left w:val="none" w:sz="0" w:space="0" w:color="auto"/>
            <w:bottom w:val="none" w:sz="0" w:space="0" w:color="auto"/>
            <w:right w:val="none" w:sz="0" w:space="0" w:color="auto"/>
          </w:divBdr>
        </w:div>
        <w:div w:id="707146564">
          <w:marLeft w:val="640"/>
          <w:marRight w:val="0"/>
          <w:marTop w:val="0"/>
          <w:marBottom w:val="0"/>
          <w:divBdr>
            <w:top w:val="none" w:sz="0" w:space="0" w:color="auto"/>
            <w:left w:val="none" w:sz="0" w:space="0" w:color="auto"/>
            <w:bottom w:val="none" w:sz="0" w:space="0" w:color="auto"/>
            <w:right w:val="none" w:sz="0" w:space="0" w:color="auto"/>
          </w:divBdr>
        </w:div>
      </w:divsChild>
    </w:div>
    <w:div w:id="2078939157">
      <w:bodyDiv w:val="1"/>
      <w:marLeft w:val="0"/>
      <w:marRight w:val="0"/>
      <w:marTop w:val="0"/>
      <w:marBottom w:val="0"/>
      <w:divBdr>
        <w:top w:val="none" w:sz="0" w:space="0" w:color="auto"/>
        <w:left w:val="none" w:sz="0" w:space="0" w:color="auto"/>
        <w:bottom w:val="none" w:sz="0" w:space="0" w:color="auto"/>
        <w:right w:val="none" w:sz="0" w:space="0" w:color="auto"/>
      </w:divBdr>
      <w:divsChild>
        <w:div w:id="316886314">
          <w:marLeft w:val="640"/>
          <w:marRight w:val="0"/>
          <w:marTop w:val="0"/>
          <w:marBottom w:val="0"/>
          <w:divBdr>
            <w:top w:val="none" w:sz="0" w:space="0" w:color="auto"/>
            <w:left w:val="none" w:sz="0" w:space="0" w:color="auto"/>
            <w:bottom w:val="none" w:sz="0" w:space="0" w:color="auto"/>
            <w:right w:val="none" w:sz="0" w:space="0" w:color="auto"/>
          </w:divBdr>
        </w:div>
        <w:div w:id="396436515">
          <w:marLeft w:val="640"/>
          <w:marRight w:val="0"/>
          <w:marTop w:val="0"/>
          <w:marBottom w:val="0"/>
          <w:divBdr>
            <w:top w:val="none" w:sz="0" w:space="0" w:color="auto"/>
            <w:left w:val="none" w:sz="0" w:space="0" w:color="auto"/>
            <w:bottom w:val="none" w:sz="0" w:space="0" w:color="auto"/>
            <w:right w:val="none" w:sz="0" w:space="0" w:color="auto"/>
          </w:divBdr>
        </w:div>
        <w:div w:id="974725044">
          <w:marLeft w:val="640"/>
          <w:marRight w:val="0"/>
          <w:marTop w:val="0"/>
          <w:marBottom w:val="0"/>
          <w:divBdr>
            <w:top w:val="none" w:sz="0" w:space="0" w:color="auto"/>
            <w:left w:val="none" w:sz="0" w:space="0" w:color="auto"/>
            <w:bottom w:val="none" w:sz="0" w:space="0" w:color="auto"/>
            <w:right w:val="none" w:sz="0" w:space="0" w:color="auto"/>
          </w:divBdr>
        </w:div>
        <w:div w:id="1119565827">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93B88D2-E265-4CF5-BD37-981310C48F49}">
  <we:reference id="wa104382081" version="1.55.1.0" store="en-US" storeType="OMEX"/>
  <we:alternateReferences>
    <we:reference id="WA104382081" version="1.55.1.0" store="" storeType="OMEX"/>
  </we:alternateReferences>
  <we:properties>
    <we:property name="MENDELEY_CITATIONS" value="[{&quot;citationID&quot;:&quot;MENDELEY_CITATION_ef0581d8-7b5d-4e61-837e-2dccb0a54789&quot;,&quot;properties&quot;:{&quot;noteIndex&quot;:0},&quot;isEdited&quot;:false,&quot;manualOverride&quot;:{&quot;citeprocText&quot;:&quot;[1], [2]&quot;,&quot;isManuallyOverridden&quot;:false,&quot;manualOverrideText&quot;:&quot;&quot;},&quot;citationTag&quot;:&quot;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&quot;,&quot;citationItems&quot;:[{&quot;id&quot;:&quot;a59037b1-964c-5f5d-8e24-b41718adfed5&quot;,&quot;itemData&quot;:{&quot;DOI&quot;:&quot;10.1186/1743-0003-11-67&quot;,&quot;ISSN&quot;:&quot;17430003&quot;,&quot;PMID&quot;:&quot;24745972&quot;,&quot;abstract&quot;:&quot;Background: Arm impairment in Multiple Sclerosis (MS) is commonly assessed with clinical scales, such as Action Research Arm Test (ARAT) which evaluates the ability to handle and transport smaller and larger objects. ARAT provides a complete upper limb assessment, as it considers both proximal arm and hand, but suffers from subjectivity and poor sensitivity to mild impairment. In this study an instrumented ARAT is proposed to overcome these limitations and supplement the assessment of arm function in MS. Methods. ARAT was executed by 12 healthy volunteers and 21 MS subjects wearing a single inertial sensor on the wrist. Accelerometers and gyroscopes signals were used to calculate the duration of each task and its sub-phases (reaching, manipulation, transport, release and return). A jerk index was computed to quantify movement smoothness. For each parameter, z-scores were calculated to analyze the deviation from normative data. MS subjects were clinically assessed with ARAT score, Nine-Hole Peg test (9HPT) and Fahn Tremor Rating Scale (FTRS). Results: ARAT tasks executed by MS patients were significantly slower (duration increase: 70%) and less smooth (jerk increase: 16%) with respect to controls. These anomalies were mainly related to manipulation, transport and release sub-movements, with the former showing the greatest alterations. A statistically significant decrease in movement velocity and smoothness was also noticed in patients with normal ARAT score. Z-scores related to duration and jerk were strongly correlated with ARAT rating (r &lt; -0.80, p &lt; 0.001) and 9HPT (r &lt; -0.75, p &lt; 0.001) and were significantly different among MS sub-groups with different levels of arm impairments (p &lt; 0.001). Moreover, Z-score related to manipulation-phase jerk was significantly correlated with the FTRS rating of intention tremor (r = 0.84, p &lt; 0.001). Conclusions: The present study showed that the proposed method is able to discriminate between control and MS groups and to reveal subtle arm alterations not detectable from ARAT score. Validity was shown by high correlations between instrumental variables and clinical ratings. These results suggested that instrumented ARAT could be a valid quick and easy-to-use method for a sensitive quantification of arm function in MS. Inclusion of finger-mounted sensors could complement present findings and provide further indications about hand function in MS. © 2014 Carpinella et al.; licensee BioMed Central Ltd.&quot;,&quot;author&quot;:[{&quot;dropping-particle&quot;:&quot;&quot;,&quot;family&quot;:&quot;Carpinella&quot;,&quot;given&quot;:&quot;Ilaria&quot;,&quot;non-dropping-particle&quot;:&quot;&quot;,&quot;parse-names&quot;:false,&quot;suffix&quot;:&quot;&quot;},{&quot;dropping-particle&quot;:&quot;&quot;,&quot;family&quot;:&quot;Cattaneo&quot;,&quot;given&quot;:&quot;Davide&quot;,&quot;non-dropping-particle&quot;:&quot;&quot;,&quot;parse-names&quot;:false,&quot;suffix&quot;:&quot;&quot;},{&quot;dropping-particle&quot;:&quot;&quot;,&quot;family&quot;:&quot;Ferrarin&quot;,&quot;given&quot;:&quot;Maurizio&quot;,&quot;non-dropping-particle&quot;:&quot;&quot;,&quot;parse-names&quot;:false,&quot;suffix&quot;:&quot;&quot;}],&quot;container-title&quot;:&quot;Journal of NeuroEngineering and Rehabilitation&quot;,&quot;id&quot;:&quot;a59037b1-964c-5f5d-8e24-b41718adfed5&quot;,&quot;issue&quot;:&quot;1&quot;,&quot;issued&quot;:{&quot;date-parts&quot;:[[&quot;2014&quot;]]},&quot;page&quot;:&quot;1-16&quot;,&quot;title&quot;:&quot;Quantitative assessment of upper limb motor function in Multiple Sclerosis using an instrumented Action Research Arm Test&quot;,&quot;type&quot;:&quot;article-journal&quot;,&quot;volume&quot;:&quot;11&quot;,&quot;container-title-short&quot;:&quot;J Neuroeng Rehabil&quot;},&quot;uris&quot;:[&quot;http://www.mendeley.com/documents/?uuid=4cdfb442-c594-4785-8666-757fcfb41022&quot;],&quot;isTemporary&quot;:false,&quot;legacyDesktopId&quot;:&quot;4cdfb442-c594-4785-8666-757fcfb41022&quot;},{&quot;id&quot;:&quot;a983a530-ee28-5ce8-a695-c5ebdfcbd232&quot;,&quot;itemData&quot;:{&quot;DOI&quot;:&quot;10.3390/s20174770&quot;,&quot;ISSN&quot;:&quot;14248220&quot;,&quot;PMID&quot;:&quot;32846958&quot;,&quot;abstract&quot;:&quot;Precise and objective assessments of upper limb movement quality after strokes in functional task conditions are an important prerequisite to improve understanding of the pathophysiology of movement deficits and to prove the effectiveness of interventions. Herein, a wearable inertial sensing system was used to capture movements from the fingers to the trunk in 10 chronic stroke subjects when performing reach-to-grasp activities with the affected and non-affected upper limb. It was investigated whether the factors, tested arm, object weight, and target height, affect the expressions of range of motion in trunk compensation and flexion-extension of the elbow, wrist, and finger during object displacement. The relationship between these metrics and clinically measured impairment was explored. Nine subjects were included in the analysis, as one had to be excluded due to defective data. The tested arm and target height showed strong effects on all metrics, while an increased object weight showed effects on trunk compensation. High inter-and intrasubject variability was found in all metrics without clear relationships to clinical measures. Relating all metrics to each other resulted in significant negative correlations between trunk compensation and elbow flexion-extension in the affected arm. The findings support the clinical usability of sensor-based motion analysis.&quot;,&quot;author&quot;:[{&quot;dropping-particle&quot;:&quot;&quot;,&quot;family&quot;:&quot;Schwarz&quot;,&quot;given&quot;:&quot;Anne&quot;,&quot;non-dropping-particle&quot;:&quot;&quot;,&quot;parse-names&quot;:false,&quot;suffix&quot;:&quot;&quot;},{&quot;dropping-particle&quot;:&quot;&quot;,&quot;family&quot;:&quot;Bhagubai&quot;,&quot;given&quot;:&quot;Miguel M.C.&quot;,&quot;non-dropping-particle&quot;:&quot;&quot;,&quot;parse-names&quot;:false,&quot;suffix&quot;:&quot;&quot;},{&quot;dropping-particle&quot;:&quot;&quot;,&quot;family&quot;:&quot;Wolterink&quot;,&quot;given&quot;:&quot;Gerjan&quot;,&quot;non-dropping-particle&quot;:&quot;&quot;,&quot;parse-names&quot;:false,&quot;suffix&quot;:&quot;&quot;},{&quot;dropping-particle&quot;:&quot;&quot;,&quot;family&quot;:&quot;Held&quot;,&quot;given&quot;:&quot;Jeremia P.O.&quot;,&quot;non-dropping-particle&quot;:&quot;&quot;,&quot;parse-names&quot;:false,&quot;suffix&quot;:&quot;&quot;},{&quot;dropping-particle&quot;:&quot;&quot;,&quot;family&quot;:&quot;Luft&quot;,&quot;given&quot;:&quot;Andreas R.&quot;,&quot;non-dropping-particle&quot;:&quot;&quot;,&quot;parse-names&quot;:false,&quot;suffix&quot;:&quot;&quot;},{&quot;dropping-particle&quot;:&quot;&quot;,&quot;family&quot;:&quot;Veltink&quot;,&quot;given&quot;:&quot;Peter H.&quot;,&quot;non-dropping-particle&quot;:&quot;&quot;,&quot;parse-names&quot;:false,&quot;suffix&quot;:&quot;&quot;}],&quot;container-title&quot;:&quot;Sensors (Switzerland)&quot;,&quot;id&quot;:&quot;a983a530-ee28-5ce8-a695-c5ebdfcbd232&quot;,&quot;issue&quot;:&quot;17&quot;,&quot;issued&quot;:{&quot;date-parts&quot;:[[&quot;2020&quot;]]},&quot;page&quot;:&quot;1-22&quot;,&quot;title&quot;:&quot;Assessment of upper limb movement impairments after stroke using wearable inertial sensing&quot;,&quot;type&quot;:&quot;article-journal&quot;,&quot;volume&quot;:&quot;20&quot;,&quot;container-title-short&quot;:&quot;&quot;},&quot;uris&quot;:[&quot;http://www.mendeley.com/documents/?uuid=f907f51c-fccc-41ba-8dcb-847ba5d73f87&quot;],&quot;isTemporary&quot;:false,&quot;legacyDesktopId&quot;:&quot;f907f51c-fccc-41ba-8dcb-847ba5d73f87&quot;}]},{&quot;citationID&quot;:&quot;MENDELEY_CITATION_575142b0-e6dd-49c9-8284-e04e665f91aa&quot;,&quot;properties&quot;:{&quot;noteIndex&quot;:0},&quot;isEdited&quot;:false,&quot;manualOverride&quot;:{&quot;citeprocText&quot;:&quot;[2]&quot;,&quot;isManuallyOverridden&quot;:false,&quot;manualOverrideText&quot;:&quot;&quot;},&quot;citationTag&quot;:&quot;MENDELEY_CITATION_v3_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&quot;,&quot;citationItems&quot;:[{&quot;id&quot;:&quot;a983a530-ee28-5ce8-a695-c5ebdfcbd232&quot;,&quot;itemData&quot;:{&quot;DOI&quot;:&quot;10.3390/s20174770&quot;,&quot;ISSN&quot;:&quot;14248220&quot;,&quot;PMID&quot;:&quot;32846958&quot;,&quot;abstract&quot;:&quot;Precise and objective assessments of upper limb movement quality after strokes in functional task conditions are an important prerequisite to improve understanding of the pathophysiology of movement deficits and to prove the effectiveness of interventions. Herein, a wearable inertial sensing system was used to capture movements from the fingers to the trunk in 10 chronic stroke subjects when performing reach-to-grasp activities with the affected and non-affected upper limb. It was investigated whether the factors, tested arm, object weight, and target height, affect the expressions of range of motion in trunk compensation and flexion-extension of the elbow, wrist, and finger during object displacement. The relationship between these metrics and clinically measured impairment was explored. Nine subjects were included in the analysis, as one had to be excluded due to defective data. The tested arm and target height showed strong effects on all metrics, while an increased object weight showed effects on trunk compensation. High inter-and intrasubject variability was found in all metrics without clear relationships to clinical measures. Relating all metrics to each other resulted in significant negative correlations between trunk compensation and elbow flexion-extension in the affected arm. The findings support the clinical usability of sensor-based motion analysis.&quot;,&quot;author&quot;:[{&quot;dropping-particle&quot;:&quot;&quot;,&quot;family&quot;:&quot;Schwarz&quot;,&quot;given&quot;:&quot;Anne&quot;,&quot;non-dropping-particle&quot;:&quot;&quot;,&quot;parse-names&quot;:false,&quot;suffix&quot;:&quot;&quot;},{&quot;dropping-particle&quot;:&quot;&quot;,&quot;family&quot;:&quot;Bhagubai&quot;,&quot;given&quot;:&quot;Miguel M.C.&quot;,&quot;non-dropping-particle&quot;:&quot;&quot;,&quot;parse-names&quot;:false,&quot;suffix&quot;:&quot;&quot;},{&quot;dropping-particle&quot;:&quot;&quot;,&quot;family&quot;:&quot;Wolterink&quot;,&quot;given&quot;:&quot;Gerjan&quot;,&quot;non-dropping-particle&quot;:&quot;&quot;,&quot;parse-names&quot;:false,&quot;suffix&quot;:&quot;&quot;},{&quot;dropping-particle&quot;:&quot;&quot;,&quot;family&quot;:&quot;Held&quot;,&quot;given&quot;:&quot;Jeremia P.O.&quot;,&quot;non-dropping-particle&quot;:&quot;&quot;,&quot;parse-names&quot;:false,&quot;suffix&quot;:&quot;&quot;},{&quot;dropping-particle&quot;:&quot;&quot;,&quot;family&quot;:&quot;Luft&quot;,&quot;given&quot;:&quot;Andreas R.&quot;,&quot;non-dropping-particle&quot;:&quot;&quot;,&quot;parse-names&quot;:false,&quot;suffix&quot;:&quot;&quot;},{&quot;dropping-particle&quot;:&quot;&quot;,&quot;family&quot;:&quot;Veltink&quot;,&quot;given&quot;:&quot;Peter H.&quot;,&quot;non-dropping-particle&quot;:&quot;&quot;,&quot;parse-names&quot;:false,&quot;suffix&quot;:&quot;&quot;}],&quot;container-title&quot;:&quot;Sensors (Switzerland)&quot;,&quot;id&quot;:&quot;a983a530-ee28-5ce8-a695-c5ebdfcbd232&quot;,&quot;issue&quot;:&quot;17&quot;,&quot;issued&quot;:{&quot;date-parts&quot;:[[&quot;2020&quot;]]},&quot;page&quot;:&quot;1-22&quot;,&quot;title&quot;:&quot;Assessment of upper limb movement impairments after stroke using wearable inertial sensing&quot;,&quot;type&quot;:&quot;article-journal&quot;,&quot;volume&quot;:&quot;20&quot;,&quot;container-title-short&quot;:&quot;&quot;},&quot;uris&quot;:[&quot;http://www.mendeley.com/documents/?uuid=f907f51c-fccc-41ba-8dcb-847ba5d73f87&quot;],&quot;isTemporary&quot;:false,&quot;legacyDesktopId&quot;:&quot;f907f51c-fccc-41ba-8dcb-847ba5d73f87&quot;}]},{&quot;citationID&quot;:&quot;MENDELEY_CITATION_1fcc63e2-2237-45c4-9ac0-fdcd07ed00c2&quot;,&quot;properties&quot;:{&quot;noteIndex&quot;:0},&quot;isEdited&quot;:false,&quot;manualOverride&quot;:{&quot;citeprocText&quot;:&quot;[1]&quot;,&quot;isManuallyOverridden&quot;:false,&quot;manualOverrideText&quot;:&quot;&quot;},&quot;citationTag&quot;:&quot;MENDELEY_CITATION_v3_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&quot;,&quot;citationItems&quot;:[{&quot;id&quot;:&quot;a59037b1-964c-5f5d-8e24-b41718adfed5&quot;,&quot;itemData&quot;:{&quot;DOI&quot;:&quot;10.1186/1743-0003-11-67&quot;,&quot;ISSN&quot;:&quot;17430003&quot;,&quot;PMID&quot;:&quot;24745972&quot;,&quot;abstract&quot;:&quot;Background: Arm impairment in Multiple Sclerosis (MS) is commonly assessed with clinical scales, such as Action Research Arm Test (ARAT) which evaluates the ability to handle and transport smaller and larger objects. ARAT provides a complete upper limb assessment, as it considers both proximal arm and hand, but suffers from subjectivity and poor sensitivity to mild impairment. In this study an instrumented ARAT is proposed to overcome these limitations and supplement the assessment of arm function in MS. Methods. ARAT was executed by 12 healthy volunteers and 21 MS subjects wearing a single inertial sensor on the wrist. Accelerometers and gyroscopes signals were used to calculate the duration of each task and its sub-phases (reaching, manipulation, transport, release and return). A jerk index was computed to quantify movement smoothness. For each parameter, z-scores were calculated to analyze the deviation from normative data. MS subjects were clinically assessed with ARAT score, Nine-Hole Peg test (9HPT) and Fahn Tremor Rating Scale (FTRS). Results: ARAT tasks executed by MS patients were significantly slower (duration increase: 70%) and less smooth (jerk increase: 16%) with respect to controls. These anomalies were mainly related to manipulation, transport and release sub-movements, with the former showing the greatest alterations. A statistically significant decrease in movement velocity and smoothness was also noticed in patients with normal ARAT score. Z-scores related to duration and jerk were strongly correlated with ARAT rating (r &lt; -0.80, p &lt; 0.001) and 9HPT (r &lt; -0.75, p &lt; 0.001) and were significantly different among MS sub-groups with different levels of arm impairments (p &lt; 0.001). Moreover, Z-score related to manipulation-phase jerk was significantly correlated with the FTRS rating of intention tremor (r = 0.84, p &lt; 0.001). Conclusions: The present study showed that the proposed method is able to discriminate between control and MS groups and to reveal subtle arm alterations not detectable from ARAT score. Validity was shown by high correlations between instrumental variables and clinical ratings. These results suggested that instrumented ARAT could be a valid quick and easy-to-use method for a sensitive quantification of arm function in MS. Inclusion of finger-mounted sensors could complement present findings and provide further indications about hand function in MS. © 2014 Carpinella et al.; licensee BioMed Central Ltd.&quot;,&quot;author&quot;:[{&quot;dropping-particle&quot;:&quot;&quot;,&quot;family&quot;:&quot;Carpinella&quot;,&quot;given&quot;:&quot;Ilaria&quot;,&quot;non-dropping-particle&quot;:&quot;&quot;,&quot;parse-names&quot;:false,&quot;suffix&quot;:&quot;&quot;},{&quot;dropping-particle&quot;:&quot;&quot;,&quot;family&quot;:&quot;Cattaneo&quot;,&quot;given&quot;:&quot;Davide&quot;,&quot;non-dropping-particle&quot;:&quot;&quot;,&quot;parse-names&quot;:false,&quot;suffix&quot;:&quot;&quot;},{&quot;dropping-particle&quot;:&quot;&quot;,&quot;family&quot;:&quot;Ferrarin&quot;,&quot;given&quot;:&quot;Maurizio&quot;,&quot;non-dropping-particle&quot;:&quot;&quot;,&quot;parse-names&quot;:false,&quot;suffix&quot;:&quot;&quot;}],&quot;container-title&quot;:&quot;Journal of NeuroEngineering and Rehabilitation&quot;,&quot;id&quot;:&quot;a59037b1-964c-5f5d-8e24-b41718adfed5&quot;,&quot;issue&quot;:&quot;1&quot;,&quot;issued&quot;:{&quot;date-parts&quot;:[[&quot;2014&quot;]]},&quot;page&quot;:&quot;1-16&quot;,&quot;title&quot;:&quot;Quantitative assessment of upper limb motor function in Multiple Sclerosis using an instrumented Action Research Arm Test&quot;,&quot;type&quot;:&quot;article-journal&quot;,&quot;volume&quot;:&quot;11&quot;,&quot;container-title-short&quot;:&quot;J Neuroeng Rehabil&quot;},&quot;uris&quot;:[&quot;http://www.mendeley.com/documents/?uuid=4cdfb442-c594-4785-8666-757fcfb41022&quot;],&quot;isTemporary&quot;:false,&quot;legacyDesktopId&quot;:&quot;4cdfb442-c594-4785-8666-757fcfb41022&quot;}]},{&quot;citationID&quot;:&quot;MENDELEY_CITATION_211299b8-c85f-479c-9b4d-d10466935f70&quot;,&quot;properties&quot;:{&quot;noteIndex&quot;:0},&quot;isEdited&quot;:false,&quot;manualOverride&quot;:{&quot;citeprocText&quot;:&quot;[2]&quot;,&quot;isManuallyOverridden&quot;:false,&quot;manualOverrideText&quot;:&quot;&quot;},&quot;citationTag&quot;:&quot;MENDELEY_CITATION_v3_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&quot;,&quot;citationItems&quot;:[{&quot;id&quot;:&quot;a983a530-ee28-5ce8-a695-c5ebdfcbd232&quot;,&quot;itemData&quot;:{&quot;DOI&quot;:&quot;10.3390/s20174770&quot;,&quot;ISSN&quot;:&quot;14248220&quot;,&quot;PMID&quot;:&quot;32846958&quot;,&quot;abstract&quot;:&quot;Precise and objective assessments of upper limb movement quality after strokes in functional task conditions are an important prerequisite to improve understanding of the pathophysiology of movement deficits and to prove the effectiveness of interventions. Herein, a wearable inertial sensing system was used to capture movements from the fingers to the trunk in 10 chronic stroke subjects when performing reach-to-grasp activities with the affected and non-affected upper limb. It was investigated whether the factors, tested arm, object weight, and target height, affect the expressions of range of motion in trunk compensation and flexion-extension of the elbow, wrist, and finger during object displacement. The relationship between these metrics and clinically measured impairment was explored. Nine subjects were included in the analysis, as one had to be excluded due to defective data. The tested arm and target height showed strong effects on all metrics, while an increased object weight showed effects on trunk compensation. High inter-and intrasubject variability was found in all metrics without clear relationships to clinical measures. Relating all metrics to each other resulted in significant negative correlations between trunk compensation and elbow flexion-extension in the affected arm. The findings support the clinical usability of sensor-based motion analysis.&quot;,&quot;author&quot;:[{&quot;dropping-particle&quot;:&quot;&quot;,&quot;family&quot;:&quot;Schwarz&quot;,&quot;given&quot;:&quot;Anne&quot;,&quot;non-dropping-particle&quot;:&quot;&quot;,&quot;parse-names&quot;:false,&quot;suffix&quot;:&quot;&quot;},{&quot;dropping-particle&quot;:&quot;&quot;,&quot;family&quot;:&quot;Bhagubai&quot;,&quot;given&quot;:&quot;Miguel M.C.&quot;,&quot;non-dropping-particle&quot;:&quot;&quot;,&quot;parse-names&quot;:false,&quot;suffix&quot;:&quot;&quot;},{&quot;dropping-particle&quot;:&quot;&quot;,&quot;family&quot;:&quot;Wolterink&quot;,&quot;given&quot;:&quot;Gerjan&quot;,&quot;non-dropping-particle&quot;:&quot;&quot;,&quot;parse-names&quot;:false,&quot;suffix&quot;:&quot;&quot;},{&quot;dropping-particle&quot;:&quot;&quot;,&quot;family&quot;:&quot;Held&quot;,&quot;given&quot;:&quot;Jeremia P.O.&quot;,&quot;non-dropping-particle&quot;:&quot;&quot;,&quot;parse-names&quot;:false,&quot;suffix&quot;:&quot;&quot;},{&quot;dropping-particle&quot;:&quot;&quot;,&quot;family&quot;:&quot;Luft&quot;,&quot;given&quot;:&quot;Andreas R.&quot;,&quot;non-dropping-particle&quot;:&quot;&quot;,&quot;parse-names&quot;:false,&quot;suffix&quot;:&quot;&quot;},{&quot;dropping-particle&quot;:&quot;&quot;,&quot;family&quot;:&quot;Veltink&quot;,&quot;given&quot;:&quot;Peter H.&quot;,&quot;non-dropping-particle&quot;:&quot;&quot;,&quot;parse-names&quot;:false,&quot;suffix&quot;:&quot;&quot;}],&quot;container-title&quot;:&quot;Sensors (Switzerland)&quot;,&quot;id&quot;:&quot;a983a530-ee28-5ce8-a695-c5ebdfcbd232&quot;,&quot;issue&quot;:&quot;17&quot;,&quot;issued&quot;:{&quot;date-parts&quot;:[[&quot;2020&quot;]]},&quot;page&quot;:&quot;1-22&quot;,&quot;title&quot;:&quot;Assessment of upper limb movement impairments after stroke using wearable inertial sensing&quot;,&quot;type&quot;:&quot;article-journal&quot;,&quot;volume&quot;:&quot;20&quot;,&quot;container-title-short&quot;:&quot;&quot;},&quot;uris&quot;:[&quot;http://www.mendeley.com/documents/?uuid=f907f51c-fccc-41ba-8dcb-847ba5d73f87&quot;],&quot;isTemporary&quot;:false,&quot;legacyDesktopId&quot;:&quot;f907f51c-fccc-41ba-8dcb-847ba5d73f87&quot;}]},{&quot;citationID&quot;:&quot;MENDELEY_CITATION_0f9fa53f-2464-46a9-b4b8-c3d4e48dd414&quot;,&quot;properties&quot;:{&quot;noteIndex&quot;:0},&quot;isEdited&quot;:false,&quot;manualOverride&quot;:{&quot;citeprocText&quot;:&quot;[1]&quot;,&quot;isManuallyOverridden&quot;:false,&quot;manualOverrideText&quot;:&quot;&quot;},&quot;citationTag&quot;:&quot;MENDELEY_CITATION_v3_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&quot;,&quot;citationItems&quot;:[{&quot;id&quot;:&quot;a59037b1-964c-5f5d-8e24-b41718adfed5&quot;,&quot;itemData&quot;:{&quot;DOI&quot;:&quot;10.1186/1743-0003-11-67&quot;,&quot;ISSN&quot;:&quot;17430003&quot;,&quot;PMID&quot;:&quot;24745972&quot;,&quot;abstract&quot;:&quot;Background: Arm impairment in Multiple Sclerosis (MS) is commonly assessed with clinical scales, such as Action Research Arm Test (ARAT) which evaluates the ability to handle and transport smaller and larger objects. ARAT provides a complete upper limb assessment, as it considers both proximal arm and hand, but suffers from subjectivity and poor sensitivity to mild impairment. In this study an instrumented ARAT is proposed to overcome these limitations and supplement the assessment of arm function in MS. Methods. ARAT was executed by 12 healthy volunteers and 21 MS subjects wearing a single inertial sensor on the wrist. Accelerometers and gyroscopes signals were used to calculate the duration of each task and its sub-phases (reaching, manipulation, transport, release and return). A jerk index was computed to quantify movement smoothness. For each parameter, z-scores were calculated to analyze the deviation from normative data. MS subjects were clinically assessed with ARAT score, Nine-Hole Peg test (9HPT) and Fahn Tremor Rating Scale (FTRS). Results: ARAT tasks executed by MS patients were significantly slower (duration increase: 70%) and less smooth (jerk increase: 16%) with respect to controls. These anomalies were mainly related to manipulation, transport and release sub-movements, with the former showing the greatest alterations. A statistically significant decrease in movement velocity and smoothness was also noticed in patients with normal ARAT score. Z-scores related to duration and jerk were strongly correlated with ARAT rating (r &lt; -0.80, p &lt; 0.001) and 9HPT (r &lt; -0.75, p &lt; 0.001) and were significantly different among MS sub-groups with different levels of arm impairments (p &lt; 0.001). Moreover, Z-score related to manipulation-phase jerk was significantly correlated with the FTRS rating of intention tremor (r = 0.84, p &lt; 0.001). Conclusions: The present study showed that the proposed method is able to discriminate between control and MS groups and to reveal subtle arm alterations not detectable from ARAT score. Validity was shown by high correlations between instrumental variables and clinical ratings. These results suggested that instrumented ARAT could be a valid quick and easy-to-use method for a sensitive quantification of arm function in MS. Inclusion of finger-mounted sensors could complement present findings and provide further indications about hand function in MS. © 2014 Carpinella et al.; licensee BioMed Central Ltd.&quot;,&quot;author&quot;:[{&quot;dropping-particle&quot;:&quot;&quot;,&quot;family&quot;:&quot;Carpinella&quot;,&quot;given&quot;:&quot;Ilaria&quot;,&quot;non-dropping-particle&quot;:&quot;&quot;,&quot;parse-names&quot;:false,&quot;suffix&quot;:&quot;&quot;},{&quot;dropping-particle&quot;:&quot;&quot;,&quot;family&quot;:&quot;Cattaneo&quot;,&quot;given&quot;:&quot;Davide&quot;,&quot;non-dropping-particle&quot;:&quot;&quot;,&quot;parse-names&quot;:false,&quot;suffix&quot;:&quot;&quot;},{&quot;dropping-particle&quot;:&quot;&quot;,&quot;family&quot;:&quot;Ferrarin&quot;,&quot;given&quot;:&quot;Maurizio&quot;,&quot;non-dropping-particle&quot;:&quot;&quot;,&quot;parse-names&quot;:false,&quot;suffix&quot;:&quot;&quot;}],&quot;container-title&quot;:&quot;Journal of NeuroEngineering and Rehabilitation&quot;,&quot;id&quot;:&quot;a59037b1-964c-5f5d-8e24-b41718adfed5&quot;,&quot;issue&quot;:&quot;1&quot;,&quot;issued&quot;:{&quot;date-parts&quot;:[[&quot;2014&quot;]]},&quot;page&quot;:&quot;1-16&quot;,&quot;title&quot;:&quot;Quantitative assessment of upper limb motor function in Multiple Sclerosis using an instrumented Action Research Arm Test&quot;,&quot;type&quot;:&quot;article-journal&quot;,&quot;volume&quot;:&quot;11&quot;,&quot;container-title-short&quot;:&quot;J Neuroeng Rehabil&quot;},&quot;uris&quot;:[&quot;http://www.mendeley.com/documents/?uuid=4cdfb442-c594-4785-8666-757fcfb41022&quot;],&quot;isTemporary&quot;:false,&quot;legacyDesktopId&quot;:&quot;4cdfb442-c594-4785-8666-757fcfb41022&quot;}]}]"/>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6E797-C10F-4DF4-B2FD-A772183A97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644</Words>
  <Characters>3671</Characters>
  <Application>Microsoft Office Word</Application>
  <DocSecurity>0</DocSecurity>
  <Lines>30</Lines>
  <Paragraphs>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4307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Gregorio  Dotti</dc:creator>
  <cp:keywords/>
  <dc:description/>
  <cp:lastModifiedBy>Gregorio  Dotti</cp:lastModifiedBy>
  <cp:revision>24</cp:revision>
  <dcterms:created xsi:type="dcterms:W3CDTF">2024-06-03T09:09:00Z</dcterms:created>
  <dcterms:modified xsi:type="dcterms:W3CDTF">2024-06-04T14:46:00Z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440f7cc8-97db-3366-86b6-14a2f6b9b21c</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