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svg" ContentType="image/svg+xml"/>
  <Default Extension="webp" ContentType="image/png"/>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body>
    <w:p>
      <w:pPr>
        <w:rPr>
          <w:lang w:val="en-gb"/>
        </w:rPr>
      </w:pPr>
      <w:r>
        <w:rPr>
          <w:b/>
          <w:bCs/>
          <w:lang w:val="en-gb"/>
        </w:rPr>
        <w:t xml:space="preserve">Urban Words and Worlds </w:t>
      </w:r>
      <w:r>
        <w:rPr>
          <w:lang w:val="en-gb"/>
        </w:rPr>
      </w:r>
    </w:p>
    <w:p>
      <w:pPr>
        <w:rPr>
          <w:lang w:val="en-gb"/>
        </w:rPr>
      </w:pPr>
      <w:r>
        <w:rPr>
          <w:lang w:val="en-gb"/>
        </w:rPr>
      </w:r>
    </w:p>
    <w:p>
      <w:pPr>
        <w:rPr>
          <w:lang w:val="en-gb"/>
        </w:rPr>
      </w:pPr>
      <w:r>
        <w:rPr>
          <w:lang w:val="en-gb"/>
        </w:rPr>
        <w:t xml:space="preserve">What kind of language would help to amplify lives and ways of the swathes of urban inhabitants traduced by the canons of urban analysis or organisation? How could such a language encourage an urbanism of plurality, difference, and autonomy? These are the questions posed by our edited collection, and generatively taken up by its reviewers for this journal. We thank them for pressing us on the precisions of such a language by suggesting what may be needed is an expanded lexicon of words and the non-verbal rather than a new grammar (Gupte), a non-essentialist instead of post-categorical vocabulary (Lawhon), an openness towards expressions from the street itself rather than new urban theory (Ousborne), and propositions from the urban archive of vitalist lines of flight (Vasudevan). We do not dissent from these observations, for at root, the intention of the collection has been to break free from normative urban categories and their disciplinary modes in ways that attune to ongoing social relations that recentre the urban margins. And, to this end, it may be that what is required is not </w:t>
      </w:r>
      <w:r>
        <w:rPr>
          <w:i/>
          <w:iCs/>
          <w:lang w:val="en-gb"/>
        </w:rPr>
        <w:t>one</w:t>
      </w:r>
      <w:r>
        <w:rPr>
          <w:lang w:val="en-gb"/>
        </w:rPr>
        <w:t xml:space="preserve"> new grammar, which comes with its fixed rules and conjugations of composition, but a “grammar of grammars” or, to put it simply, an openess towards the composite of vocabularies of expanding terms that inescapably become ‘categories’ by which thought, and practice are given shape, but also constantly disrupt settled meanings by bringing neglected urban material past and present into view. This is what we, in the book, conceived as a form of “post-categorical” thinking. Cognitive and linguistic unsettlement become the operative condition of analysis and organisation.</w:t>
      </w:r>
    </w:p>
    <w:p>
      <w:pPr>
        <w:rPr>
          <w:lang w:val="en-gb"/>
        </w:rPr>
      </w:pPr>
      <w:r>
        <w:rPr>
          <w:lang w:val="en-gb"/>
        </w:rPr>
      </w:r>
    </w:p>
    <w:p>
      <w:pPr>
        <w:rPr>
          <w:lang w:val="en-gb"/>
        </w:rPr>
      </w:pPr>
      <w:r>
        <w:rPr>
          <w:lang w:val="en-gb"/>
        </w:rPr>
        <w:t xml:space="preserve">But this openness immediately poses the problem of form: how to piece together the words into a narrative with some impact and durability, how to dislodge vocabularies that acquire epistemic power, how to invest the always mobile terminology of margins to make sense of bewildering uncertainty and change with categorical power, how to add traction to a language of vitalizing fugitivity. Put differently, how can a glossary built from the ground of lived relations be made to count, drawing on diverse sources, from words of joyous lines of flight such as Occupy and terms such as ‘verlan’ coined by people to invert their subaltern categorization, to conditions of urban habitability named by ethnographers such as transitoriness, deformation, banishment, and infrastructural failure. The inclination is to see this war of words between a vocabulary from the ground of relations and one from abstractions of ontology, as a war of worlds, hoping that the victory of the first vocabulary will open the way for the decentred and autonomous city by denuding the words of the centred and controlled city that mask marginalisation and injustice. Particularly so with the help of an effective politics, one that might include the empowerment of communities, the decentralisation of municipal power, the democratisation of urban governance, the curtailment of elites, corporations and surveillance systems, the mobilisation of vernacular intelligence, the indexation of provisioning systems for equality, and the enlargement of the publicly owned and controlled commons. In this way, so the thinking goes, the words for another urban world will gain political heft, narrowing the semantic space of voices for the urban status quo and opening the possibility of another kind of urban order. Untimately, this will also have an effect on the ways in which - within the confines of our institutions (Ousborne) - teaching, debating, and writing might take place. </w:t>
      </w:r>
    </w:p>
    <w:p>
      <w:pPr>
        <w:rPr>
          <w:lang w:val="en-gb"/>
        </w:rPr>
      </w:pPr>
      <w:r>
        <w:rPr>
          <w:lang w:val="en-gb"/>
        </w:rPr>
      </w:r>
    </w:p>
    <w:p>
      <w:pPr>
        <w:rPr>
          <w:lang w:val="en-gb"/>
        </w:rPr>
      </w:pPr>
      <w:r>
        <w:rPr>
          <w:lang w:val="en-gb"/>
        </w:rPr>
        <w:t xml:space="preserve">The inclination of the reviewers on </w:t>
      </w:r>
      <w:r>
        <w:rPr>
          <w:i/>
          <w:iCs/>
          <w:lang w:val="en-gb"/>
        </w:rPr>
        <w:t xml:space="preserve">Grammars of the Urban Ground </w:t>
      </w:r>
      <w:r>
        <w:rPr>
          <w:lang w:val="en-gb"/>
        </w:rPr>
        <w:t xml:space="preserve">is different, less concerned with the politics of hegemony than with learning from the margins and amplifying their affirmative potentialities. Theirs is an interest in hidden words and dispositions that are vitalizing, openings to a new kind of urbanism that places care-laden living at its heart. This is how we interpret Rupali Gupte’s interest in the non-verbal, for example, the affective texture of architecture, film, sound, and poetry, Alex Vasudevan’s suggestion to foreground the archive of shared ways of living, and Alana Ousborne’s cajolement to think with, and through, the expressive terms of the forgotten and he violent legacies of the colonial past and present. Their urbanism presents no simple choice of a war of words that might lead to new worlds but leans towards an affective politics of orientations to the world whose atmospheres begin to count more than words to shift the ground of possibility. Orientations of living the city differently, generously, and subversively, including in the ways in which scholarship engages with the margins by listening and following, working with an art that requires, as Alana Ousborne suggests “slowing down and noticing what lurks, that which is tenuous, watermarked”. This inclination unpacks an underwritten intention of our edited collection to a new level, that of remaking the city through a politics of fugitivity. And it is by maintaining that intention and sense of direction in sight, which we ultimately return to the importance of starting the necessary work of engagement and decolonisation not just with the grounds of the urban, but with </w:t>
      </w:r>
      <w:r>
        <w:rPr>
          <w:i/>
          <w:iCs/>
          <w:lang w:val="en-gb"/>
        </w:rPr>
        <w:t>how ones engage with the thinking of the ground of the urban.</w:t>
      </w:r>
      <w:r>
        <w:rPr>
          <w:lang w:val="en-gb"/>
        </w:rPr>
        <w:t xml:space="preserve"> It is immediatly apparent that the two are not disconnected practices, but the latter is one that take place within its own specific context, that of the Academy with its offices, corridors, conferences, journals, power relations, political and affective economies, histories of extractions. The book, to us, offers a set of propositions on how to stay close to the troubles of both the ground itself, and of the labour (which must remain also conceptual), of how one deals with it in the academic sphere writing and teaching about the urban ground (the making of this project as an open-access one was just one of the important element in this sense to us). We welcome the important insights the reviewers gave to us because they further enable the problematisation of such troublesome sense of direction, of its unspoken fragility and peril, but also of its emancipatory potential. </w:t>
      </w:r>
    </w:p>
    <w:sectPr>
      <w:footnotePr>
        <w:pos w:val="pageBottom"/>
        <w:numFmt w:val="decimal"/>
        <w:numStart w:val="1"/>
        <w:numRestart w:val="continuous"/>
      </w:footnotePr>
      <w:endnotePr>
        <w:pos w:val="docEnd"/>
        <w:numFmt w:val="lowerRoman"/>
        <w:numStart w:val="1"/>
        <w:numRestart w:val="continuous"/>
      </w:endnotePr>
      <w:headerReference w:type="default" r:id="rId7"/>
      <w:footerReference w:type="default" r:id="rId8"/>
      <w:type w:val="nextPage"/>
      <w:pgSz w:h="16838" w:w="11906"/>
      <w:pgMar w:left="1440" w:top="1440" w:right="1440" w:bottom="1440" w:header="0" w:footer="708"/>
      <w:paperSrc w:first="0" w:other="0" a="0" b="0"/>
      <w:pgNumType w:fmt="decimal"/>
      <w:tmGutter w:val="3"/>
      <w:mirrorMargins w:val="0"/>
      <w:tmSection w:h="-2">
        <w:tmFooter w:id="0" w:h="0" edge="708" text="0">
          <w:shd w:val="none"/>
        </w:tmFooter>
      </w:tmSection>
      <w:guidesAndGridMasterPages Id="0" numberOfVerticalGuides="0" numberOfHorizontalGuides="0"/>
      <w:guidesAndGridMasterPages Id="1" numberOfVerticalGuides="0" numberOfHorizontalGuides="0"/>
      <w:guidesAndGridMasterPages Id="2" numberOfVerticalGuides="0" numberOfHorizontalGuides="0"/>
      <w:foldMark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charset w:val="00"/>
    <w:family w:val="swiss"/>
    <w:pitch w:val="default"/>
  </w:font>
  <w:font w:name="Segoe UI">
    <w:charset w:val="00"/>
    <w:family w:val="auto"/>
    <w:pitch w:val="default"/>
  </w:font>
  <w:font w:name="SimSu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pStyle w:val="para1"/>
      <w:ind w:right="360"/>
    </w:pPr>
    <w:r>
      <w:rPr>
        <w:noProof/>
      </w:rPr>
      <mc:AlternateContent>
        <mc:Choice Requires="wps">
          <w:drawing>
            <wp:anchor distT="0" distB="0" distL="0" distR="0" simplePos="0" relativeHeight="251658242" behindDoc="0" locked="0" layoutInCell="0" hidden="0" allowOverlap="1">
              <wp:simplePos x="0" y="0"/>
              <wp:positionH relativeFrom="margin">
                <wp:align>right</wp:align>
              </wp:positionH>
              <wp:positionV relativeFrom="paragraph">
                <wp:posOffset>635</wp:posOffset>
              </wp:positionV>
              <wp:extent cx="114300" cy="186055"/>
              <wp:effectExtent l="0" t="0" r="0" b="0"/>
              <wp:wrapTopAndBottom/>
              <wp:docPr id="2" name="Textbox 2"/>
              <wp:cNvGraphicFramePr/>
              <a:graphic xmlns:a="http://schemas.openxmlformats.org/drawingml/2006/main">
                <a:graphicData uri="http://schemas.microsoft.com/office/word/2010/wordprocessingShape">
                  <wps:wsp>
                    <wps:cNvSpPr txBox="1">
                      <a:codePr string="" type="312" text="1"/>
                      <a:extLst>
                        <a:ext uri="sm">
                          <sm:smNativeData xmlns:sm="sm" val="SMDATA_15_AskKZRMAAAAlAAAAEg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"/>
                        </a:ext>
                      </a:extLst>
                    </wps:cNvSpPr>
                    <wps:spPr>
                      <a:xfrm>
                        <a:off x="0" y="0"/>
                        <a:ext cx="114300" cy="186055"/>
                      </a:xfrm>
                      <a:prstGeom prst="rect">
                        <a:avLst/>
                      </a:prstGeom>
                      <a:noFill/>
                      <a:ln w="12700">
                        <a:noFill/>
                      </a:ln>
                    </wps:spPr>
                    <wps:txbx>
                      <w:txbxContent>
                        <w:p>
                          <w:pPr>
                            <w:pStyle w:val="para1"/>
                          </w:pPr>
                          <w:r>
                            <w:rPr>
                              <w:rStyle w:val="char2"/>
                            </w:rPr>
                          </w:r>
                          <w:r>
                            <w:rPr>
                              <w:rStyle w:val="char2"/>
                            </w:rPr>
                            <w:fldChar w:fldCharType="begin"/>
                            <w:instrText xml:space="preserve"> PAGE </w:instrText>
                            <w:fldChar w:fldCharType="separate"/>
                            <w:t>1</w:t>
                            <w:fldChar w:fldCharType="end"/>
                          </w:r>
                          <w:r>
                            <w:rPr>
                              <w:rStyle w:val="char2"/>
                            </w:rPr>
                          </w:r>
                        </w:p>
                      </w:txbxContent>
                    </wps:txbx>
                    <wps:bodyPr spcFirstLastPara="1" vertOverflow="clip" horzOverflow="clip" wrap="none" lIns="0" tIns="0" rIns="0" bIns="0" upright="1">
                      <a:prstTxWarp prst="textNoShape">
                        <a:avLst/>
                      </a:prstTxWarp>
                      <a:spAutoFit/>
                    </wps:bodyPr>
                  </wps:wsp>
                </a:graphicData>
              </a:graphic>
            </wp:anchor>
          </w:drawing>
        </mc:Choice>
        <mc:Fallback>
          <w:pict>
            <v:shapetype id="_x0000_t202" coordsize="21600,21600" o:spt="202" path="m,l,21600r21600,l21600,xe">
              <v:path gradientshapeok="t" o:connecttype="rect"/>
            </v:shapetype>
            <v:shape id="Textbox 2" o:spid="_x0000_s3073" type="#_x0000_t202" style="position:absolute;mso-position-horizontal:right;margin-top:0.05pt;mso-position-horizontal-relative:margin;width:9.00pt;height:14.65pt;z-index:251658242;mso-wrap-distance-left:0.00pt;mso-wrap-distance-top:0.00pt;mso-wrap-distance-right:0.00pt;mso-wrap-distance-bottom:0.00pt;mso-wrap-style:none" stroked="f" filled="f" v:ext="SMDATA_15_AskKZRMAAAAlAAAAEgAAAA0AAAAAAAAAAAAAAAAAAAAAA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" o:insetmode="custom">
              <w10:wrap type="topAndBottom" anchorx="margin" anchory="text"/>
              <v:textbox style="mso-fit-shape-to-text:t" inset="0.0pt,0.0pt,0.0pt,0.0pt">
                <w:txbxContent>
                  <w:p>
                    <w:pPr>
                      <w:pStyle w:val="para1"/>
                    </w:pPr>
                    <w:r>
                      <w:rPr>
                        <w:rStyle w:val="char2"/>
                      </w:rPr>
                    </w:r>
                    <w:r>
                      <w:rPr>
                        <w:rStyle w:val="char2"/>
                      </w:rPr>
                      <w:fldChar w:fldCharType="begin"/>
                      <w:instrText xml:space="preserve"> PAGE </w:instrText>
                      <w:fldChar w:fldCharType="separate"/>
                      <w:t>1</w:t>
                      <w:fldChar w:fldCharType="end"/>
                    </w:r>
                    <w:r>
                      <w:rPr>
                        <w:rStyle w:val="char2"/>
                      </w:rPr>
                    </w:r>
                  </w:p>
                </w:txbxContent>
              </v:textbox>
            </v:shape>
          </w:pict>
        </mc:Fallback>
      </mc:AlternateContent>
    </w:r>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view w:val="print"/>
  <w:defaultTabStop w:val="720"/>
  <w:autoHyphenation w:val="0"/>
  <w:doNotShadeFormData w:val="0"/>
  <w:captions>
    <w:caption w:name="Table" w:pos="below" w:numFmt="decimal"/>
    <w:caption w:name="Figure" w:pos="below" w:numFmt="decimal"/>
    <w:caption w:name="Picture" w:pos="below" w:numFmt="decimal"/>
  </w:captions>
  <w:drawingGridHorizontalSpacing w:val="283"/>
  <w:drawingGridVerticalSpacing w:val="283"/>
  <w:trackRevisions/>
  <w:revisionView w:comments="1" w:markup="1" w:insDel="1" w:formatting="1"/>
  <w:footnotePr>
    <w:pos w:val="pageBottom"/>
    <w:numFmt w:val="decimal"/>
    <w:numStart w:val="1"/>
    <w:numRestart w:val="continuous"/>
  </w:footnotePr>
  <w:endnotePr>
    <w:pos w:val="docEnd"/>
    <w:numFmt w:val="lowerRoman"/>
    <w:numStart w:val="1"/>
    <w:numRestart w:val="continuous"/>
  </w:endnotePr>
  <w:compat>
    <w:suppressSpBfAfterPgBrk w:val="1"/>
    <w:compatSetting w:name="compatibilityMode" w:uri="http://schemas.microsoft.com/office/word" w:val="15"/>
  </w:compat>
  <w:shapeDefaults>
    <o:shapedefaults v:ext="edit" spidmax="3074"/>
    <o:shapelayout v:ext="edit">
      <o:rules v:ext="edit"/>
    </o:shapelayout>
  </w:shapeDefaults>
  <w:tmPrefOne w:val="17"/>
  <w:tmPrefTwo w:val="1"/>
  <w:tmFmtPref w:val="55090283"/>
  <w:tmCommentsPr>
    <w:tmCommentsPlace w:val="0"/>
    <w:tmCommentsWidth w:val="3119"/>
    <w:tmCommentsColor w:val="-1"/>
  </w:tmCommentsPr>
  <w:tmReviewPr>
    <w:tmReviewEnabled w:val="1"/>
    <w:tmReviewShow w:val="1"/>
    <w:tmReviewPrint w:val="0"/>
    <w:tmRevisionNum w:val="395"/>
    <w:tmReviewMarkIns w:val="4"/>
    <w:tmReviewColorIns w:val="-1"/>
    <w:tmReviewMarkDel w:val="7"/>
    <w:tmReviewColorDel w:val="-1"/>
    <w:tmReviewMarkFmt w:val="7"/>
    <w:tmReviewColorFmt w:val="-1"/>
    <w:tmReviewMarkLn w:val="1"/>
    <w:tmReviewColorLn w:val="0"/>
    <w:tmReviewToolTip w:val="1"/>
  </w:tmReviewPr>
  <w:tmLastPos>
    <w:tmLastPosPage w:val="0"/>
    <w:tmLastPosSelect w:val="0"/>
    <w:tmLastPosFrameIdx w:val="0"/>
    <w:tmLastPosCaret>
      <w:tmLastPosPgfIdx w:val="6"/>
      <w:tmLastPosIdx w:val="0"/>
    </w:tmLastPosCaret>
    <w:tmLastPosAnchor>
      <w:tmLastPosPgfIdx w:val="0"/>
      <w:tmLastPosIdx w:val="0"/>
    </w:tmLastPosAnchor>
    <w:tmLastPosTblRect w:left="0" w:top="0" w:right="0" w:bottom="0"/>
  </w:tmLastPos>
  <w:tmAppRevision w:date="1695205634" w:val="1204" w:fileVer="342" w:fileVer64="64" w:fileVerOS="3"/>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Calibri"/>
        <w:kern w:val="1"/>
        <w:sz w:val="24"/>
        <w:szCs w:val="24"/>
        <w:lang w:val="en-us" w:eastAsia="en-us"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Footer"/>
    <w:qFormat/>
    <w:basedOn w:val="para0"/>
    <w:pPr>
      <w:tabs defTabSz="720">
        <w:tab w:val="center" w:pos="4513" w:leader="none"/>
        <w:tab w:val="right" w:pos="9026" w:leader="none"/>
      </w:tabs>
    </w:pPr>
  </w:style>
  <w:style w:type="paragraph" w:styleId="para2">
    <w:name w:val="Balloon Text"/>
    <w:qFormat/>
    <w:basedOn w:val="para0"/>
    <w:rPr>
      <w:rFonts w:ascii="Segoe UI" w:hAnsi="Segoe UI" w:eastAsia="SimSun" w:cs="Segoe UI"/>
      <w:sz w:val="18"/>
      <w:szCs w:val="18"/>
    </w:rPr>
  </w:style>
  <w:style w:type="paragraph" w:styleId="para3">
    <w:name w:val="Comment Text"/>
    <w:qFormat/>
    <w:basedOn w:val="para0"/>
    <w:rPr>
      <w:sz w:val="20"/>
      <w:szCs w:val="20"/>
    </w:rPr>
  </w:style>
  <w:style w:type="character" w:styleId="char0" w:default="1">
    <w:name w:val="Default Paragraph Font"/>
  </w:style>
  <w:style w:type="character" w:styleId="char1" w:customStyle="1">
    <w:name w:val="Footer Char"/>
    <w:basedOn w:val="char0"/>
  </w:style>
  <w:style w:type="character" w:styleId="char2">
    <w:name w:val="Page Number"/>
    <w:basedOn w:val="char0"/>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Calibri" w:hAnsi="Calibri" w:eastAsia="Calibri" w:cs="Calibri"/>
        <w:kern w:val="1"/>
        <w:sz w:val="24"/>
        <w:szCs w:val="24"/>
        <w:lang w:val="en-us" w:eastAsia="en-us"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Footer"/>
    <w:qFormat/>
    <w:basedOn w:val="para0"/>
    <w:pPr>
      <w:tabs defTabSz="720">
        <w:tab w:val="center" w:pos="4513" w:leader="none"/>
        <w:tab w:val="right" w:pos="9026" w:leader="none"/>
      </w:tabs>
    </w:pPr>
  </w:style>
  <w:style w:type="paragraph" w:styleId="para2">
    <w:name w:val="Balloon Text"/>
    <w:qFormat/>
    <w:basedOn w:val="para0"/>
    <w:rPr>
      <w:rFonts w:ascii="Segoe UI" w:hAnsi="Segoe UI" w:eastAsia="SimSun" w:cs="Segoe UI"/>
      <w:sz w:val="18"/>
      <w:szCs w:val="18"/>
    </w:rPr>
  </w:style>
  <w:style w:type="paragraph" w:styleId="para3">
    <w:name w:val="Comment Text"/>
    <w:qFormat/>
    <w:basedOn w:val="para0"/>
    <w:rPr>
      <w:sz w:val="20"/>
      <w:szCs w:val="20"/>
    </w:rPr>
  </w:style>
  <w:style w:type="character" w:styleId="char0" w:default="1">
    <w:name w:val="Default Paragraph Font"/>
  </w:style>
  <w:style w:type="character" w:styleId="char1" w:customStyle="1">
    <w:name w:val="Footer Char"/>
    <w:basedOn w:val="char0"/>
  </w:style>
  <w:style w:type="character" w:styleId="char2">
    <w:name w:val="Page Number"/>
    <w:basedOn w:val="char0"/>
  </w:style>
  <w:style w:type="table" w:default="1" w:styleId="TableNormal">
    <w:name w:val="Normal Table"/>
    <w:uiPriority w:val="99"/>
    <w:semiHidden/>
    <w:unhideWhenUsed/>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header" Target="header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NX rev.1204</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 Amin</dc:creator>
  <cp:keywords/>
  <dc:description/>
  <cp:lastModifiedBy>Michele Lancione</cp:lastModifiedBy>
  <cp:revision>395</cp:revision>
  <dcterms:created xsi:type="dcterms:W3CDTF">2023-09-08T09:34:00Z</dcterms:created>
  <dcterms:modified xsi:type="dcterms:W3CDTF">2023-09-20T10:27:14Z</dcterms:modified>
</cp:coreProperties>
</file>