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11A73F" w14:textId="5A97355B" w:rsidR="00F46CA4" w:rsidRPr="005C529B" w:rsidRDefault="0016044E" w:rsidP="00F46CA4">
      <w:pPr>
        <w:rPr>
          <w:b/>
          <w:bCs/>
        </w:rPr>
      </w:pPr>
      <w:r>
        <w:rPr>
          <w:b/>
          <w:bCs/>
        </w:rPr>
        <w:t>I</w:t>
      </w:r>
      <w:r w:rsidR="006372CD" w:rsidRPr="005C529B">
        <w:rPr>
          <w:b/>
          <w:bCs/>
        </w:rPr>
        <w:t xml:space="preserve">njectable </w:t>
      </w:r>
      <w:r>
        <w:rPr>
          <w:b/>
          <w:bCs/>
        </w:rPr>
        <w:t xml:space="preserve">hydrogels </w:t>
      </w:r>
      <w:r w:rsidR="00DA0C10">
        <w:rPr>
          <w:b/>
          <w:bCs/>
        </w:rPr>
        <w:t>loaded with hybrid nanoparticles for</w:t>
      </w:r>
      <w:r>
        <w:rPr>
          <w:b/>
          <w:bCs/>
        </w:rPr>
        <w:t xml:space="preserve"> </w:t>
      </w:r>
      <w:r w:rsidR="001B2010">
        <w:rPr>
          <w:b/>
          <w:bCs/>
        </w:rPr>
        <w:t>cell/tissue</w:t>
      </w:r>
      <w:r>
        <w:rPr>
          <w:b/>
          <w:bCs/>
        </w:rPr>
        <w:t xml:space="preserve"> specific microRNA delivery</w:t>
      </w:r>
      <w:r w:rsidR="005C529B" w:rsidRPr="005C529B">
        <w:rPr>
          <w:b/>
          <w:bCs/>
        </w:rPr>
        <w:t xml:space="preserve">: towards novel </w:t>
      </w:r>
      <w:r w:rsidR="00F46CA4" w:rsidRPr="005C529B">
        <w:rPr>
          <w:b/>
          <w:bCs/>
        </w:rPr>
        <w:t>advanced therap</w:t>
      </w:r>
      <w:r w:rsidR="005C529B" w:rsidRPr="005C529B">
        <w:rPr>
          <w:b/>
          <w:bCs/>
        </w:rPr>
        <w:t>ies</w:t>
      </w:r>
      <w:r w:rsidR="00F46CA4" w:rsidRPr="005C529B">
        <w:rPr>
          <w:b/>
          <w:bCs/>
        </w:rPr>
        <w:t xml:space="preserve"> for cardiac regeneration</w:t>
      </w:r>
    </w:p>
    <w:p w14:paraId="3410069D" w14:textId="4B82882E" w:rsidR="006372CD" w:rsidRPr="001C41D4" w:rsidRDefault="006372CD" w:rsidP="00F46CA4">
      <w:pPr>
        <w:rPr>
          <w:b/>
          <w:bCs/>
          <w:lang w:val="it-IT"/>
        </w:rPr>
      </w:pPr>
      <w:r w:rsidRPr="001C41D4">
        <w:rPr>
          <w:b/>
          <w:bCs/>
          <w:i/>
          <w:iCs/>
          <w:lang w:val="it-IT"/>
        </w:rPr>
        <w:t xml:space="preserve">Injectable hydrogels </w:t>
      </w:r>
    </w:p>
    <w:p w14:paraId="6E9533A2" w14:textId="77777777" w:rsidR="00A90EDF" w:rsidRPr="00A90EDF" w:rsidRDefault="00A128C1" w:rsidP="00A90EDF">
      <w:pPr>
        <w:pStyle w:val="NormaleWeb"/>
        <w:shd w:val="clear" w:color="auto" w:fill="FFFFFF"/>
        <w:textAlignment w:val="baseline"/>
        <w:rPr>
          <w:rFonts w:ascii="Arial" w:hAnsi="Arial" w:cs="Arial"/>
          <w:color w:val="414141"/>
        </w:rPr>
      </w:pPr>
      <w:r w:rsidRPr="00E560BD">
        <w:t xml:space="preserve">Camilla </w:t>
      </w:r>
      <w:r w:rsidRPr="00A128C1">
        <w:t>Paoletti</w:t>
      </w:r>
      <w:r w:rsidRPr="00A128C1">
        <w:rPr>
          <w:vertAlign w:val="superscript"/>
        </w:rPr>
        <w:t>1</w:t>
      </w:r>
      <w:r>
        <w:t xml:space="preserve">, </w:t>
      </w:r>
      <w:r w:rsidR="00F46CA4" w:rsidRPr="00A128C1">
        <w:t>Letizia</w:t>
      </w:r>
      <w:r w:rsidR="00F46CA4" w:rsidRPr="00E560BD">
        <w:t xml:space="preserve"> Nicoletti</w:t>
      </w:r>
      <w:r w:rsidR="00F46CA4" w:rsidRPr="00E560BD">
        <w:rPr>
          <w:vertAlign w:val="superscript"/>
        </w:rPr>
        <w:t>1</w:t>
      </w:r>
      <w:r w:rsidR="00F46CA4" w:rsidRPr="00E560BD">
        <w:t>, Elena Marcello</w:t>
      </w:r>
      <w:r w:rsidR="00F46CA4" w:rsidRPr="00E560BD">
        <w:rPr>
          <w:vertAlign w:val="superscript"/>
        </w:rPr>
        <w:t>1</w:t>
      </w:r>
      <w:r w:rsidR="00F46CA4" w:rsidRPr="00E560BD">
        <w:t>, Alice Zoso</w:t>
      </w:r>
      <w:r w:rsidR="00F46CA4" w:rsidRPr="00E560BD">
        <w:rPr>
          <w:vertAlign w:val="superscript"/>
        </w:rPr>
        <w:t>1</w:t>
      </w:r>
      <w:r w:rsidR="00F46CA4" w:rsidRPr="00E560BD">
        <w:t>, Giovanni Paolo Stola</w:t>
      </w:r>
      <w:r w:rsidR="00F46CA4" w:rsidRPr="00E560BD">
        <w:rPr>
          <w:vertAlign w:val="superscript"/>
        </w:rPr>
        <w:t>1</w:t>
      </w:r>
      <w:r w:rsidR="00F46CA4" w:rsidRPr="00E560BD">
        <w:t xml:space="preserve">, </w:t>
      </w:r>
      <w:r>
        <w:t>Martina Coletto</w:t>
      </w:r>
      <w:r>
        <w:rPr>
          <w:vertAlign w:val="superscript"/>
        </w:rPr>
        <w:t>1</w:t>
      </w:r>
      <w:r>
        <w:t xml:space="preserve">, </w:t>
      </w:r>
      <w:r w:rsidR="00F46CA4" w:rsidRPr="00E560BD">
        <w:t>Barbara Stella</w:t>
      </w:r>
      <w:r w:rsidR="00F46CA4" w:rsidRPr="00E560BD">
        <w:rPr>
          <w:vertAlign w:val="superscript"/>
        </w:rPr>
        <w:t>2</w:t>
      </w:r>
      <w:r w:rsidR="00F46CA4" w:rsidRPr="00E560BD">
        <w:t>,</w:t>
      </w:r>
      <w:r w:rsidR="00B33D48">
        <w:t xml:space="preserve"> Clara Mattu</w:t>
      </w:r>
      <w:r w:rsidR="00B33D48">
        <w:rPr>
          <w:vertAlign w:val="superscript"/>
        </w:rPr>
        <w:t>1</w:t>
      </w:r>
      <w:r w:rsidR="00B33D48">
        <w:t xml:space="preserve">, </w:t>
      </w:r>
      <w:r w:rsidR="00F46CA4" w:rsidRPr="00E560BD">
        <w:t> </w:t>
      </w:r>
      <w:r w:rsidR="00F46CA4" w:rsidRPr="00E560BD">
        <w:rPr>
          <w:u w:val="single"/>
        </w:rPr>
        <w:t>Valeria Chiono</w:t>
      </w:r>
      <w:r w:rsidR="00F46CA4" w:rsidRPr="00E560BD">
        <w:rPr>
          <w:vertAlign w:val="superscript"/>
        </w:rPr>
        <w:t>1</w:t>
      </w:r>
      <w:r w:rsidR="00F46CA4" w:rsidRPr="00E560BD">
        <w:br/>
      </w:r>
      <w:r w:rsidR="00F46CA4" w:rsidRPr="00E560BD">
        <w:rPr>
          <w:vertAlign w:val="superscript"/>
        </w:rPr>
        <w:t>1</w:t>
      </w:r>
      <w:r w:rsidR="00F46CA4" w:rsidRPr="00E560BD">
        <w:t>Department of Mechanical and Aerospace Engineering, Politecnico di Torino, Torino, Italy</w:t>
      </w:r>
      <w:r w:rsidR="00F46CA4" w:rsidRPr="00E560BD">
        <w:br/>
      </w:r>
      <w:r w:rsidR="00F46CA4" w:rsidRPr="00E560BD">
        <w:rPr>
          <w:vertAlign w:val="superscript"/>
        </w:rPr>
        <w:t>2</w:t>
      </w:r>
      <w:r w:rsidR="00F46CA4" w:rsidRPr="00E560BD">
        <w:t>Department of Drug Science and Technology, University of Turin, Turin</w:t>
      </w:r>
      <w:r w:rsidR="00F46CA4" w:rsidRPr="00E560BD">
        <w:br/>
      </w:r>
      <w:r w:rsidR="00F46CA4" w:rsidRPr="00E560BD">
        <w:br/>
      </w:r>
      <w:r w:rsidR="00A90EDF" w:rsidRPr="00A90EDF">
        <w:rPr>
          <w:rFonts w:ascii="Arial" w:hAnsi="Arial" w:cs="Arial"/>
          <w:color w:val="414141"/>
        </w:rPr>
        <w:t xml:space="preserve">Cardiovascular diseases are the leading cause of death worldwide. </w:t>
      </w:r>
      <w:r w:rsidR="00A90EDF" w:rsidRPr="00A90EDF">
        <w:rPr>
          <w:rFonts w:ascii="Arial" w:hAnsi="Arial" w:cs="Arial"/>
          <w:color w:val="414141"/>
          <w:lang w:val="en-US"/>
        </w:rPr>
        <w:t>Myocardial infarction (MI) causes the irreversible loss of cardiomyocytes and the formation of a scar tissue, leading to heart failure</w:t>
      </w:r>
      <w:r w:rsidR="00A90EDF" w:rsidRPr="00A90EDF">
        <w:rPr>
          <w:rFonts w:ascii="Arial" w:hAnsi="Arial" w:cs="Arial"/>
          <w:color w:val="414141"/>
          <w:sz w:val="18"/>
          <w:szCs w:val="18"/>
          <w:vertAlign w:val="superscript"/>
          <w:lang w:val="en-US"/>
        </w:rPr>
        <w:t>1</w:t>
      </w:r>
      <w:r w:rsidR="00A90EDF" w:rsidRPr="00A90EDF">
        <w:rPr>
          <w:rFonts w:ascii="Arial" w:hAnsi="Arial" w:cs="Arial"/>
          <w:color w:val="414141"/>
          <w:lang w:val="en-US"/>
        </w:rPr>
        <w:t xml:space="preserve">. </w:t>
      </w:r>
      <w:r w:rsidR="00A90EDF" w:rsidRPr="00A90EDF">
        <w:rPr>
          <w:rFonts w:ascii="Arial" w:hAnsi="Arial" w:cs="Arial"/>
          <w:color w:val="414141"/>
        </w:rPr>
        <w:t>Recently, the delivery of microRNAs (miRNAs) able to induce direct cell reprogramming (DR) has emerged as a new possibility for</w:t>
      </w:r>
      <w:r w:rsidR="00A90EDF" w:rsidRPr="00A90EDF">
        <w:rPr>
          <w:rFonts w:ascii="Arial" w:hAnsi="Arial" w:cs="Arial"/>
          <w:i/>
          <w:iCs/>
          <w:color w:val="414141"/>
        </w:rPr>
        <w:t> in situ</w:t>
      </w:r>
      <w:r w:rsidR="00A90EDF" w:rsidRPr="00A90EDF">
        <w:rPr>
          <w:rFonts w:ascii="Arial" w:hAnsi="Arial" w:cs="Arial"/>
          <w:color w:val="414141"/>
        </w:rPr>
        <w:t> myocardial regeneration. In this context, we demonstrated that transient transfection of human adult cardiac fibroblasts (AHCFs) with four microRNA mimics (“miRcombo”) using a commercial transfection agent triggers DR of AHCFs into induced cardiomyocytes (iCMs) </w:t>
      </w:r>
      <w:r w:rsidR="00A90EDF" w:rsidRPr="00A90EDF">
        <w:rPr>
          <w:rFonts w:ascii="Arial" w:hAnsi="Arial" w:cs="Arial"/>
          <w:i/>
          <w:iCs/>
          <w:color w:val="414141"/>
        </w:rPr>
        <w:t>in vitro</w:t>
      </w:r>
      <w:r w:rsidR="00A90EDF" w:rsidRPr="00A90EDF">
        <w:rPr>
          <w:rFonts w:ascii="Arial" w:hAnsi="Arial" w:cs="Arial"/>
          <w:i/>
          <w:iCs/>
          <w:color w:val="414141"/>
          <w:sz w:val="18"/>
          <w:szCs w:val="18"/>
          <w:vertAlign w:val="superscript"/>
        </w:rPr>
        <w:t>1,2</w:t>
      </w:r>
      <w:r w:rsidR="00A90EDF" w:rsidRPr="00A90EDF">
        <w:rPr>
          <w:rFonts w:ascii="Arial" w:hAnsi="Arial" w:cs="Arial"/>
          <w:color w:val="414141"/>
        </w:rPr>
        <w:t>. In this work, we designed safe and efficient hybrid nanocarriers for </w:t>
      </w:r>
      <w:r w:rsidR="00A90EDF" w:rsidRPr="00A90EDF">
        <w:rPr>
          <w:rFonts w:ascii="Arial" w:hAnsi="Arial" w:cs="Arial"/>
          <w:i/>
          <w:iCs/>
          <w:color w:val="414141"/>
        </w:rPr>
        <w:t>in situ</w:t>
      </w:r>
      <w:r w:rsidR="00A90EDF" w:rsidRPr="00A90EDF">
        <w:rPr>
          <w:rFonts w:ascii="Arial" w:hAnsi="Arial" w:cs="Arial"/>
          <w:color w:val="414141"/>
        </w:rPr>
        <w:t> DR of AHCFs into iCMs by intramyocardial injection and injectable self-healing hydrogels for their local administration.</w:t>
      </w:r>
    </w:p>
    <w:p w14:paraId="6CEABB8B" w14:textId="77777777" w:rsidR="00A90EDF" w:rsidRPr="00A90EDF" w:rsidRDefault="00A90EDF" w:rsidP="00A90EDF">
      <w:pPr>
        <w:shd w:val="clear" w:color="auto" w:fill="FFFFFF"/>
        <w:spacing w:before="100" w:beforeAutospacing="1" w:after="100" w:afterAutospacing="1" w:line="240" w:lineRule="auto"/>
        <w:textAlignment w:val="baseline"/>
        <w:rPr>
          <w:rFonts w:ascii="Arial" w:eastAsia="Times New Roman" w:hAnsi="Arial" w:cs="Arial"/>
          <w:color w:val="414141"/>
          <w:sz w:val="24"/>
          <w:szCs w:val="24"/>
          <w:lang w:val="it-IT" w:eastAsia="it-IT"/>
        </w:rPr>
      </w:pPr>
      <w:r w:rsidRPr="00A90EDF">
        <w:rPr>
          <w:rFonts w:ascii="Arial" w:eastAsia="Times New Roman" w:hAnsi="Arial" w:cs="Arial"/>
          <w:color w:val="414141"/>
          <w:sz w:val="24"/>
          <w:szCs w:val="24"/>
          <w:lang w:val="it-IT" w:eastAsia="it-IT"/>
        </w:rPr>
        <w:t>Hybrid nanoparticles loaded with miRNAs (H-NPs/miRNAs) were prepared and surface functionalized with a cell-specific ligand following a patent pending method. H-NPs/miRNAs were characterized physico-chemically. AHCFs were transiently transfected with H-NPs/miRNAs and their viability, miRNA uptake and transfection efficiency were assessed. Hydrogels (HYDs) based on alginate (Alg), alginate dialdehyde (ADA) and gelatin (GEL) were prepared having a double crosslinked network, and thoroughly characterized. </w:t>
      </w:r>
      <w:r w:rsidRPr="00A90EDF">
        <w:rPr>
          <w:rFonts w:ascii="Arial" w:eastAsia="Times New Roman" w:hAnsi="Arial" w:cs="Arial"/>
          <w:i/>
          <w:iCs/>
          <w:color w:val="414141"/>
          <w:sz w:val="24"/>
          <w:szCs w:val="24"/>
          <w:lang w:val="it-IT" w:eastAsia="it-IT"/>
        </w:rPr>
        <w:t>In vitro</w:t>
      </w:r>
      <w:r w:rsidRPr="00A90EDF">
        <w:rPr>
          <w:rFonts w:ascii="Arial" w:eastAsia="Times New Roman" w:hAnsi="Arial" w:cs="Arial"/>
          <w:color w:val="414141"/>
          <w:sz w:val="24"/>
          <w:szCs w:val="24"/>
          <w:lang w:val="it-IT" w:eastAsia="it-IT"/>
        </w:rPr>
        <w:t> release of H-NPs, loaded with model siRNA-Cy5 and embedded into HYD was analysed. The ability of free and released nanoparticles to induce miRNA-mediated DR of AHCFs into iCMs </w:t>
      </w:r>
      <w:r w:rsidRPr="00A90EDF">
        <w:rPr>
          <w:rFonts w:ascii="Arial" w:eastAsia="Times New Roman" w:hAnsi="Arial" w:cs="Arial"/>
          <w:i/>
          <w:iCs/>
          <w:color w:val="414141"/>
          <w:sz w:val="24"/>
          <w:szCs w:val="24"/>
          <w:lang w:val="it-IT" w:eastAsia="it-IT"/>
        </w:rPr>
        <w:t>in vitro</w:t>
      </w:r>
      <w:r w:rsidRPr="00A90EDF">
        <w:rPr>
          <w:rFonts w:ascii="Arial" w:eastAsia="Times New Roman" w:hAnsi="Arial" w:cs="Arial"/>
          <w:color w:val="414141"/>
          <w:sz w:val="24"/>
          <w:szCs w:val="24"/>
          <w:lang w:val="it-IT" w:eastAsia="it-IT"/>
        </w:rPr>
        <w:t> was analysed. Biodistribution was assessed by trials in infarcted mouse model.</w:t>
      </w:r>
    </w:p>
    <w:p w14:paraId="0429C0B5" w14:textId="77777777" w:rsidR="00A90EDF" w:rsidRPr="00A90EDF" w:rsidRDefault="00A90EDF" w:rsidP="00A90EDF">
      <w:pPr>
        <w:shd w:val="clear" w:color="auto" w:fill="FFFFFF"/>
        <w:spacing w:before="100" w:beforeAutospacing="1" w:after="100" w:afterAutospacing="1" w:line="240" w:lineRule="auto"/>
        <w:textAlignment w:val="baseline"/>
        <w:rPr>
          <w:rFonts w:ascii="Arial" w:eastAsia="Times New Roman" w:hAnsi="Arial" w:cs="Arial"/>
          <w:color w:val="414141"/>
          <w:sz w:val="24"/>
          <w:szCs w:val="24"/>
          <w:lang w:val="it-IT" w:eastAsia="it-IT"/>
        </w:rPr>
      </w:pPr>
      <w:r w:rsidRPr="00A90EDF">
        <w:rPr>
          <w:rFonts w:ascii="Arial" w:eastAsia="Times New Roman" w:hAnsi="Arial" w:cs="Arial"/>
          <w:color w:val="414141"/>
          <w:sz w:val="24"/>
          <w:szCs w:val="24"/>
          <w:lang w:val="it-IT" w:eastAsia="it-IT"/>
        </w:rPr>
        <w:t>H-NPs/miRNA showed higher miRNA encapsulation efficiency (99% vs 65%) and biocompatibility (80-100% vs. 50-60%), similar cell transfection efficiency and superior </w:t>
      </w:r>
      <w:r w:rsidRPr="00A90EDF">
        <w:rPr>
          <w:rFonts w:ascii="Arial" w:eastAsia="Times New Roman" w:hAnsi="Arial" w:cs="Arial"/>
          <w:i/>
          <w:iCs/>
          <w:color w:val="414141"/>
          <w:sz w:val="24"/>
          <w:szCs w:val="24"/>
          <w:lang w:val="it-IT" w:eastAsia="it-IT"/>
        </w:rPr>
        <w:t>in vitro </w:t>
      </w:r>
      <w:r w:rsidRPr="00A90EDF">
        <w:rPr>
          <w:rFonts w:ascii="Arial" w:eastAsia="Times New Roman" w:hAnsi="Arial" w:cs="Arial"/>
          <w:color w:val="414141"/>
          <w:sz w:val="24"/>
          <w:szCs w:val="24"/>
          <w:lang w:val="it-IT" w:eastAsia="it-IT"/>
        </w:rPr>
        <w:t>DR ability than a control commercial transfection agent. Optimized HYD showed injectability, self-healing behaviour, biomimetic stiffness and supported AHCF adhesion. H-NPs/miRNA could be delivered through the injectable HYD and interestingly the system was also printable. Mouse trials showed higher biodistribution in the cardiac tissue and reduced accumulation into the liver and the kidneys for ligand-functionalized </w:t>
      </w:r>
      <w:r w:rsidRPr="00A90EDF">
        <w:rPr>
          <w:rFonts w:ascii="Arial" w:eastAsia="Times New Roman" w:hAnsi="Arial" w:cs="Arial"/>
          <w:i/>
          <w:iCs/>
          <w:color w:val="414141"/>
          <w:sz w:val="24"/>
          <w:szCs w:val="24"/>
          <w:lang w:val="it-IT" w:eastAsia="it-IT"/>
        </w:rPr>
        <w:t>vs</w:t>
      </w:r>
      <w:r w:rsidRPr="00A90EDF">
        <w:rPr>
          <w:rFonts w:ascii="Arial" w:eastAsia="Times New Roman" w:hAnsi="Arial" w:cs="Arial"/>
          <w:color w:val="414141"/>
          <w:sz w:val="24"/>
          <w:szCs w:val="24"/>
          <w:lang w:val="it-IT" w:eastAsia="it-IT"/>
        </w:rPr>
        <w:t>. unfunctionalized H-NPs/miRNA. </w:t>
      </w:r>
    </w:p>
    <w:p w14:paraId="50D280F2" w14:textId="77777777" w:rsidR="00A90EDF" w:rsidRPr="00A90EDF" w:rsidRDefault="00A90EDF" w:rsidP="00A90EDF">
      <w:pPr>
        <w:shd w:val="clear" w:color="auto" w:fill="FFFFFF"/>
        <w:spacing w:before="100" w:beforeAutospacing="1" w:after="100" w:afterAutospacing="1" w:line="240" w:lineRule="auto"/>
        <w:textAlignment w:val="baseline"/>
        <w:rPr>
          <w:rFonts w:ascii="Arial" w:eastAsia="Times New Roman" w:hAnsi="Arial" w:cs="Arial"/>
          <w:color w:val="414141"/>
          <w:sz w:val="24"/>
          <w:szCs w:val="24"/>
          <w:lang w:val="it-IT" w:eastAsia="it-IT"/>
        </w:rPr>
      </w:pPr>
      <w:r w:rsidRPr="00A90EDF">
        <w:rPr>
          <w:rFonts w:ascii="Arial" w:eastAsia="Times New Roman" w:hAnsi="Arial" w:cs="Arial"/>
          <w:color w:val="414141"/>
          <w:sz w:val="24"/>
          <w:szCs w:val="24"/>
          <w:lang w:val="it-IT" w:eastAsia="it-IT"/>
        </w:rPr>
        <w:t>In conclusion, ligand-functionalized H-NPs/miRNA were efficient, safe and stable and ensured cell-targeted delivery. By changing miRNA cargo and H-NP surface functionalization, other applications could be explored in the future. Enhanced local retention by nanoparticle delivery through the self-healing HYD is under evaluation.</w:t>
      </w:r>
    </w:p>
    <w:p w14:paraId="36A9AFA9" w14:textId="77777777" w:rsidR="00A90EDF" w:rsidRPr="00A90EDF" w:rsidRDefault="00A90EDF" w:rsidP="00A90EDF">
      <w:pPr>
        <w:shd w:val="clear" w:color="auto" w:fill="FFFFFF"/>
        <w:spacing w:before="100" w:beforeAutospacing="1" w:after="100" w:afterAutospacing="1" w:line="240" w:lineRule="auto"/>
        <w:textAlignment w:val="baseline"/>
        <w:rPr>
          <w:rFonts w:ascii="Arial" w:eastAsia="Times New Roman" w:hAnsi="Arial" w:cs="Arial"/>
          <w:color w:val="414141"/>
          <w:sz w:val="24"/>
          <w:szCs w:val="24"/>
          <w:lang w:val="it-IT" w:eastAsia="it-IT"/>
        </w:rPr>
      </w:pPr>
      <w:r w:rsidRPr="00A90EDF">
        <w:rPr>
          <w:rFonts w:ascii="Arial" w:eastAsia="Times New Roman" w:hAnsi="Arial" w:cs="Arial"/>
          <w:color w:val="414141"/>
          <w:sz w:val="24"/>
          <w:szCs w:val="24"/>
          <w:lang w:val="it-IT" w:eastAsia="it-IT"/>
        </w:rPr>
        <w:t>This project has received funding from the European Research Council (ERC) under the European Union's Horizon 2020 research and innovation programme grant agreement No 772168 (BIORECAR project) and from Fondazione Compagnia di San Paolo.</w:t>
      </w:r>
    </w:p>
    <w:p w14:paraId="26C4C7E1" w14:textId="77777777" w:rsidR="00A90EDF" w:rsidRPr="00A90EDF" w:rsidRDefault="00A90EDF" w:rsidP="00A90EDF">
      <w:pPr>
        <w:numPr>
          <w:ilvl w:val="0"/>
          <w:numId w:val="3"/>
        </w:numPr>
        <w:shd w:val="clear" w:color="auto" w:fill="FFFFFF"/>
        <w:spacing w:before="100" w:beforeAutospacing="1" w:after="100" w:afterAutospacing="1" w:line="240" w:lineRule="auto"/>
        <w:rPr>
          <w:rFonts w:ascii="Arial" w:eastAsia="Times New Roman" w:hAnsi="Arial" w:cs="Arial"/>
          <w:color w:val="414141"/>
          <w:sz w:val="24"/>
          <w:szCs w:val="24"/>
          <w:lang w:val="it-IT" w:eastAsia="it-IT"/>
        </w:rPr>
      </w:pPr>
      <w:r w:rsidRPr="00A90EDF">
        <w:rPr>
          <w:rFonts w:ascii="Arial" w:eastAsia="Times New Roman" w:hAnsi="Arial" w:cs="Arial"/>
          <w:color w:val="414141"/>
          <w:sz w:val="24"/>
          <w:szCs w:val="24"/>
          <w:lang w:val="it-IT" w:eastAsia="it-IT"/>
        </w:rPr>
        <w:t>Paoletti et al. Front Bioeng Biotechnol, 8: 52, 2020. </w:t>
      </w:r>
    </w:p>
    <w:p w14:paraId="6634C247" w14:textId="77777777" w:rsidR="00A90EDF" w:rsidRPr="00A90EDF" w:rsidRDefault="00A90EDF" w:rsidP="00A90EDF">
      <w:pPr>
        <w:numPr>
          <w:ilvl w:val="0"/>
          <w:numId w:val="3"/>
        </w:numPr>
        <w:shd w:val="clear" w:color="auto" w:fill="FFFFFF"/>
        <w:spacing w:before="100" w:beforeAutospacing="1" w:after="100" w:afterAutospacing="1" w:line="240" w:lineRule="auto"/>
        <w:rPr>
          <w:rFonts w:ascii="Arial" w:eastAsia="Times New Roman" w:hAnsi="Arial" w:cs="Arial"/>
          <w:color w:val="414141"/>
          <w:sz w:val="24"/>
          <w:szCs w:val="24"/>
          <w:lang w:val="it-IT" w:eastAsia="it-IT"/>
        </w:rPr>
      </w:pPr>
      <w:r w:rsidRPr="00A90EDF">
        <w:rPr>
          <w:rFonts w:ascii="Arial" w:eastAsia="Times New Roman" w:hAnsi="Arial" w:cs="Arial"/>
          <w:color w:val="414141"/>
          <w:sz w:val="24"/>
          <w:szCs w:val="24"/>
          <w:lang w:val="it-IT" w:eastAsia="it-IT"/>
        </w:rPr>
        <w:lastRenderedPageBreak/>
        <w:t>Nicoletti et al. Nanomedicine, 45: 102589, 2022.</w:t>
      </w:r>
    </w:p>
    <w:p w14:paraId="5A762271" w14:textId="110DF8D6" w:rsidR="004D3CD5" w:rsidRPr="004D3CD5" w:rsidRDefault="004D3CD5" w:rsidP="00A90EDF">
      <w:pPr>
        <w:pStyle w:val="NormaleWeb"/>
        <w:shd w:val="clear" w:color="auto" w:fill="FFFFFF"/>
        <w:textAlignment w:val="baseline"/>
        <w:rPr>
          <w:rFonts w:ascii="Arial" w:hAnsi="Arial" w:cs="Arial"/>
          <w:color w:val="414141"/>
        </w:rPr>
      </w:pPr>
    </w:p>
    <w:p w14:paraId="0F8A6796" w14:textId="01141DB9" w:rsidR="00F46CA4" w:rsidRPr="001C41D4" w:rsidRDefault="00F46CA4" w:rsidP="004D3CD5">
      <w:pPr>
        <w:rPr>
          <w:lang w:val="nl-NL"/>
        </w:rPr>
      </w:pPr>
    </w:p>
    <w:p w14:paraId="6806FB85" w14:textId="77777777" w:rsidR="004D3CD5" w:rsidRDefault="004D3CD5" w:rsidP="00F46CA4"/>
    <w:sectPr w:rsidR="004D3CD5">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8703ACD"/>
    <w:multiLevelType w:val="multilevel"/>
    <w:tmpl w:val="F6BA00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4E695D99"/>
    <w:multiLevelType w:val="hybridMultilevel"/>
    <w:tmpl w:val="53C643BA"/>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59321CF2"/>
    <w:multiLevelType w:val="multilevel"/>
    <w:tmpl w:val="5BC874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781491783">
    <w:abstractNumId w:val="1"/>
  </w:num>
  <w:num w:numId="2" w16cid:durableId="925116798">
    <w:abstractNumId w:val="0"/>
  </w:num>
  <w:num w:numId="3" w16cid:durableId="36957363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46CA4"/>
    <w:rsid w:val="000B4F30"/>
    <w:rsid w:val="0016044E"/>
    <w:rsid w:val="001B2010"/>
    <w:rsid w:val="001C41D4"/>
    <w:rsid w:val="00236F8C"/>
    <w:rsid w:val="004D3CD5"/>
    <w:rsid w:val="005C0E99"/>
    <w:rsid w:val="005C529B"/>
    <w:rsid w:val="006372CD"/>
    <w:rsid w:val="006D67D0"/>
    <w:rsid w:val="00732EF8"/>
    <w:rsid w:val="007976D7"/>
    <w:rsid w:val="009425EB"/>
    <w:rsid w:val="0099430A"/>
    <w:rsid w:val="00A128C1"/>
    <w:rsid w:val="00A90EDF"/>
    <w:rsid w:val="00B33D48"/>
    <w:rsid w:val="00DA0C10"/>
    <w:rsid w:val="00E85D83"/>
    <w:rsid w:val="00E9085F"/>
    <w:rsid w:val="00F46CA4"/>
    <w:rsid w:val="00FB511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557183"/>
  <w15:chartTrackingRefBased/>
  <w15:docId w15:val="{D6B7F7B0-C2DD-4E6C-B01F-CD985E5C2F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F46CA4"/>
    <w:rPr>
      <w:kern w:val="0"/>
      <w:lang w:val="en-GB"/>
      <w14:ligatures w14:val="none"/>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7976D7"/>
    <w:pPr>
      <w:ind w:left="720"/>
      <w:contextualSpacing/>
    </w:pPr>
  </w:style>
  <w:style w:type="paragraph" w:styleId="NormaleWeb">
    <w:name w:val="Normal (Web)"/>
    <w:basedOn w:val="Normale"/>
    <w:uiPriority w:val="99"/>
    <w:unhideWhenUsed/>
    <w:rsid w:val="004D3CD5"/>
    <w:pPr>
      <w:spacing w:before="100" w:beforeAutospacing="1" w:after="100" w:afterAutospacing="1" w:line="240" w:lineRule="auto"/>
    </w:pPr>
    <w:rPr>
      <w:rFonts w:ascii="Times New Roman" w:eastAsia="Times New Roman" w:hAnsi="Times New Roman" w:cs="Times New Roman"/>
      <w:sz w:val="24"/>
      <w:szCs w:val="24"/>
      <w:lang w:val="it-IT" w:eastAsia="it-IT"/>
    </w:rPr>
  </w:style>
  <w:style w:type="character" w:styleId="Enfasigrassetto">
    <w:name w:val="Strong"/>
    <w:basedOn w:val="Carpredefinitoparagrafo"/>
    <w:uiPriority w:val="22"/>
    <w:qFormat/>
    <w:rsid w:val="004D3CD5"/>
    <w:rPr>
      <w:b/>
      <w:bCs/>
    </w:rPr>
  </w:style>
  <w:style w:type="character" w:styleId="Enfasicorsivo">
    <w:name w:val="Emphasis"/>
    <w:basedOn w:val="Carpredefinitoparagrafo"/>
    <w:uiPriority w:val="20"/>
    <w:qFormat/>
    <w:rsid w:val="004D3CD5"/>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51793">
      <w:bodyDiv w:val="1"/>
      <w:marLeft w:val="0"/>
      <w:marRight w:val="0"/>
      <w:marTop w:val="0"/>
      <w:marBottom w:val="0"/>
      <w:divBdr>
        <w:top w:val="none" w:sz="0" w:space="0" w:color="auto"/>
        <w:left w:val="none" w:sz="0" w:space="0" w:color="auto"/>
        <w:bottom w:val="none" w:sz="0" w:space="0" w:color="auto"/>
        <w:right w:val="none" w:sz="0" w:space="0" w:color="auto"/>
      </w:divBdr>
    </w:div>
    <w:div w:id="252397530">
      <w:bodyDiv w:val="1"/>
      <w:marLeft w:val="0"/>
      <w:marRight w:val="0"/>
      <w:marTop w:val="0"/>
      <w:marBottom w:val="0"/>
      <w:divBdr>
        <w:top w:val="none" w:sz="0" w:space="0" w:color="auto"/>
        <w:left w:val="none" w:sz="0" w:space="0" w:color="auto"/>
        <w:bottom w:val="none" w:sz="0" w:space="0" w:color="auto"/>
        <w:right w:val="none" w:sz="0" w:space="0" w:color="auto"/>
      </w:divBdr>
    </w:div>
    <w:div w:id="17528473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506</Words>
  <Characters>2887</Characters>
  <Application>Microsoft Office Word</Application>
  <DocSecurity>0</DocSecurity>
  <Lines>24</Lines>
  <Paragraphs>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3387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Chiono  Valeria</dc:creator>
  <cp:keywords/>
  <dc:description/>
  <cp:lastModifiedBy>Chiono  Valeria</cp:lastModifiedBy>
  <cp:revision>5</cp:revision>
  <dcterms:created xsi:type="dcterms:W3CDTF">2023-04-02T12:37:00Z</dcterms:created>
  <dcterms:modified xsi:type="dcterms:W3CDTF">2023-04-02T13:26:00Z</dcterms:modified>
</cp:coreProperties>
</file>