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69" w:rsidRDefault="007A7769" w:rsidP="007A7769">
      <w:pPr>
        <w:pStyle w:val="Titolo1"/>
        <w:spacing w:before="0" w:after="90" w:line="480" w:lineRule="atLeast"/>
        <w:jc w:val="center"/>
        <w:rPr>
          <w:rFonts w:ascii="Arial" w:hAnsi="Arial" w:cs="Arial"/>
          <w:b w:val="0"/>
          <w:bCs w:val="0"/>
          <w:color w:val="505050"/>
          <w:sz w:val="35"/>
          <w:szCs w:val="35"/>
        </w:rPr>
      </w:pPr>
      <w:proofErr w:type="spellStart"/>
      <w:r>
        <w:rPr>
          <w:rFonts w:ascii="Arial" w:hAnsi="Arial" w:cs="Arial"/>
          <w:b w:val="0"/>
          <w:bCs w:val="0"/>
          <w:color w:val="505050"/>
          <w:sz w:val="35"/>
          <w:szCs w:val="35"/>
        </w:rPr>
        <w:t>Italian</w:t>
      </w:r>
      <w:proofErr w:type="spellEnd"/>
      <w:r>
        <w:rPr>
          <w:rFonts w:ascii="Arial" w:hAnsi="Arial" w:cs="Arial"/>
          <w:b w:val="0"/>
          <w:bCs w:val="0"/>
          <w:color w:val="505050"/>
          <w:sz w:val="35"/>
          <w:szCs w:val="35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505050"/>
          <w:sz w:val="35"/>
          <w:szCs w:val="35"/>
        </w:rPr>
        <w:t>pediatric</w:t>
      </w:r>
      <w:proofErr w:type="spellEnd"/>
      <w:r>
        <w:rPr>
          <w:rFonts w:ascii="Arial" w:hAnsi="Arial" w:cs="Arial"/>
          <w:b w:val="0"/>
          <w:bCs w:val="0"/>
          <w:color w:val="505050"/>
          <w:sz w:val="35"/>
          <w:szCs w:val="35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505050"/>
          <w:sz w:val="35"/>
          <w:szCs w:val="35"/>
        </w:rPr>
        <w:t>nutrition</w:t>
      </w:r>
      <w:proofErr w:type="spellEnd"/>
      <w:r>
        <w:rPr>
          <w:rFonts w:ascii="Arial" w:hAnsi="Arial" w:cs="Arial"/>
          <w:b w:val="0"/>
          <w:bCs w:val="0"/>
          <w:color w:val="505050"/>
          <w:sz w:val="35"/>
          <w:szCs w:val="35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505050"/>
          <w:sz w:val="35"/>
          <w:szCs w:val="35"/>
        </w:rPr>
        <w:t>survey</w:t>
      </w:r>
      <w:proofErr w:type="spellEnd"/>
    </w:p>
    <w:p w:rsidR="007A7769" w:rsidRDefault="007A7769" w:rsidP="007A7769">
      <w:pPr>
        <w:spacing w:after="0" w:line="375" w:lineRule="atLeast"/>
        <w:rPr>
          <w:rFonts w:ascii="Arial" w:eastAsia="Times New Roman" w:hAnsi="Arial" w:cs="Arial"/>
          <w:color w:val="505050"/>
          <w:sz w:val="20"/>
          <w:szCs w:val="20"/>
          <w:lang w:eastAsia="it-IT"/>
        </w:rPr>
      </w:pPr>
    </w:p>
    <w:p w:rsidR="007A7769" w:rsidRDefault="007A7769" w:rsidP="007A7769">
      <w:pPr>
        <w:spacing w:after="0" w:line="375" w:lineRule="atLeast"/>
        <w:rPr>
          <w:rFonts w:ascii="Arial" w:eastAsia="Times New Roman" w:hAnsi="Arial" w:cs="Arial"/>
          <w:color w:val="505050"/>
          <w:sz w:val="20"/>
          <w:szCs w:val="20"/>
          <w:lang w:eastAsia="it-IT"/>
        </w:rPr>
      </w:pPr>
    </w:p>
    <w:p w:rsidR="007A7769" w:rsidRPr="007A7769" w:rsidRDefault="007A7769" w:rsidP="007A7769">
      <w:pPr>
        <w:spacing w:after="0" w:line="375" w:lineRule="atLeast"/>
        <w:rPr>
          <w:rFonts w:ascii="Arial" w:eastAsia="Times New Roman" w:hAnsi="Arial" w:cs="Arial"/>
          <w:color w:val="505050"/>
          <w:sz w:val="20"/>
          <w:szCs w:val="20"/>
          <w:lang w:val="en-US" w:eastAsia="it-IT"/>
        </w:rPr>
      </w:pPr>
      <w:hyperlink r:id="rId4" w:tgtFrame="_blank" w:tooltip="Persistent link using digital object identifier" w:history="1">
        <w:r w:rsidRPr="007A7769">
          <w:rPr>
            <w:rFonts w:ascii="Arial" w:eastAsia="Times New Roman" w:hAnsi="Arial" w:cs="Arial"/>
            <w:color w:val="007398"/>
            <w:sz w:val="20"/>
            <w:u w:val="single"/>
            <w:lang w:val="en-US" w:eastAsia="it-IT"/>
          </w:rPr>
          <w:t>https://doi.org/10.1016/j.clnesp.2017.05.002</w:t>
        </w:r>
      </w:hyperlink>
      <w:hyperlink r:id="rId5" w:tgtFrame="_blank" w:history="1">
        <w:r w:rsidRPr="007A7769">
          <w:rPr>
            <w:rFonts w:ascii="Arial" w:eastAsia="Times New Roman" w:hAnsi="Arial" w:cs="Arial"/>
            <w:color w:val="007398"/>
            <w:sz w:val="20"/>
            <w:u w:val="single"/>
            <w:lang w:val="en-US" w:eastAsia="it-IT"/>
          </w:rPr>
          <w:t>Get rights and content</w:t>
        </w:r>
      </w:hyperlink>
    </w:p>
    <w:p w:rsidR="007A7769" w:rsidRPr="007A7769" w:rsidRDefault="007A7769" w:rsidP="007A7769">
      <w:pPr>
        <w:spacing w:after="120" w:line="480" w:lineRule="atLeast"/>
        <w:outlineLvl w:val="1"/>
        <w:rPr>
          <w:rFonts w:ascii="Arial" w:eastAsia="Times New Roman" w:hAnsi="Arial" w:cs="Arial"/>
          <w:color w:val="505050"/>
          <w:sz w:val="27"/>
          <w:szCs w:val="27"/>
          <w:lang w:eastAsia="it-IT"/>
        </w:rPr>
      </w:pPr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>Summary</w:t>
      </w:r>
    </w:p>
    <w:p w:rsidR="007A7769" w:rsidRPr="007A7769" w:rsidRDefault="007A7769" w:rsidP="007A7769">
      <w:pPr>
        <w:spacing w:before="180" w:after="120" w:line="300" w:lineRule="atLeast"/>
        <w:outlineLvl w:val="2"/>
        <w:rPr>
          <w:rFonts w:ascii="Arial" w:eastAsia="Times New Roman" w:hAnsi="Arial" w:cs="Arial"/>
          <w:color w:val="505050"/>
          <w:sz w:val="24"/>
          <w:szCs w:val="24"/>
          <w:lang w:eastAsia="it-IT"/>
        </w:rPr>
      </w:pPr>
      <w:r w:rsidRPr="007A7769">
        <w:rPr>
          <w:rFonts w:ascii="Arial" w:eastAsia="Times New Roman" w:hAnsi="Arial" w:cs="Arial"/>
          <w:color w:val="505050"/>
          <w:sz w:val="24"/>
          <w:szCs w:val="24"/>
          <w:lang w:eastAsia="it-IT"/>
        </w:rPr>
        <w:t>Introduction</w:t>
      </w:r>
    </w:p>
    <w:p w:rsidR="007A7769" w:rsidRPr="007A7769" w:rsidRDefault="007A7769" w:rsidP="007A7769">
      <w:pPr>
        <w:spacing w:after="240" w:line="360" w:lineRule="atLeast"/>
        <w:rPr>
          <w:rFonts w:ascii="Arial" w:eastAsia="Times New Roman" w:hAnsi="Arial" w:cs="Arial"/>
          <w:color w:val="505050"/>
          <w:sz w:val="27"/>
          <w:szCs w:val="27"/>
          <w:lang w:eastAsia="it-IT"/>
        </w:rPr>
      </w:pPr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 xml:space="preserve">the prevalence of malnutrition in children and its impact on clinical outcomes is </w:t>
      </w:r>
      <w:proofErr w:type="spellStart"/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>underrecognized</w:t>
      </w:r>
      <w:proofErr w:type="spellEnd"/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 xml:space="preserve"> by clinicians in Italy as well as worldwide. A novel definition of pediatric malnutrition has been recently proposed by a working group of the Academy of Nutrition and Dietetics and American Society for </w:t>
      </w:r>
      <w:proofErr w:type="spellStart"/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>Parenteral</w:t>
      </w:r>
      <w:proofErr w:type="spellEnd"/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 xml:space="preserve"> and </w:t>
      </w:r>
      <w:proofErr w:type="spellStart"/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>Enteral</w:t>
      </w:r>
      <w:proofErr w:type="spellEnd"/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 xml:space="preserve"> Nutrition (A.S.P.E.N.), based on the correlation between illness and the use of </w:t>
      </w:r>
      <w:proofErr w:type="spellStart"/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>zscores</w:t>
      </w:r>
      <w:proofErr w:type="spellEnd"/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 xml:space="preserve"> of anthropometric measurements.</w:t>
      </w:r>
    </w:p>
    <w:p w:rsidR="007A7769" w:rsidRPr="007A7769" w:rsidRDefault="007A7769" w:rsidP="007A7769">
      <w:pPr>
        <w:spacing w:before="180" w:after="120" w:line="300" w:lineRule="atLeast"/>
        <w:outlineLvl w:val="2"/>
        <w:rPr>
          <w:rFonts w:ascii="Arial" w:eastAsia="Times New Roman" w:hAnsi="Arial" w:cs="Arial"/>
          <w:color w:val="505050"/>
          <w:sz w:val="24"/>
          <w:szCs w:val="24"/>
          <w:lang w:eastAsia="it-IT"/>
        </w:rPr>
      </w:pPr>
      <w:r w:rsidRPr="007A7769">
        <w:rPr>
          <w:rFonts w:ascii="Arial" w:eastAsia="Times New Roman" w:hAnsi="Arial" w:cs="Arial"/>
          <w:color w:val="505050"/>
          <w:sz w:val="24"/>
          <w:szCs w:val="24"/>
          <w:lang w:eastAsia="it-IT"/>
        </w:rPr>
        <w:t>Aim</w:t>
      </w:r>
    </w:p>
    <w:p w:rsidR="007A7769" w:rsidRPr="007A7769" w:rsidRDefault="007A7769" w:rsidP="007A7769">
      <w:pPr>
        <w:spacing w:after="240" w:line="360" w:lineRule="atLeast"/>
        <w:rPr>
          <w:rFonts w:ascii="Arial" w:eastAsia="Times New Roman" w:hAnsi="Arial" w:cs="Arial"/>
          <w:color w:val="505050"/>
          <w:sz w:val="27"/>
          <w:szCs w:val="27"/>
          <w:lang w:eastAsia="it-IT"/>
        </w:rPr>
      </w:pPr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>to investigate the prevalence of malnutrition and related nutritional support among hospitalized children in Italy, in a nationwide survey performed in a single day (16/4/2015).</w:t>
      </w:r>
    </w:p>
    <w:p w:rsidR="007A7769" w:rsidRPr="007A7769" w:rsidRDefault="007A7769" w:rsidP="007A7769">
      <w:pPr>
        <w:spacing w:before="180" w:after="120" w:line="300" w:lineRule="atLeast"/>
        <w:outlineLvl w:val="2"/>
        <w:rPr>
          <w:rFonts w:ascii="Arial" w:eastAsia="Times New Roman" w:hAnsi="Arial" w:cs="Arial"/>
          <w:color w:val="505050"/>
          <w:sz w:val="24"/>
          <w:szCs w:val="24"/>
          <w:lang w:eastAsia="it-IT"/>
        </w:rPr>
      </w:pPr>
      <w:r w:rsidRPr="007A7769">
        <w:rPr>
          <w:rFonts w:ascii="Arial" w:eastAsia="Times New Roman" w:hAnsi="Arial" w:cs="Arial"/>
          <w:color w:val="505050"/>
          <w:sz w:val="24"/>
          <w:szCs w:val="24"/>
          <w:lang w:eastAsia="it-IT"/>
        </w:rPr>
        <w:t>Methods</w:t>
      </w:r>
    </w:p>
    <w:p w:rsidR="007A7769" w:rsidRPr="007A7769" w:rsidRDefault="007A7769" w:rsidP="007A7769">
      <w:pPr>
        <w:spacing w:after="240" w:line="360" w:lineRule="atLeast"/>
        <w:rPr>
          <w:rFonts w:ascii="Arial" w:eastAsia="Times New Roman" w:hAnsi="Arial" w:cs="Arial"/>
          <w:color w:val="505050"/>
          <w:sz w:val="27"/>
          <w:szCs w:val="27"/>
          <w:lang w:eastAsia="it-IT"/>
        </w:rPr>
      </w:pPr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>an open access website (</w:t>
      </w:r>
      <w:hyperlink r:id="rId6" w:tgtFrame="_blank" w:history="1">
        <w:r w:rsidRPr="007A7769">
          <w:rPr>
            <w:rFonts w:ascii="Arial" w:eastAsia="Times New Roman" w:hAnsi="Arial" w:cs="Arial"/>
            <w:color w:val="007398"/>
            <w:sz w:val="27"/>
            <w:u w:val="single"/>
            <w:lang w:eastAsia="it-IT"/>
          </w:rPr>
          <w:t>http://nday.biomedia.net</w:t>
        </w:r>
      </w:hyperlink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 xml:space="preserve">) was used to collected data from 73 hospitals and 101 </w:t>
      </w:r>
      <w:proofErr w:type="spellStart"/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>wards</w:t>
      </w:r>
      <w:proofErr w:type="spellEnd"/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 xml:space="preserve"> in 14 Italian regions (1994 patients). Anonymous information was collected on hospitals' characteristics, patient's anthropometry, admission diagnosis, presence of chronic diseases and use of nutritional support: oral nutritional supplements (ONS), </w:t>
      </w:r>
      <w:proofErr w:type="spellStart"/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>enteral</w:t>
      </w:r>
      <w:proofErr w:type="spellEnd"/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 xml:space="preserve"> nutrition (EN) or </w:t>
      </w:r>
      <w:proofErr w:type="spellStart"/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>parenteral</w:t>
      </w:r>
      <w:proofErr w:type="spellEnd"/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 xml:space="preserve"> nutrition (PN). Z-scores of anthropometric measurements, calculated with </w:t>
      </w:r>
      <w:proofErr w:type="spellStart"/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>Epi</w:t>
      </w:r>
      <w:proofErr w:type="spellEnd"/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 xml:space="preserve"> Info 7.1.5, defined nutritional status: wasting was identified by BMI or Weight-for-Length z-score (&lt;−1 mild, &lt;−2 moderate, &lt;−3 severe), stunting by Height-for-Age Z-score &lt;−2. WHO 2006 and CDC 2000 growth charts were used respectively for children younger and older than 2 years old.</w:t>
      </w:r>
    </w:p>
    <w:p w:rsidR="007A7769" w:rsidRPr="007A7769" w:rsidRDefault="007A7769" w:rsidP="007A7769">
      <w:pPr>
        <w:spacing w:before="180" w:after="120" w:line="300" w:lineRule="atLeast"/>
        <w:outlineLvl w:val="2"/>
        <w:rPr>
          <w:rFonts w:ascii="Arial" w:eastAsia="Times New Roman" w:hAnsi="Arial" w:cs="Arial"/>
          <w:color w:val="505050"/>
          <w:sz w:val="24"/>
          <w:szCs w:val="24"/>
          <w:lang w:eastAsia="it-IT"/>
        </w:rPr>
      </w:pPr>
      <w:r w:rsidRPr="007A7769">
        <w:rPr>
          <w:rFonts w:ascii="Arial" w:eastAsia="Times New Roman" w:hAnsi="Arial" w:cs="Arial"/>
          <w:color w:val="505050"/>
          <w:sz w:val="24"/>
          <w:szCs w:val="24"/>
          <w:lang w:eastAsia="it-IT"/>
        </w:rPr>
        <w:t>Results</w:t>
      </w:r>
    </w:p>
    <w:p w:rsidR="007A7769" w:rsidRPr="007A7769" w:rsidRDefault="007A7769" w:rsidP="007A7769">
      <w:pPr>
        <w:spacing w:after="240" w:line="360" w:lineRule="atLeast"/>
        <w:rPr>
          <w:rFonts w:ascii="Arial" w:eastAsia="Times New Roman" w:hAnsi="Arial" w:cs="Arial"/>
          <w:color w:val="505050"/>
          <w:sz w:val="27"/>
          <w:szCs w:val="27"/>
          <w:lang w:eastAsia="it-IT"/>
        </w:rPr>
      </w:pPr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 xml:space="preserve">1790 complete records were obtained for hospitalized patients aged 0–20 years, with median age 6.16 (0.1–20 years and 53.3% males). 52.9% were aged 0–6 years and 58.8% of children suffered from chronic diseases. Wasting was detected in 28.7% of the total sample with higher occurrence observed in age ranges 0–6 and 14–20 years, while 17.3% of patients showed stunting; surprisingly almost 27% of them were aged 0–2. A ranking of the admission diagnosis with the highest rate of malnutrition was complied. The prevalence of </w:t>
      </w:r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lastRenderedPageBreak/>
        <w:t xml:space="preserve">wasting was significantly (p &lt; 0.005) higher amongst children with chronic diseases (34.1% vs. 27.1%); stunting prevalence tripled in patients with chronic disease (24.5% vs. 8.3%). Only 23.5% of malnourished children (17%, 25.6% and 36.7%, respectively mild, moderate and severe malnutrition) received nutritional support: 11.7% received oral nutrition supplements (ONS, modular or complete), 11.5% </w:t>
      </w:r>
      <w:proofErr w:type="spellStart"/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>enteral</w:t>
      </w:r>
      <w:proofErr w:type="spellEnd"/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 xml:space="preserve"> nutrition (EN, 6.4% via </w:t>
      </w:r>
      <w:proofErr w:type="spellStart"/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>nasogastric</w:t>
      </w:r>
      <w:proofErr w:type="spellEnd"/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 xml:space="preserve"> tube, 5.1% via </w:t>
      </w:r>
      <w:proofErr w:type="spellStart"/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>gastrostomy</w:t>
      </w:r>
      <w:proofErr w:type="spellEnd"/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 xml:space="preserve">) and 6.8 % received </w:t>
      </w:r>
      <w:proofErr w:type="spellStart"/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>parenteral</w:t>
      </w:r>
      <w:proofErr w:type="spellEnd"/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 xml:space="preserve"> nutrition (PN); in some patients a combination of two. Nutritional support is more commonly used among stunting patients, 39.5% of children under treatment.</w:t>
      </w:r>
    </w:p>
    <w:p w:rsidR="007A7769" w:rsidRPr="007A7769" w:rsidRDefault="007A7769" w:rsidP="007A7769">
      <w:pPr>
        <w:spacing w:before="180" w:after="120" w:line="300" w:lineRule="atLeast"/>
        <w:outlineLvl w:val="2"/>
        <w:rPr>
          <w:rFonts w:ascii="Arial" w:eastAsia="Times New Roman" w:hAnsi="Arial" w:cs="Arial"/>
          <w:color w:val="505050"/>
          <w:sz w:val="24"/>
          <w:szCs w:val="24"/>
          <w:lang w:eastAsia="it-IT"/>
        </w:rPr>
      </w:pPr>
      <w:r w:rsidRPr="007A7769">
        <w:rPr>
          <w:rFonts w:ascii="Arial" w:eastAsia="Times New Roman" w:hAnsi="Arial" w:cs="Arial"/>
          <w:color w:val="505050"/>
          <w:sz w:val="24"/>
          <w:szCs w:val="24"/>
          <w:lang w:eastAsia="it-IT"/>
        </w:rPr>
        <w:t>Conclusion</w:t>
      </w:r>
    </w:p>
    <w:p w:rsidR="007A7769" w:rsidRPr="007A7769" w:rsidRDefault="007A7769" w:rsidP="007A7769">
      <w:pPr>
        <w:spacing w:after="240" w:line="360" w:lineRule="atLeast"/>
        <w:rPr>
          <w:rFonts w:ascii="Arial" w:eastAsia="Times New Roman" w:hAnsi="Arial" w:cs="Arial"/>
          <w:color w:val="505050"/>
          <w:sz w:val="27"/>
          <w:szCs w:val="27"/>
          <w:lang w:eastAsia="it-IT"/>
        </w:rPr>
      </w:pPr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 xml:space="preserve">Malnutrition of any grade was observed in nearly 1/3 and stunting in 17% of the reported hospitalized children, and it is likely to be </w:t>
      </w:r>
      <w:proofErr w:type="spellStart"/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>underrecognized</w:t>
      </w:r>
      <w:proofErr w:type="spellEnd"/>
      <w:r w:rsidRPr="007A7769">
        <w:rPr>
          <w:rFonts w:ascii="Arial" w:eastAsia="Times New Roman" w:hAnsi="Arial" w:cs="Arial"/>
          <w:color w:val="505050"/>
          <w:sz w:val="27"/>
          <w:szCs w:val="27"/>
          <w:lang w:eastAsia="it-IT"/>
        </w:rPr>
        <w:t xml:space="preserve"> as the nutritional support reached only a small part of the malnourished children.</w:t>
      </w:r>
    </w:p>
    <w:p w:rsidR="007A7769" w:rsidRPr="007A7769" w:rsidRDefault="007A7769" w:rsidP="007A7769">
      <w:pPr>
        <w:spacing w:before="240" w:after="60" w:line="420" w:lineRule="atLeast"/>
        <w:outlineLvl w:val="1"/>
        <w:rPr>
          <w:rFonts w:ascii="Arial" w:eastAsia="Times New Roman" w:hAnsi="Arial" w:cs="Arial"/>
          <w:color w:val="505050"/>
          <w:sz w:val="27"/>
          <w:szCs w:val="27"/>
          <w:lang w:val="en-US" w:eastAsia="it-IT"/>
        </w:rPr>
      </w:pPr>
      <w:r w:rsidRPr="007A7769">
        <w:rPr>
          <w:rFonts w:ascii="Arial" w:eastAsia="Times New Roman" w:hAnsi="Arial" w:cs="Arial"/>
          <w:color w:val="505050"/>
          <w:sz w:val="27"/>
          <w:szCs w:val="27"/>
          <w:lang w:val="en-US" w:eastAsia="it-IT"/>
        </w:rPr>
        <w:t>Keywords</w:t>
      </w:r>
    </w:p>
    <w:p w:rsidR="007A7769" w:rsidRPr="007A7769" w:rsidRDefault="007A7769" w:rsidP="007A7769">
      <w:pPr>
        <w:spacing w:after="0" w:line="360" w:lineRule="atLeast"/>
        <w:rPr>
          <w:rFonts w:ascii="Arial" w:eastAsia="Times New Roman" w:hAnsi="Arial" w:cs="Arial"/>
          <w:color w:val="505050"/>
          <w:sz w:val="24"/>
          <w:szCs w:val="24"/>
          <w:lang w:val="en-US" w:eastAsia="it-IT"/>
        </w:rPr>
      </w:pPr>
      <w:r w:rsidRPr="007A7769">
        <w:rPr>
          <w:rFonts w:ascii="Arial" w:eastAsia="Times New Roman" w:hAnsi="Arial" w:cs="Arial"/>
          <w:color w:val="505050"/>
          <w:sz w:val="24"/>
          <w:szCs w:val="24"/>
          <w:lang w:val="en-US" w:eastAsia="it-IT"/>
        </w:rPr>
        <w:t>Malnutrition</w:t>
      </w:r>
    </w:p>
    <w:p w:rsidR="007A7769" w:rsidRPr="007A7769" w:rsidRDefault="007A7769" w:rsidP="007A7769">
      <w:pPr>
        <w:spacing w:after="0" w:line="360" w:lineRule="atLeast"/>
        <w:rPr>
          <w:rFonts w:ascii="Arial" w:eastAsia="Times New Roman" w:hAnsi="Arial" w:cs="Arial"/>
          <w:color w:val="505050"/>
          <w:sz w:val="24"/>
          <w:szCs w:val="24"/>
          <w:lang w:val="en-US" w:eastAsia="it-IT"/>
        </w:rPr>
      </w:pPr>
      <w:r w:rsidRPr="007A7769">
        <w:rPr>
          <w:rFonts w:ascii="Arial" w:eastAsia="Times New Roman" w:hAnsi="Arial" w:cs="Arial"/>
          <w:color w:val="505050"/>
          <w:sz w:val="24"/>
          <w:szCs w:val="24"/>
          <w:lang w:val="en-US" w:eastAsia="it-IT"/>
        </w:rPr>
        <w:t>Pediatrics</w:t>
      </w:r>
    </w:p>
    <w:p w:rsidR="007A7769" w:rsidRPr="007A7769" w:rsidRDefault="007A7769" w:rsidP="007A7769">
      <w:pPr>
        <w:spacing w:after="0" w:line="360" w:lineRule="atLeast"/>
        <w:rPr>
          <w:rFonts w:ascii="Arial" w:eastAsia="Times New Roman" w:hAnsi="Arial" w:cs="Arial"/>
          <w:color w:val="505050"/>
          <w:sz w:val="24"/>
          <w:szCs w:val="24"/>
          <w:lang w:val="en-US" w:eastAsia="it-IT"/>
        </w:rPr>
      </w:pPr>
      <w:r w:rsidRPr="007A7769">
        <w:rPr>
          <w:rFonts w:ascii="Arial" w:eastAsia="Times New Roman" w:hAnsi="Arial" w:cs="Arial"/>
          <w:color w:val="505050"/>
          <w:sz w:val="24"/>
          <w:szCs w:val="24"/>
          <w:lang w:val="en-US" w:eastAsia="it-IT"/>
        </w:rPr>
        <w:t>Nutritional support</w:t>
      </w:r>
    </w:p>
    <w:p w:rsidR="007A7769" w:rsidRPr="007A7769" w:rsidRDefault="007A7769" w:rsidP="007A7769">
      <w:pPr>
        <w:spacing w:after="0" w:line="360" w:lineRule="atLeast"/>
        <w:rPr>
          <w:rFonts w:ascii="Arial" w:eastAsia="Times New Roman" w:hAnsi="Arial" w:cs="Arial"/>
          <w:color w:val="505050"/>
          <w:sz w:val="24"/>
          <w:szCs w:val="24"/>
          <w:lang w:val="en-US" w:eastAsia="it-IT"/>
        </w:rPr>
      </w:pPr>
      <w:r w:rsidRPr="007A7769">
        <w:rPr>
          <w:rFonts w:ascii="Arial" w:eastAsia="Times New Roman" w:hAnsi="Arial" w:cs="Arial"/>
          <w:color w:val="505050"/>
          <w:sz w:val="24"/>
          <w:szCs w:val="24"/>
          <w:lang w:val="en-US" w:eastAsia="it-IT"/>
        </w:rPr>
        <w:t>Wasting</w:t>
      </w:r>
    </w:p>
    <w:p w:rsidR="007A7769" w:rsidRPr="007A7769" w:rsidRDefault="007A7769" w:rsidP="007A7769">
      <w:pPr>
        <w:spacing w:line="360" w:lineRule="atLeast"/>
        <w:rPr>
          <w:rFonts w:ascii="Arial" w:eastAsia="Times New Roman" w:hAnsi="Arial" w:cs="Arial"/>
          <w:color w:val="505050"/>
          <w:sz w:val="24"/>
          <w:szCs w:val="24"/>
          <w:lang w:eastAsia="it-IT"/>
        </w:rPr>
      </w:pPr>
      <w:proofErr w:type="spellStart"/>
      <w:r w:rsidRPr="007A7769">
        <w:rPr>
          <w:rFonts w:ascii="Arial" w:eastAsia="Times New Roman" w:hAnsi="Arial" w:cs="Arial"/>
          <w:color w:val="505050"/>
          <w:sz w:val="24"/>
          <w:szCs w:val="24"/>
          <w:lang w:eastAsia="it-IT"/>
        </w:rPr>
        <w:t>Stunting</w:t>
      </w:r>
      <w:proofErr w:type="spellEnd"/>
    </w:p>
    <w:p w:rsidR="002E5228" w:rsidRPr="007A7769" w:rsidRDefault="002E5228">
      <w:pPr>
        <w:rPr>
          <w:lang w:val="en-US"/>
        </w:rPr>
      </w:pPr>
    </w:p>
    <w:sectPr w:rsidR="002E5228" w:rsidRPr="007A7769" w:rsidSect="002E52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A7769"/>
    <w:rsid w:val="002E5228"/>
    <w:rsid w:val="007A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228"/>
  </w:style>
  <w:style w:type="paragraph" w:styleId="Titolo1">
    <w:name w:val="heading 1"/>
    <w:basedOn w:val="Normale"/>
    <w:next w:val="Normale"/>
    <w:link w:val="Titolo1Carattere"/>
    <w:uiPriority w:val="9"/>
    <w:qFormat/>
    <w:rsid w:val="007A7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7A7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A77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A776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A776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A776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A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7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4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8556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12" w:space="24" w:color="EBEBEB"/>
            <w:right w:val="none" w:sz="0" w:space="0" w:color="auto"/>
          </w:divBdr>
          <w:divsChild>
            <w:div w:id="5870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106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6357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62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2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518007">
                              <w:marLeft w:val="33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73809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day.biomedia.net/" TargetMode="External"/><Relationship Id="rId5" Type="http://schemas.openxmlformats.org/officeDocument/2006/relationships/hyperlink" Target="https://s100.copyright.com/AppDispatchServlet?publisherName=ELS&amp;contentID=S2405457717302139&amp;orderBeanReset=true" TargetMode="External"/><Relationship Id="rId4" Type="http://schemas.openxmlformats.org/officeDocument/2006/relationships/hyperlink" Target="https://doi.org/10.1016/j.clnesp.2017.05.00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2845</Characters>
  <Application>Microsoft Office Word</Application>
  <DocSecurity>0</DocSecurity>
  <Lines>23</Lines>
  <Paragraphs>6</Paragraphs>
  <ScaleCrop>false</ScaleCrop>
  <Company> 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riccardo.guana</dc:creator>
  <cp:keywords/>
  <dc:description/>
  <cp:lastModifiedBy>riccardo.guana</cp:lastModifiedBy>
  <cp:revision>1</cp:revision>
  <dcterms:created xsi:type="dcterms:W3CDTF">2017-08-29T12:49:00Z</dcterms:created>
  <dcterms:modified xsi:type="dcterms:W3CDTF">2017-08-29T12:51:00Z</dcterms:modified>
</cp:coreProperties>
</file>