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0FF996" w14:textId="77777777" w:rsidR="00A046BC" w:rsidRPr="008B2319" w:rsidRDefault="00264A4E" w:rsidP="00A046BC">
      <w:pPr>
        <w:spacing w:after="0"/>
        <w:jc w:val="center"/>
        <w:rPr>
          <w:rFonts w:cs="Times New Roman"/>
          <w:b/>
          <w:sz w:val="40"/>
          <w:szCs w:val="40"/>
        </w:rPr>
      </w:pPr>
      <w:r w:rsidRPr="008B2319">
        <w:rPr>
          <w:rFonts w:cs="Times New Roman"/>
          <w:b/>
          <w:sz w:val="40"/>
          <w:szCs w:val="40"/>
        </w:rPr>
        <w:t>Dynamic model with</w:t>
      </w:r>
      <w:r w:rsidR="00A046BC" w:rsidRPr="008B2319">
        <w:rPr>
          <w:rFonts w:cs="Times New Roman"/>
          <w:b/>
          <w:sz w:val="40"/>
          <w:szCs w:val="40"/>
        </w:rPr>
        <w:t xml:space="preserve"> experimental validation of </w:t>
      </w:r>
      <w:r w:rsidR="00DB058E" w:rsidRPr="008B2319">
        <w:rPr>
          <w:rFonts w:cs="Times New Roman"/>
          <w:b/>
          <w:sz w:val="40"/>
          <w:szCs w:val="40"/>
        </w:rPr>
        <w:t xml:space="preserve">a </w:t>
      </w:r>
      <w:r w:rsidR="00A046BC" w:rsidRPr="008B2319">
        <w:rPr>
          <w:rFonts w:cs="Times New Roman"/>
          <w:b/>
          <w:sz w:val="40"/>
          <w:szCs w:val="40"/>
        </w:rPr>
        <w:t xml:space="preserve">biogas-fed SOFC plant </w:t>
      </w:r>
    </w:p>
    <w:p w14:paraId="68E6E1C1" w14:textId="77777777" w:rsidR="00A046BC" w:rsidRPr="008B2319" w:rsidRDefault="00A046BC" w:rsidP="00A046BC">
      <w:pPr>
        <w:spacing w:after="0"/>
        <w:jc w:val="center"/>
        <w:rPr>
          <w:rFonts w:cs="Times New Roman"/>
          <w:szCs w:val="28"/>
          <w:lang w:val="it-IT"/>
        </w:rPr>
      </w:pPr>
      <w:r w:rsidRPr="008B2319">
        <w:rPr>
          <w:rFonts w:cs="Times New Roman"/>
          <w:szCs w:val="28"/>
          <w:lang w:val="it-IT"/>
        </w:rPr>
        <w:t>D’Andrea</w:t>
      </w:r>
      <w:r w:rsidRPr="008B2319">
        <w:rPr>
          <w:rFonts w:cs="Times New Roman"/>
          <w:szCs w:val="28"/>
          <w:vertAlign w:val="superscript"/>
          <w:lang w:val="it-IT"/>
        </w:rPr>
        <w:t>a</w:t>
      </w:r>
      <w:r w:rsidRPr="008B2319">
        <w:rPr>
          <w:rFonts w:cs="Times New Roman"/>
          <w:szCs w:val="28"/>
          <w:lang w:val="it-IT"/>
        </w:rPr>
        <w:t xml:space="preserve"> G., </w:t>
      </w:r>
      <w:r w:rsidRPr="008B2319">
        <w:rPr>
          <w:rFonts w:cs="Times New Roman"/>
          <w:noProof/>
          <w:szCs w:val="28"/>
          <w:lang w:val="it-IT"/>
        </w:rPr>
        <w:t>Gandiglio</w:t>
      </w:r>
      <w:r w:rsidRPr="008B2319">
        <w:rPr>
          <w:rFonts w:cs="Times New Roman"/>
          <w:noProof/>
          <w:szCs w:val="28"/>
          <w:vertAlign w:val="superscript"/>
          <w:lang w:val="it-IT"/>
        </w:rPr>
        <w:t>a</w:t>
      </w:r>
      <w:r w:rsidRPr="008B2319">
        <w:rPr>
          <w:rFonts w:cs="Times New Roman"/>
          <w:szCs w:val="28"/>
          <w:lang w:val="it-IT"/>
        </w:rPr>
        <w:t xml:space="preserve"> M., </w:t>
      </w:r>
      <w:r w:rsidRPr="008B2319">
        <w:rPr>
          <w:rFonts w:cs="Times New Roman"/>
          <w:noProof/>
          <w:szCs w:val="28"/>
          <w:lang w:val="it-IT"/>
        </w:rPr>
        <w:t>Lanzini</w:t>
      </w:r>
      <w:r w:rsidRPr="008B2319">
        <w:rPr>
          <w:rFonts w:cs="Times New Roman"/>
          <w:noProof/>
          <w:szCs w:val="28"/>
          <w:vertAlign w:val="superscript"/>
          <w:lang w:val="it-IT"/>
        </w:rPr>
        <w:t>a</w:t>
      </w:r>
      <w:r w:rsidRPr="008B2319">
        <w:rPr>
          <w:rFonts w:cs="Times New Roman"/>
          <w:szCs w:val="28"/>
          <w:lang w:val="it-IT"/>
        </w:rPr>
        <w:t xml:space="preserve"> A., </w:t>
      </w:r>
      <w:r w:rsidRPr="008B2319">
        <w:rPr>
          <w:rFonts w:cs="Times New Roman"/>
          <w:noProof/>
          <w:szCs w:val="28"/>
          <w:lang w:val="it-IT"/>
        </w:rPr>
        <w:t>Santarelli</w:t>
      </w:r>
      <w:r w:rsidRPr="008B2319">
        <w:rPr>
          <w:rFonts w:cs="Times New Roman"/>
          <w:noProof/>
          <w:szCs w:val="28"/>
          <w:vertAlign w:val="superscript"/>
          <w:lang w:val="it-IT"/>
        </w:rPr>
        <w:t>a</w:t>
      </w:r>
      <w:r w:rsidRPr="008B2319">
        <w:rPr>
          <w:rFonts w:cs="Times New Roman"/>
          <w:szCs w:val="28"/>
          <w:vertAlign w:val="superscript"/>
          <w:lang w:val="it-IT"/>
        </w:rPr>
        <w:t>,b</w:t>
      </w:r>
      <w:r w:rsidRPr="008B2319">
        <w:rPr>
          <w:rFonts w:cs="Times New Roman"/>
          <w:szCs w:val="28"/>
          <w:lang w:val="it-IT"/>
        </w:rPr>
        <w:t xml:space="preserve"> M.</w:t>
      </w:r>
    </w:p>
    <w:p w14:paraId="7C6FA976" w14:textId="77777777" w:rsidR="00A046BC" w:rsidRPr="008B2319" w:rsidRDefault="00A046BC" w:rsidP="00A046BC">
      <w:pPr>
        <w:spacing w:after="0"/>
        <w:jc w:val="center"/>
        <w:rPr>
          <w:rFonts w:cs="Times New Roman"/>
          <w:szCs w:val="28"/>
          <w:lang w:val="it-IT"/>
        </w:rPr>
      </w:pPr>
      <w:r w:rsidRPr="008B2319">
        <w:rPr>
          <w:rFonts w:cs="Times New Roman"/>
          <w:szCs w:val="28"/>
          <w:vertAlign w:val="superscript"/>
          <w:lang w:val="it-IT"/>
        </w:rPr>
        <w:t xml:space="preserve">a </w:t>
      </w:r>
      <w:r w:rsidRPr="008B2319">
        <w:rPr>
          <w:rFonts w:cs="Times New Roman"/>
          <w:szCs w:val="28"/>
          <w:lang w:val="it-IT"/>
        </w:rPr>
        <w:t>Energy Department, Politecnico di Torino, Torino (Italy)</w:t>
      </w:r>
    </w:p>
    <w:p w14:paraId="62C519D6" w14:textId="77777777" w:rsidR="00A94B52" w:rsidRPr="008B2319" w:rsidRDefault="00A046BC" w:rsidP="00A94B52">
      <w:pPr>
        <w:spacing w:after="0"/>
        <w:jc w:val="center"/>
        <w:rPr>
          <w:rFonts w:cs="Times New Roman"/>
          <w:szCs w:val="28"/>
          <w:lang w:val="en-US"/>
        </w:rPr>
      </w:pPr>
      <w:r w:rsidRPr="008B2319">
        <w:rPr>
          <w:rFonts w:cs="Times New Roman"/>
          <w:szCs w:val="28"/>
          <w:vertAlign w:val="superscript"/>
          <w:lang w:val="en-US"/>
        </w:rPr>
        <w:t xml:space="preserve">b </w:t>
      </w:r>
      <w:r w:rsidR="002A4395" w:rsidRPr="008B2319">
        <w:rPr>
          <w:rFonts w:cs="Times New Roman"/>
          <w:szCs w:val="28"/>
          <w:lang w:val="en-US"/>
        </w:rPr>
        <w:t xml:space="preserve">Energiteknik, </w:t>
      </w:r>
      <w:r w:rsidR="00A94B52" w:rsidRPr="008B2319">
        <w:rPr>
          <w:rFonts w:cs="Times New Roman"/>
          <w:szCs w:val="28"/>
          <w:lang w:val="en-US"/>
        </w:rPr>
        <w:t>Royal Institute of Technology KTH (Sweden)</w:t>
      </w:r>
    </w:p>
    <w:p w14:paraId="3E7D1E41" w14:textId="77777777" w:rsidR="00A94B52" w:rsidRPr="008B2319" w:rsidRDefault="00A94B52" w:rsidP="00A94B52">
      <w:pPr>
        <w:spacing w:after="0"/>
        <w:jc w:val="center"/>
        <w:rPr>
          <w:rFonts w:cs="Times New Roman"/>
          <w:szCs w:val="28"/>
          <w:lang w:val="en-US"/>
        </w:rPr>
      </w:pPr>
    </w:p>
    <w:p w14:paraId="60FE7296" w14:textId="77777777" w:rsidR="00A046BC" w:rsidRPr="008B2319" w:rsidRDefault="00C77EFE" w:rsidP="00615429">
      <w:pPr>
        <w:pStyle w:val="Heading1"/>
        <w:numPr>
          <w:ilvl w:val="0"/>
          <w:numId w:val="0"/>
        </w:numPr>
        <w:ind w:left="432" w:hanging="432"/>
        <w:rPr>
          <w:sz w:val="28"/>
          <w:szCs w:val="28"/>
        </w:rPr>
      </w:pPr>
      <w:r w:rsidRPr="008B2319">
        <w:rPr>
          <w:sz w:val="28"/>
          <w:szCs w:val="28"/>
        </w:rPr>
        <w:t>A</w:t>
      </w:r>
      <w:r w:rsidR="00A046BC" w:rsidRPr="008B2319">
        <w:rPr>
          <w:sz w:val="28"/>
          <w:szCs w:val="28"/>
        </w:rPr>
        <w:t>bstract</w:t>
      </w:r>
    </w:p>
    <w:p w14:paraId="1C7ECF91" w14:textId="77777777" w:rsidR="0076099D" w:rsidRPr="008B2319" w:rsidRDefault="0076099D" w:rsidP="0076099D">
      <w:r w:rsidRPr="008B2319">
        <w:t>The</w:t>
      </w:r>
      <w:r w:rsidR="00264A4E" w:rsidRPr="008B2319">
        <w:t xml:space="preserve"> dynamic</w:t>
      </w:r>
      <w:r w:rsidR="00A046BC" w:rsidRPr="008B2319">
        <w:t xml:space="preserve"> </w:t>
      </w:r>
      <w:r w:rsidR="003C3397" w:rsidRPr="008B2319">
        <w:t xml:space="preserve">model of </w:t>
      </w:r>
      <w:r w:rsidRPr="008B2319">
        <w:t xml:space="preserve">a </w:t>
      </w:r>
      <w:r w:rsidR="00A046BC" w:rsidRPr="008B2319">
        <w:t xml:space="preserve">poly-generation system based on a biogas-fed </w:t>
      </w:r>
      <w:r w:rsidRPr="008B2319">
        <w:t>solid oxide fuel cell (</w:t>
      </w:r>
      <w:r w:rsidR="00A046BC" w:rsidRPr="008B2319">
        <w:t>SOFC</w:t>
      </w:r>
      <w:r w:rsidRPr="008B2319">
        <w:t>)</w:t>
      </w:r>
      <w:r w:rsidR="00A046BC" w:rsidRPr="008B2319">
        <w:t xml:space="preserve"> plant is presented in this paper. </w:t>
      </w:r>
      <w:r w:rsidR="00264A4E" w:rsidRPr="008B2319">
        <w:t>The poly-generation plant</w:t>
      </w:r>
      <w:r w:rsidRPr="008B2319">
        <w:t xml:space="preserve"> </w:t>
      </w:r>
      <w:r w:rsidR="00652D09" w:rsidRPr="008B2319">
        <w:t xml:space="preserve">was developed in the framework of the FP7 EU-funded project </w:t>
      </w:r>
      <w:r w:rsidRPr="008B2319">
        <w:t xml:space="preserve">SOFCOM </w:t>
      </w:r>
      <w:r w:rsidR="00652D09" w:rsidRPr="008B2319">
        <w:t>(www.sofcom.eu)</w:t>
      </w:r>
      <w:r w:rsidRPr="008B2319">
        <w:t>, which consists of</w:t>
      </w:r>
      <w:r w:rsidR="00A046BC" w:rsidRPr="008B2319">
        <w:t xml:space="preserve"> a</w:t>
      </w:r>
      <w:r w:rsidRPr="008B2319">
        <w:t xml:space="preserve"> fuel-cell based</w:t>
      </w:r>
      <w:r w:rsidR="00A046BC" w:rsidRPr="008B2319">
        <w:t xml:space="preserve"> </w:t>
      </w:r>
      <w:r w:rsidRPr="008B2319">
        <w:rPr>
          <w:noProof/>
        </w:rPr>
        <w:t>polygeneration</w:t>
      </w:r>
      <w:r w:rsidRPr="008B2319">
        <w:t xml:space="preserve"> plant</w:t>
      </w:r>
      <w:r w:rsidR="00A046BC" w:rsidRPr="008B2319">
        <w:t xml:space="preserve"> </w:t>
      </w:r>
      <w:r w:rsidR="00264A4E" w:rsidRPr="008B2319">
        <w:t>with CO</w:t>
      </w:r>
      <w:r w:rsidR="00264A4E" w:rsidRPr="008B2319">
        <w:rPr>
          <w:vertAlign w:val="subscript"/>
        </w:rPr>
        <w:t>2</w:t>
      </w:r>
      <w:r w:rsidR="00264A4E" w:rsidRPr="008B2319">
        <w:t xml:space="preserve"> capture and re-use</w:t>
      </w:r>
      <w:r w:rsidR="00A046BC" w:rsidRPr="008B2319">
        <w:t xml:space="preserve">. </w:t>
      </w:r>
      <w:r w:rsidRPr="008B2319">
        <w:t>CO</w:t>
      </w:r>
      <w:r w:rsidRPr="008B2319">
        <w:rPr>
          <w:vertAlign w:val="subscript"/>
        </w:rPr>
        <w:t>2</w:t>
      </w:r>
      <w:r w:rsidRPr="008B2319">
        <w:t xml:space="preserve"> is recovered from the anode exhaust of the SOFC (after oxy-combustion, cooling and water condensation) and</w:t>
      </w:r>
      <w:r w:rsidR="00652D09" w:rsidRPr="008B2319">
        <w:t xml:space="preserve"> the Carbon</w:t>
      </w:r>
      <w:r w:rsidRPr="008B2319">
        <w:t xml:space="preserve"> is fixed in the form of micro-algae in a tubular </w:t>
      </w:r>
      <w:r w:rsidRPr="008B2319">
        <w:rPr>
          <w:noProof/>
        </w:rPr>
        <w:t>photobioreactor</w:t>
      </w:r>
      <w:r w:rsidRPr="008B2319">
        <w:t>.</w:t>
      </w:r>
    </w:p>
    <w:p w14:paraId="47EDB6CE" w14:textId="77777777" w:rsidR="00652D09" w:rsidRPr="008B2319" w:rsidRDefault="0076099D" w:rsidP="00C77EFE">
      <w:r w:rsidRPr="008B2319">
        <w:t>This work focuses on the dynamic operation of t</w:t>
      </w:r>
      <w:r w:rsidR="00A046BC" w:rsidRPr="008B2319">
        <w:t>he SOFC module</w:t>
      </w:r>
      <w:r w:rsidRPr="008B2319">
        <w:t xml:space="preserve"> running on steam-reformed biogas. B</w:t>
      </w:r>
      <w:r w:rsidR="00A046BC" w:rsidRPr="008B2319">
        <w:t xml:space="preserve">oth </w:t>
      </w:r>
      <w:r w:rsidRPr="008B2319">
        <w:t>steady state</w:t>
      </w:r>
      <w:r w:rsidR="00A046BC" w:rsidRPr="008B2319">
        <w:t xml:space="preserve"> and dynamic </w:t>
      </w:r>
      <w:r w:rsidRPr="008B2319">
        <w:t xml:space="preserve">operation of the fuel cell stack and </w:t>
      </w:r>
      <w:r w:rsidR="00652D09" w:rsidRPr="008B2319">
        <w:t xml:space="preserve">the </w:t>
      </w:r>
      <w:r w:rsidRPr="008B2319">
        <w:t xml:space="preserve">related Balance-of-Plant (BoP) has been </w:t>
      </w:r>
      <w:r w:rsidRPr="008B2319">
        <w:rPr>
          <w:noProof/>
        </w:rPr>
        <w:t>modeled</w:t>
      </w:r>
      <w:r w:rsidR="00A046BC" w:rsidRPr="008B2319">
        <w:t xml:space="preserve"> in order to simulate the thermal </w:t>
      </w:r>
      <w:r w:rsidR="00A046BC" w:rsidRPr="008B2319">
        <w:rPr>
          <w:noProof/>
        </w:rPr>
        <w:t>behavior</w:t>
      </w:r>
      <w:r w:rsidR="00A046BC" w:rsidRPr="008B2319">
        <w:t xml:space="preserve"> and performance of the system. </w:t>
      </w:r>
    </w:p>
    <w:p w14:paraId="058AE178" w14:textId="0EAF2810" w:rsidR="00FB32A7" w:rsidRPr="008B2319" w:rsidRDefault="00A046BC" w:rsidP="00B11987">
      <w:r w:rsidRPr="008B2319">
        <w:t xml:space="preserve">The model was validated </w:t>
      </w:r>
      <w:r w:rsidR="00264A4E" w:rsidRPr="008B2319">
        <w:t>against</w:t>
      </w:r>
      <w:r w:rsidRPr="008B2319">
        <w:t xml:space="preserve"> experimental data </w:t>
      </w:r>
      <w:r w:rsidR="0076099D" w:rsidRPr="008B2319">
        <w:t>gathered</w:t>
      </w:r>
      <w:r w:rsidRPr="008B2319">
        <w:t xml:space="preserve"> during the operation of the SOFCOM proof-of-concept</w:t>
      </w:r>
      <w:r w:rsidR="0076099D" w:rsidRPr="008B2319">
        <w:t xml:space="preserve"> showing good agreement with the experimental data.</w:t>
      </w:r>
      <w:r w:rsidR="00FB32A7" w:rsidRPr="008B2319">
        <w:t xml:space="preserve"> </w:t>
      </w:r>
      <w:r w:rsidRPr="008B2319">
        <w:t xml:space="preserve">The validated model has been used </w:t>
      </w:r>
      <w:r w:rsidR="00264A4E" w:rsidRPr="008B2319">
        <w:rPr>
          <w:noProof/>
        </w:rPr>
        <w:t xml:space="preserve">to </w:t>
      </w:r>
      <w:r w:rsidR="00832878" w:rsidRPr="008B2319">
        <w:rPr>
          <w:noProof/>
        </w:rPr>
        <w:t>investigate further</w:t>
      </w:r>
      <w:r w:rsidR="0076099D" w:rsidRPr="008B2319">
        <w:t xml:space="preserve"> on the harsh</w:t>
      </w:r>
      <w:r w:rsidR="00264A4E" w:rsidRPr="008B2319">
        <w:t xml:space="preserve"> off-design operation of </w:t>
      </w:r>
      <w:r w:rsidRPr="008B2319">
        <w:t xml:space="preserve">the proof-of-concept. </w:t>
      </w:r>
    </w:p>
    <w:p w14:paraId="3BF869E6" w14:textId="1335EE9D" w:rsidR="00B11987" w:rsidRPr="008B2319" w:rsidRDefault="00264A4E" w:rsidP="00B11987">
      <w:r w:rsidRPr="008B2319">
        <w:t>Simulation results</w:t>
      </w:r>
      <w:r w:rsidR="00B11987" w:rsidRPr="008B2319">
        <w:t xml:space="preserve"> </w:t>
      </w:r>
      <w:r w:rsidRPr="008B2319">
        <w:t>provide guidelines</w:t>
      </w:r>
      <w:r w:rsidR="00B11987" w:rsidRPr="008B2319">
        <w:t xml:space="preserve"> for </w:t>
      </w:r>
      <w:r w:rsidRPr="008B2319">
        <w:t xml:space="preserve">an improved design of the control system of the plant, highlighting </w:t>
      </w:r>
      <w:r w:rsidR="005168D2" w:rsidRPr="008B2319">
        <w:t>the feasible operating region under safe</w:t>
      </w:r>
      <w:r w:rsidR="00B11987" w:rsidRPr="008B2319">
        <w:t xml:space="preserve"> conditions and </w:t>
      </w:r>
      <w:r w:rsidRPr="008B2319">
        <w:t>means to maximize</w:t>
      </w:r>
      <w:r w:rsidR="005168D2" w:rsidRPr="008B2319">
        <w:t xml:space="preserve"> the overall</w:t>
      </w:r>
      <w:r w:rsidRPr="008B2319">
        <w:t xml:space="preserve"> </w:t>
      </w:r>
      <w:r w:rsidR="0076099D" w:rsidRPr="008B2319">
        <w:t xml:space="preserve">system </w:t>
      </w:r>
      <w:r w:rsidRPr="008B2319">
        <w:t>efficiency.</w:t>
      </w:r>
    </w:p>
    <w:p w14:paraId="440363F6" w14:textId="77777777" w:rsidR="000B19DF" w:rsidRPr="008B2319" w:rsidRDefault="000B19DF" w:rsidP="003151E5"/>
    <w:p w14:paraId="511EB22D" w14:textId="77777777" w:rsidR="000B19DF" w:rsidRPr="008B2319" w:rsidRDefault="000B19DF" w:rsidP="003151E5">
      <w:pPr>
        <w:sectPr w:rsidR="000B19DF" w:rsidRPr="008B2319" w:rsidSect="005538F0">
          <w:footerReference w:type="default" r:id="rId8"/>
          <w:pgSz w:w="11906" w:h="16838"/>
          <w:pgMar w:top="1417" w:right="1134" w:bottom="1134" w:left="1134" w:header="708" w:footer="708" w:gutter="0"/>
          <w:lnNumType w:countBy="1" w:restart="continuous"/>
          <w:cols w:space="708"/>
          <w:docGrid w:linePitch="360"/>
        </w:sectPr>
      </w:pPr>
    </w:p>
    <w:p w14:paraId="21A65213" w14:textId="77777777" w:rsidR="00657BF1" w:rsidRPr="008B2319" w:rsidRDefault="00657BF1" w:rsidP="00657BF1">
      <w:pPr>
        <w:pStyle w:val="Heading1"/>
        <w:numPr>
          <w:ilvl w:val="0"/>
          <w:numId w:val="0"/>
        </w:numPr>
        <w:rPr>
          <w:sz w:val="28"/>
          <w:szCs w:val="28"/>
        </w:rPr>
      </w:pPr>
      <w:r w:rsidRPr="008B2319">
        <w:rPr>
          <w:sz w:val="28"/>
          <w:szCs w:val="28"/>
        </w:rPr>
        <w:lastRenderedPageBreak/>
        <w:t>Nomenclature</w:t>
      </w:r>
    </w:p>
    <w:p w14:paraId="04A761B2" w14:textId="77777777" w:rsidR="00FE4D49" w:rsidRPr="008B2319" w:rsidRDefault="00FE4D49" w:rsidP="00FE4D49">
      <w:pPr>
        <w:rPr>
          <w:b/>
        </w:rPr>
      </w:pPr>
      <w:r w:rsidRPr="008B2319">
        <w:rPr>
          <w:b/>
        </w:rPr>
        <w:t>Acronyms</w:t>
      </w:r>
    </w:p>
    <w:p w14:paraId="245BA562" w14:textId="77777777" w:rsidR="00657BF1" w:rsidRPr="008B2319" w:rsidRDefault="001B3270">
      <w:r w:rsidRPr="008B2319">
        <w:t>ASR</w:t>
      </w:r>
      <w:r w:rsidRPr="008B2319">
        <w:tab/>
      </w:r>
      <w:r w:rsidRPr="008B2319">
        <w:tab/>
        <w:t>Area Specific Resistance</w:t>
      </w:r>
    </w:p>
    <w:p w14:paraId="6AE47186" w14:textId="77777777" w:rsidR="001B3270" w:rsidRPr="008B2319" w:rsidRDefault="001B3270">
      <w:r w:rsidRPr="008B2319">
        <w:t>CHP</w:t>
      </w:r>
      <w:r w:rsidRPr="008B2319">
        <w:tab/>
      </w:r>
      <w:r w:rsidRPr="008B2319">
        <w:tab/>
        <w:t>Combined Heat and Power</w:t>
      </w:r>
    </w:p>
    <w:p w14:paraId="58E4021C" w14:textId="77777777" w:rsidR="001B3270" w:rsidRPr="008B2319" w:rsidRDefault="001B3270">
      <w:r w:rsidRPr="008B2319">
        <w:t>DIR</w:t>
      </w:r>
      <w:r w:rsidRPr="008B2319">
        <w:tab/>
      </w:r>
      <w:r w:rsidRPr="008B2319">
        <w:tab/>
        <w:t>Direct Internal Reforming</w:t>
      </w:r>
    </w:p>
    <w:p w14:paraId="3E31E3AF" w14:textId="77777777" w:rsidR="001B3270" w:rsidRPr="008B2319" w:rsidRDefault="001B3270">
      <w:r w:rsidRPr="008B2319">
        <w:t>FU</w:t>
      </w:r>
      <w:r w:rsidRPr="008B2319">
        <w:tab/>
      </w:r>
      <w:r w:rsidRPr="008B2319">
        <w:tab/>
        <w:t>Fuel Utilization</w:t>
      </w:r>
    </w:p>
    <w:p w14:paraId="1AF87F8D" w14:textId="77777777" w:rsidR="001B3270" w:rsidRPr="008B2319" w:rsidRDefault="001B3270">
      <w:r w:rsidRPr="008B2319">
        <w:t>INSUL</w:t>
      </w:r>
      <w:r w:rsidRPr="008B2319">
        <w:tab/>
      </w:r>
      <w:r w:rsidRPr="008B2319">
        <w:tab/>
        <w:t>Insulation</w:t>
      </w:r>
    </w:p>
    <w:p w14:paraId="4A4208EE" w14:textId="77777777" w:rsidR="001B3270" w:rsidRPr="008B2319" w:rsidRDefault="001B3270">
      <w:r w:rsidRPr="008B2319">
        <w:t>INTER</w:t>
      </w:r>
      <w:r w:rsidRPr="008B2319">
        <w:tab/>
      </w:r>
      <w:r w:rsidRPr="008B2319">
        <w:tab/>
        <w:t>Interconnector</w:t>
      </w:r>
    </w:p>
    <w:p w14:paraId="625D81F4" w14:textId="1FE021B1" w:rsidR="001B3270" w:rsidRPr="008B2319" w:rsidRDefault="001B3270">
      <w:r w:rsidRPr="008B2319">
        <w:t>LPM</w:t>
      </w:r>
      <w:r w:rsidRPr="008B2319">
        <w:tab/>
      </w:r>
      <w:r w:rsidRPr="008B2319">
        <w:tab/>
        <w:t>Lum</w:t>
      </w:r>
      <w:r w:rsidR="008A464B" w:rsidRPr="008B2319">
        <w:t>p</w:t>
      </w:r>
      <w:r w:rsidRPr="008B2319">
        <w:t>ed Model</w:t>
      </w:r>
    </w:p>
    <w:p w14:paraId="384F5245" w14:textId="77777777" w:rsidR="001B3270" w:rsidRPr="008B2319" w:rsidRDefault="001B3270">
      <w:r w:rsidRPr="008B2319">
        <w:t>NG</w:t>
      </w:r>
      <w:r w:rsidRPr="008B2319">
        <w:tab/>
      </w:r>
      <w:r w:rsidRPr="008B2319">
        <w:tab/>
        <w:t>Natural Gas</w:t>
      </w:r>
    </w:p>
    <w:p w14:paraId="5613F8BB" w14:textId="77777777" w:rsidR="001B3270" w:rsidRPr="008B2319" w:rsidRDefault="001B3270">
      <w:r w:rsidRPr="008B2319">
        <w:t>PBR</w:t>
      </w:r>
      <w:r w:rsidRPr="008B2319">
        <w:tab/>
      </w:r>
      <w:r w:rsidRPr="008B2319">
        <w:tab/>
        <w:t>PhotoBioReactor</w:t>
      </w:r>
    </w:p>
    <w:p w14:paraId="573A0BB4" w14:textId="77777777" w:rsidR="001B3270" w:rsidRPr="008B2319" w:rsidRDefault="001B3270">
      <w:r w:rsidRPr="008B2319">
        <w:t>PID</w:t>
      </w:r>
      <w:r w:rsidR="00FE4D49" w:rsidRPr="008B2319">
        <w:tab/>
        <w:t xml:space="preserve">            </w:t>
      </w:r>
      <w:r w:rsidRPr="008B2319">
        <w:t>Proportio</w:t>
      </w:r>
      <w:r w:rsidR="00FE4D49" w:rsidRPr="008B2319">
        <w:t xml:space="preserve">nal </w:t>
      </w:r>
      <w:r w:rsidRPr="008B2319">
        <w:t>Integrative Derivative</w:t>
      </w:r>
    </w:p>
    <w:p w14:paraId="68DFD633" w14:textId="43D73F12" w:rsidR="001B3270" w:rsidRPr="008B2319" w:rsidRDefault="00321209">
      <w:r w:rsidRPr="008B2319">
        <w:t>MEA</w:t>
      </w:r>
      <w:r w:rsidR="001B3270" w:rsidRPr="008B2319">
        <w:tab/>
      </w:r>
      <w:r w:rsidR="001B3270" w:rsidRPr="008B2319">
        <w:tab/>
      </w:r>
      <w:r w:rsidR="00D04A3E" w:rsidRPr="008B2319">
        <w:t xml:space="preserve">Membrane Electrode Assemblies </w:t>
      </w:r>
      <w:r w:rsidR="001B3270" w:rsidRPr="008B2319">
        <w:t>SIM</w:t>
      </w:r>
      <w:r w:rsidR="00FE4D49" w:rsidRPr="008B2319">
        <w:tab/>
      </w:r>
      <w:r w:rsidR="00FE4D49" w:rsidRPr="008B2319">
        <w:tab/>
        <w:t>S</w:t>
      </w:r>
      <w:r w:rsidR="008A464B" w:rsidRPr="008B2319">
        <w:t>im</w:t>
      </w:r>
      <w:r w:rsidR="00FE4D49" w:rsidRPr="008B2319">
        <w:t>ulation</w:t>
      </w:r>
    </w:p>
    <w:p w14:paraId="6E294C40" w14:textId="77777777" w:rsidR="001B3270" w:rsidRPr="008B2319" w:rsidRDefault="001B3270">
      <w:r w:rsidRPr="008B2319">
        <w:t>SMR</w:t>
      </w:r>
      <w:r w:rsidR="00FE4D49" w:rsidRPr="008B2319">
        <w:tab/>
      </w:r>
      <w:r w:rsidR="00FE4D49" w:rsidRPr="008B2319">
        <w:tab/>
        <w:t>Steam Methane Reforming</w:t>
      </w:r>
    </w:p>
    <w:p w14:paraId="415F1867" w14:textId="77777777" w:rsidR="001B3270" w:rsidRPr="008B2319" w:rsidRDefault="001B3270">
      <w:r w:rsidRPr="008B2319">
        <w:t>S/C</w:t>
      </w:r>
      <w:r w:rsidR="00FE4D49" w:rsidRPr="008B2319">
        <w:tab/>
      </w:r>
      <w:r w:rsidR="00FE4D49" w:rsidRPr="008B2319">
        <w:tab/>
        <w:t>Steam to Carbon</w:t>
      </w:r>
    </w:p>
    <w:p w14:paraId="783809A5" w14:textId="77777777" w:rsidR="001B3270" w:rsidRPr="008B2319" w:rsidRDefault="001B3270">
      <w:r w:rsidRPr="008B2319">
        <w:t>SOFC</w:t>
      </w:r>
      <w:r w:rsidR="00FE4D49" w:rsidRPr="008B2319">
        <w:tab/>
      </w:r>
      <w:r w:rsidR="00FE4D49" w:rsidRPr="008B2319">
        <w:tab/>
        <w:t>Solid Oxide Fuel Cell</w:t>
      </w:r>
    </w:p>
    <w:p w14:paraId="18D7042B" w14:textId="77777777" w:rsidR="00657BF1" w:rsidRPr="008B2319" w:rsidRDefault="001B3270">
      <w:r w:rsidRPr="008B2319">
        <w:t>WGS</w:t>
      </w:r>
      <w:r w:rsidR="00FE4D49" w:rsidRPr="008B2319">
        <w:tab/>
      </w:r>
      <w:r w:rsidR="00FE4D49" w:rsidRPr="008B2319">
        <w:tab/>
        <w:t>Water Gas Shift</w:t>
      </w:r>
    </w:p>
    <w:p w14:paraId="0BC7979A" w14:textId="77777777" w:rsidR="001B3270" w:rsidRPr="008B2319" w:rsidRDefault="001B3270">
      <w:r w:rsidRPr="008B2319">
        <w:t>WWTP</w:t>
      </w:r>
      <w:r w:rsidR="00FE4D49" w:rsidRPr="008B2319">
        <w:tab/>
      </w:r>
      <w:r w:rsidR="00FE4D49" w:rsidRPr="008B2319">
        <w:tab/>
        <w:t>Waste Water Treatment Plant</w:t>
      </w:r>
    </w:p>
    <w:p w14:paraId="030FA858" w14:textId="77777777" w:rsidR="00FE4D49" w:rsidRPr="008B2319" w:rsidRDefault="00FE4D49"/>
    <w:p w14:paraId="0AB9F0B1" w14:textId="77777777" w:rsidR="00FE4D49" w:rsidRPr="008B2319" w:rsidRDefault="00FE4D49">
      <w:pPr>
        <w:rPr>
          <w:b/>
        </w:rPr>
      </w:pPr>
      <w:r w:rsidRPr="008B2319">
        <w:rPr>
          <w:b/>
        </w:rPr>
        <w:t>Symbols</w:t>
      </w:r>
    </w:p>
    <w:p w14:paraId="1A537D0A" w14:textId="77777777" w:rsidR="00FE4D49" w:rsidRPr="008B2319" w:rsidRDefault="00825D4F">
      <w:pPr>
        <w:rPr>
          <w:rFonts w:cs="Times New Roman"/>
        </w:rPr>
      </w:pP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00FE4D49" w:rsidRPr="008B2319">
        <w:rPr>
          <w:rFonts w:ascii="Candara" w:hAnsi="Candara"/>
          <w:b/>
        </w:rPr>
        <w:tab/>
      </w:r>
      <w:r w:rsidR="00FE4D49" w:rsidRPr="008B2319">
        <w:rPr>
          <w:rFonts w:ascii="Candara" w:hAnsi="Candara"/>
          <w:b/>
        </w:rPr>
        <w:tab/>
      </w:r>
      <w:r w:rsidR="00FE4D49" w:rsidRPr="008B2319">
        <w:rPr>
          <w:rFonts w:cs="Times New Roman"/>
        </w:rPr>
        <w:t>Specific heat capacity [</w:t>
      </w:r>
      <w:r w:rsidR="00C51B25" w:rsidRPr="008B2319">
        <w:rPr>
          <w:rFonts w:cs="Times New Roman"/>
        </w:rPr>
        <w:t>k</w:t>
      </w:r>
      <w:r w:rsidR="00FE4D49" w:rsidRPr="008B2319">
        <w:rPr>
          <w:rFonts w:cs="Times New Roman"/>
        </w:rPr>
        <w:t>J/kg K]</w:t>
      </w:r>
    </w:p>
    <w:p w14:paraId="0FF09EBA" w14:textId="77777777" w:rsidR="00FE4D49" w:rsidRPr="008B2319" w:rsidRDefault="00FE4D49">
      <w:pPr>
        <w:rPr>
          <w:rFonts w:eastAsiaTheme="minorEastAsia" w:cs="Times New Roman"/>
        </w:rPr>
      </w:pPr>
      <w:r w:rsidRPr="008B2319">
        <w:rPr>
          <w:rFonts w:eastAsiaTheme="minorEastAsia" w:cs="Times New Roman"/>
          <w:i/>
        </w:rPr>
        <w:t>Vol (or V)</w:t>
      </w:r>
      <w:r w:rsidRPr="008B2319">
        <w:rPr>
          <w:rFonts w:eastAsiaTheme="minorEastAsia" w:cs="Times New Roman"/>
          <w:i/>
        </w:rPr>
        <w:tab/>
      </w:r>
      <w:r w:rsidRPr="008B2319">
        <w:rPr>
          <w:rFonts w:eastAsiaTheme="minorEastAsia" w:cs="Times New Roman"/>
        </w:rPr>
        <w:t>Volume [m</w:t>
      </w:r>
      <w:r w:rsidRPr="008B2319">
        <w:rPr>
          <w:rFonts w:eastAsiaTheme="minorEastAsia" w:cs="Times New Roman"/>
          <w:vertAlign w:val="superscript"/>
        </w:rPr>
        <w:t>3</w:t>
      </w:r>
      <w:r w:rsidRPr="008B2319">
        <w:rPr>
          <w:rFonts w:eastAsiaTheme="minorEastAsia" w:cs="Times New Roman"/>
        </w:rPr>
        <w:t>]</w:t>
      </w:r>
    </w:p>
    <w:p w14:paraId="1D05EF58" w14:textId="77777777" w:rsidR="00FE4D49" w:rsidRPr="008B2319" w:rsidRDefault="00825D4F">
      <w:pPr>
        <w:rPr>
          <w:rFonts w:eastAsiaTheme="minorEastAsia" w:cs="Times New Roman"/>
          <w:i/>
        </w:rPr>
      </w:pPr>
      <m:oMath>
        <m:sSub>
          <m:sSubPr>
            <m:ctrlPr>
              <w:rPr>
                <w:rFonts w:ascii="Cambria Math" w:hAnsi="Cambria Math" w:cs="Times New Roman"/>
                <w:i/>
              </w:rPr>
            </m:ctrlPr>
          </m:sSubPr>
          <m:e>
            <m:r>
              <w:rPr>
                <w:rFonts w:ascii="Cambria Math" w:hAnsi="Cambria Math" w:cs="Times New Roman"/>
              </w:rPr>
              <m:t>G</m:t>
            </m:r>
          </m:e>
          <m:sub>
            <m:r>
              <w:rPr>
                <w:rFonts w:ascii="Cambria Math" w:hAnsi="Cambria Math" w:cs="Times New Roman"/>
              </w:rPr>
              <m:t>i</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 xml:space="preserve">Mass flow rate of </w:t>
      </w:r>
      <w:r w:rsidR="00C51B25" w:rsidRPr="008B2319">
        <w:rPr>
          <w:rFonts w:eastAsiaTheme="minorEastAsia" w:cs="Times New Roman"/>
          <w:i/>
        </w:rPr>
        <w:t>i</w:t>
      </w:r>
      <w:r w:rsidR="00C51B25" w:rsidRPr="008B2319">
        <w:rPr>
          <w:rFonts w:eastAsiaTheme="minorEastAsia" w:cs="Times New Roman"/>
        </w:rPr>
        <w:t>-stream</w:t>
      </w:r>
      <w:r w:rsidR="00091518" w:rsidRPr="008B2319">
        <w:rPr>
          <w:rFonts w:eastAsiaTheme="minorEastAsia" w:cs="Times New Roman"/>
        </w:rPr>
        <w:t xml:space="preserve"> </w:t>
      </w:r>
      <w:r w:rsidR="00C51B25" w:rsidRPr="008B2319">
        <w:rPr>
          <w:rFonts w:eastAsiaTheme="minorEastAsia" w:cs="Times New Roman"/>
        </w:rPr>
        <w:t>[kg/s]</w:t>
      </w:r>
    </w:p>
    <w:p w14:paraId="07BBD3C8" w14:textId="77777777" w:rsidR="00FE4D49" w:rsidRPr="008B2319" w:rsidRDefault="00825D4F">
      <w:pPr>
        <w:rPr>
          <w:rFonts w:eastAsiaTheme="minorEastAsia"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i</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 xml:space="preserve">Enthalpy of </w:t>
      </w:r>
      <w:r w:rsidR="00C51B25" w:rsidRPr="008B2319">
        <w:rPr>
          <w:rFonts w:eastAsiaTheme="minorEastAsia" w:cs="Times New Roman"/>
          <w:i/>
        </w:rPr>
        <w:t>i</w:t>
      </w:r>
      <w:r w:rsidR="00C51B25" w:rsidRPr="008B2319">
        <w:rPr>
          <w:rFonts w:eastAsiaTheme="minorEastAsia" w:cs="Times New Roman"/>
        </w:rPr>
        <w:t>-stream [kJ/kg]</w:t>
      </w:r>
    </w:p>
    <w:p w14:paraId="4BB86274" w14:textId="77777777" w:rsidR="00FE4D49" w:rsidRPr="008B2319" w:rsidRDefault="00825D4F">
      <w:pPr>
        <w:rPr>
          <w:rFonts w:eastAsiaTheme="minorEastAsia" w:cs="Times New Roman"/>
        </w:rPr>
      </w:pPr>
      <m:oMath>
        <m:acc>
          <m:accPr>
            <m:chr m:val="̇"/>
            <m:ctrlPr>
              <w:rPr>
                <w:rFonts w:ascii="Cambria Math" w:hAnsi="Cambria Math" w:cs="Times New Roman"/>
                <w:i/>
              </w:rPr>
            </m:ctrlPr>
          </m:accPr>
          <m:e>
            <m:r>
              <w:rPr>
                <w:rFonts w:ascii="Cambria Math" w:hAnsi="Cambria Math" w:cs="Times New Roman"/>
              </w:rPr>
              <m:t>Q</m:t>
            </m:r>
          </m:e>
        </m:acc>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Thermal power [kW]</w:t>
      </w:r>
    </w:p>
    <w:p w14:paraId="7BA5E693" w14:textId="77777777" w:rsidR="00FE4D49" w:rsidRPr="008B2319" w:rsidRDefault="00825D4F">
      <w:pPr>
        <w:rPr>
          <w:rFonts w:eastAsiaTheme="minorEastAsia" w:cs="Times New Roman"/>
        </w:rPr>
      </w:pPr>
      <m:oMath>
        <m:acc>
          <m:accPr>
            <m:chr m:val="̇"/>
            <m:ctrlPr>
              <w:rPr>
                <w:rFonts w:ascii="Cambria Math" w:eastAsiaTheme="minorEastAsia" w:hAnsi="Cambria Math" w:cs="Times New Roman"/>
                <w:i/>
              </w:rPr>
            </m:ctrlPr>
          </m:accPr>
          <m:e>
            <m:r>
              <w:rPr>
                <w:rFonts w:ascii="Cambria Math" w:eastAsiaTheme="minorEastAsia" w:hAnsi="Cambria Math" w:cs="Times New Roman"/>
              </w:rPr>
              <m:t>P</m:t>
            </m:r>
          </m:e>
        </m:acc>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Electrical power [kW]</w:t>
      </w:r>
    </w:p>
    <w:p w14:paraId="268B8340" w14:textId="77777777" w:rsidR="00FE4D49" w:rsidRPr="008B2319" w:rsidRDefault="00FE4D49">
      <w:pPr>
        <w:rPr>
          <w:rFonts w:eastAsiaTheme="minorEastAsia" w:cs="Times New Roman"/>
        </w:rPr>
      </w:pPr>
      <w:r w:rsidRPr="008B2319">
        <w:rPr>
          <w:rFonts w:eastAsiaTheme="minorEastAsia" w:cs="Times New Roman"/>
          <w:i/>
        </w:rPr>
        <w:t>T</w:t>
      </w:r>
      <w:r w:rsidRPr="008B2319">
        <w:rPr>
          <w:rFonts w:eastAsiaTheme="minorEastAsia" w:cs="Times New Roman"/>
          <w:i/>
        </w:rPr>
        <w:tab/>
      </w:r>
      <w:r w:rsidRPr="008B2319">
        <w:rPr>
          <w:rFonts w:eastAsiaTheme="minorEastAsia" w:cs="Times New Roman"/>
          <w:i/>
        </w:rPr>
        <w:tab/>
      </w:r>
      <w:r w:rsidR="00C51B25" w:rsidRPr="008B2319">
        <w:rPr>
          <w:rFonts w:eastAsiaTheme="minorEastAsia" w:cs="Times New Roman"/>
        </w:rPr>
        <w:t>Temperature [°C]</w:t>
      </w:r>
    </w:p>
    <w:p w14:paraId="5136ECD0" w14:textId="77777777" w:rsidR="00FE4D49" w:rsidRPr="008B2319" w:rsidRDefault="00FE4D49">
      <w:pPr>
        <w:rPr>
          <w:rFonts w:eastAsiaTheme="minorEastAsia" w:cs="Times New Roman"/>
        </w:rPr>
      </w:pPr>
      <w:r w:rsidRPr="008B2319">
        <w:rPr>
          <w:rFonts w:eastAsiaTheme="minorEastAsia" w:cs="Times New Roman"/>
          <w:i/>
        </w:rPr>
        <w:t>t</w:t>
      </w:r>
      <w:r w:rsidRPr="008B2319">
        <w:rPr>
          <w:rFonts w:eastAsiaTheme="minorEastAsia" w:cs="Times New Roman"/>
          <w:i/>
        </w:rPr>
        <w:tab/>
      </w:r>
      <w:r w:rsidRPr="008B2319">
        <w:rPr>
          <w:rFonts w:eastAsiaTheme="minorEastAsia" w:cs="Times New Roman"/>
          <w:i/>
        </w:rPr>
        <w:tab/>
      </w:r>
      <w:r w:rsidR="00C51B25" w:rsidRPr="008B2319">
        <w:rPr>
          <w:rFonts w:eastAsiaTheme="minorEastAsia" w:cs="Times New Roman"/>
        </w:rPr>
        <w:t>Time [</w:t>
      </w:r>
      <w:r w:rsidR="006968DA" w:rsidRPr="008B2319">
        <w:rPr>
          <w:rFonts w:eastAsiaTheme="minorEastAsia" w:cs="Times New Roman"/>
        </w:rPr>
        <w:t>s</w:t>
      </w:r>
      <w:r w:rsidR="00C51B25" w:rsidRPr="008B2319">
        <w:rPr>
          <w:rFonts w:eastAsiaTheme="minorEastAsia" w:cs="Times New Roman"/>
        </w:rPr>
        <w:t>]</w:t>
      </w:r>
    </w:p>
    <w:p w14:paraId="4327DB1A" w14:textId="77777777" w:rsidR="00FE4D49" w:rsidRPr="008B2319" w:rsidRDefault="00825D4F">
      <w:pPr>
        <w:rPr>
          <w:rFonts w:eastAsiaTheme="minorEastAsia"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y</m:t>
            </m:r>
          </m:e>
          <m:sub>
            <m:r>
              <w:rPr>
                <w:rFonts w:ascii="Cambria Math" w:eastAsiaTheme="minorEastAsia" w:hAnsi="Cambria Math" w:cs="Times New Roman"/>
              </w:rPr>
              <m:t>i</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 xml:space="preserve">Mole fraction of </w:t>
      </w:r>
      <w:r w:rsidR="00C51B25" w:rsidRPr="008B2319">
        <w:rPr>
          <w:rFonts w:eastAsiaTheme="minorEastAsia" w:cs="Times New Roman"/>
          <w:i/>
        </w:rPr>
        <w:t>i</w:t>
      </w:r>
      <w:r w:rsidR="00C51B25" w:rsidRPr="008B2319">
        <w:rPr>
          <w:rFonts w:eastAsiaTheme="minorEastAsia" w:cs="Times New Roman"/>
        </w:rPr>
        <w:t>-stream [-]</w:t>
      </w:r>
    </w:p>
    <w:p w14:paraId="6B0D51BB" w14:textId="77777777" w:rsidR="00FE4D49" w:rsidRPr="008B2319" w:rsidRDefault="00FE4D49" w:rsidP="00C51B25">
      <w:pPr>
        <w:rPr>
          <w:rFonts w:eastAsiaTheme="minorEastAsia" w:cs="Times New Roman"/>
        </w:rPr>
      </w:pPr>
      <w:r w:rsidRPr="008B2319">
        <w:rPr>
          <w:rFonts w:eastAsiaTheme="minorEastAsia" w:cs="Times New Roman"/>
          <w:i/>
        </w:rPr>
        <w:t>f</w:t>
      </w:r>
      <w:r w:rsidRPr="008B2319">
        <w:rPr>
          <w:rFonts w:eastAsiaTheme="minorEastAsia" w:cs="Times New Roman"/>
          <w:i/>
        </w:rPr>
        <w:tab/>
      </w:r>
      <w:r w:rsidRPr="008B2319">
        <w:rPr>
          <w:rFonts w:eastAsiaTheme="minorEastAsia" w:cs="Times New Roman"/>
        </w:rPr>
        <w:tab/>
      </w:r>
      <w:r w:rsidR="006968DA" w:rsidRPr="008B2319">
        <w:rPr>
          <w:rFonts w:eastAsiaTheme="minorEastAsia" w:cs="Times New Roman"/>
        </w:rPr>
        <w:t xml:space="preserve">Constant percentage value </w:t>
      </w:r>
      <w:r w:rsidR="00C51B25" w:rsidRPr="008B2319">
        <w:rPr>
          <w:rFonts w:eastAsiaTheme="minorEastAsia" w:cs="Times New Roman"/>
        </w:rPr>
        <w:t>[</w:t>
      </w:r>
      <w:r w:rsidR="006968DA" w:rsidRPr="008B2319">
        <w:rPr>
          <w:rFonts w:eastAsiaTheme="minorEastAsia" w:cs="Times New Roman"/>
        </w:rPr>
        <w:t>-</w:t>
      </w:r>
      <w:r w:rsidR="00C51B25" w:rsidRPr="008B2319">
        <w:rPr>
          <w:rFonts w:eastAsiaTheme="minorEastAsia" w:cs="Times New Roman"/>
        </w:rPr>
        <w:t>]</w:t>
      </w:r>
    </w:p>
    <w:p w14:paraId="7905523D" w14:textId="77777777" w:rsidR="00FE4D49" w:rsidRPr="008B2319" w:rsidRDefault="00825D4F">
      <w:pPr>
        <w:rPr>
          <w:rFonts w:eastAsiaTheme="minorEastAsia" w:cs="Times New Roman"/>
          <w:vanish/>
          <w:specVanish/>
        </w:rPr>
      </w:pPr>
      <m:oMath>
        <m:sSub>
          <m:sSubPr>
            <m:ctrlPr>
              <w:rPr>
                <w:rFonts w:ascii="Cambria Math" w:eastAsiaTheme="minorEastAsia" w:hAnsi="Cambria Math" w:cs="Times New Roman"/>
                <w:i/>
              </w:rPr>
            </m:ctrlPr>
          </m:sSubPr>
          <m:e>
            <m:r>
              <w:rPr>
                <w:rFonts w:ascii="Cambria Math" w:eastAsiaTheme="minorEastAsia" w:hAnsi="Cambria Math" w:cs="Times New Roman"/>
              </w:rPr>
              <m:t>V</m:t>
            </m:r>
          </m:e>
          <m:sub>
            <m:r>
              <w:rPr>
                <w:rFonts w:ascii="Cambria Math" w:eastAsiaTheme="minorEastAsia" w:hAnsi="Cambria Math" w:cs="Times New Roman"/>
              </w:rPr>
              <m:t>OCV</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Open Circuit Voltage [V]</w:t>
      </w:r>
    </w:p>
    <w:p w14:paraId="5C30F029" w14:textId="77777777" w:rsidR="00C51B25" w:rsidRPr="008B2319" w:rsidRDefault="00C51B25">
      <w:pPr>
        <w:rPr>
          <w:rFonts w:eastAsiaTheme="minorEastAsia" w:cs="Times New Roman"/>
        </w:rPr>
      </w:pPr>
    </w:p>
    <w:p w14:paraId="5C7A346D" w14:textId="77777777" w:rsidR="00FE4D49" w:rsidRPr="008B2319" w:rsidRDefault="00825D4F">
      <w:pPr>
        <w:rPr>
          <w:rFonts w:eastAsiaTheme="minorEastAsia"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P</m:t>
            </m:r>
          </m:e>
          <m:sub>
            <m:r>
              <w:rPr>
                <w:rFonts w:ascii="Cambria Math" w:eastAsiaTheme="minorEastAsia" w:hAnsi="Cambria Math" w:cs="Times New Roman"/>
              </w:rPr>
              <m:t>el</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Electrical Power [kW]</w:t>
      </w:r>
    </w:p>
    <w:p w14:paraId="573A2A24" w14:textId="77777777" w:rsidR="00FE4D49" w:rsidRPr="008B2319" w:rsidRDefault="00FE4D49" w:rsidP="00FE4D49">
      <w:pPr>
        <w:rPr>
          <w:rFonts w:eastAsiaTheme="minorEastAsia" w:cs="Times New Roman"/>
        </w:rPr>
      </w:pPr>
      <w:r w:rsidRPr="008B2319">
        <w:rPr>
          <w:rFonts w:eastAsiaTheme="minorEastAsia" w:cs="Times New Roman"/>
          <w:i/>
        </w:rPr>
        <w:t>i</w:t>
      </w:r>
      <w:r w:rsidRPr="008B2319">
        <w:rPr>
          <w:rFonts w:eastAsiaTheme="minorEastAsia" w:cs="Times New Roman"/>
          <w:i/>
        </w:rPr>
        <w:tab/>
      </w:r>
      <w:r w:rsidRPr="008B2319">
        <w:rPr>
          <w:rFonts w:eastAsiaTheme="minorEastAsia" w:cs="Times New Roman"/>
          <w:i/>
        </w:rPr>
        <w:tab/>
      </w:r>
      <w:r w:rsidR="00C51B25" w:rsidRPr="008B2319">
        <w:rPr>
          <w:rFonts w:eastAsiaTheme="minorEastAsia" w:cs="Times New Roman"/>
        </w:rPr>
        <w:t>Current density [A/cm</w:t>
      </w:r>
      <w:r w:rsidR="00C51B25" w:rsidRPr="008B2319">
        <w:rPr>
          <w:rFonts w:eastAsiaTheme="minorEastAsia" w:cs="Times New Roman"/>
          <w:vertAlign w:val="superscript"/>
        </w:rPr>
        <w:t>2</w:t>
      </w:r>
      <w:r w:rsidR="00C51B25" w:rsidRPr="008B2319">
        <w:rPr>
          <w:rFonts w:eastAsiaTheme="minorEastAsia" w:cs="Times New Roman"/>
        </w:rPr>
        <w:t>]</w:t>
      </w:r>
    </w:p>
    <w:p w14:paraId="6D6F7A2C" w14:textId="77777777" w:rsidR="00FE4D49" w:rsidRPr="008B2319" w:rsidRDefault="00FE4D49">
      <w:pPr>
        <w:rPr>
          <w:rFonts w:eastAsiaTheme="minorEastAsia" w:cs="Times New Roman"/>
        </w:rPr>
      </w:pPr>
      <w:r w:rsidRPr="008B2319">
        <w:rPr>
          <w:rFonts w:eastAsiaTheme="minorEastAsia" w:cs="Times New Roman"/>
          <w:i/>
        </w:rPr>
        <w:t>I</w:t>
      </w:r>
      <w:r w:rsidRPr="008B2319">
        <w:rPr>
          <w:rFonts w:eastAsiaTheme="minorEastAsia" w:cs="Times New Roman"/>
          <w:i/>
        </w:rPr>
        <w:tab/>
      </w:r>
      <w:r w:rsidRPr="008B2319">
        <w:rPr>
          <w:rFonts w:eastAsiaTheme="minorEastAsia" w:cs="Times New Roman"/>
          <w:i/>
        </w:rPr>
        <w:tab/>
      </w:r>
      <w:r w:rsidR="00C51B25" w:rsidRPr="008B2319">
        <w:rPr>
          <w:rFonts w:eastAsiaTheme="minorEastAsia" w:cs="Times New Roman"/>
        </w:rPr>
        <w:t>Total current [A]</w:t>
      </w:r>
    </w:p>
    <w:p w14:paraId="68AED4AE" w14:textId="77777777" w:rsidR="00FE4D49" w:rsidRPr="008B2319" w:rsidRDefault="00FE4D49">
      <w:pPr>
        <w:rPr>
          <w:rFonts w:eastAsiaTheme="minorEastAsia" w:cs="Times New Roman"/>
          <w:vanish/>
          <w:specVanish/>
        </w:rPr>
      </w:pPr>
      <w:r w:rsidRPr="008B2319">
        <w:rPr>
          <w:rFonts w:eastAsiaTheme="minorEastAsia" w:cs="Times New Roman"/>
          <w:i/>
        </w:rPr>
        <w:t>M</w:t>
      </w:r>
      <w:r w:rsidRPr="008B2319">
        <w:rPr>
          <w:rFonts w:eastAsiaTheme="minorEastAsia" w:cs="Times New Roman"/>
          <w:i/>
        </w:rPr>
        <w:tab/>
      </w:r>
      <w:r w:rsidRPr="008B2319">
        <w:rPr>
          <w:rFonts w:eastAsiaTheme="minorEastAsia" w:cs="Times New Roman"/>
          <w:i/>
        </w:rPr>
        <w:tab/>
      </w:r>
      <w:r w:rsidR="00C51B25" w:rsidRPr="008B2319">
        <w:rPr>
          <w:rFonts w:eastAsiaTheme="minorEastAsia" w:cs="Times New Roman"/>
        </w:rPr>
        <w:t>Mass [kg]</w:t>
      </w:r>
    </w:p>
    <w:p w14:paraId="16220A3B" w14:textId="77777777" w:rsidR="00C51B25" w:rsidRPr="008B2319" w:rsidRDefault="00C51B25">
      <w:pPr>
        <w:rPr>
          <w:rFonts w:eastAsiaTheme="minorEastAsia" w:cs="Times New Roman"/>
        </w:rPr>
      </w:pPr>
    </w:p>
    <w:p w14:paraId="32EF25F1" w14:textId="77777777" w:rsidR="00FE4D49" w:rsidRPr="008B2319" w:rsidRDefault="00825D4F">
      <w:pPr>
        <w:rPr>
          <w:rFonts w:eastAsiaTheme="minorEastAsia"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n</m:t>
            </m:r>
          </m:e>
          <m:sub>
            <m:r>
              <w:rPr>
                <w:rFonts w:ascii="Cambria Math" w:eastAsiaTheme="minorEastAsia" w:hAnsi="Cambria Math" w:cs="Times New Roman"/>
              </w:rPr>
              <m:t>cell</m:t>
            </m:r>
          </m:sub>
        </m:sSub>
      </m:oMath>
      <w:r w:rsidR="00FE4D49" w:rsidRPr="008B2319">
        <w:rPr>
          <w:rFonts w:eastAsiaTheme="minorEastAsia" w:cs="Times New Roman"/>
          <w:i/>
        </w:rPr>
        <w:tab/>
      </w:r>
      <w:r w:rsidR="00FE4D49" w:rsidRPr="008B2319">
        <w:rPr>
          <w:rFonts w:eastAsiaTheme="minorEastAsia" w:cs="Times New Roman"/>
          <w:i/>
        </w:rPr>
        <w:tab/>
      </w:r>
      <w:r w:rsidR="00C51B25" w:rsidRPr="008B2319">
        <w:rPr>
          <w:rFonts w:eastAsiaTheme="minorEastAsia" w:cs="Times New Roman"/>
        </w:rPr>
        <w:t>Number of cells</w:t>
      </w:r>
    </w:p>
    <w:p w14:paraId="1B8F6459" w14:textId="77777777" w:rsidR="00FE4D49" w:rsidRPr="008B2319" w:rsidRDefault="00FE4D49">
      <w:pPr>
        <w:rPr>
          <w:rFonts w:eastAsiaTheme="minorEastAsia" w:cs="Times New Roman"/>
          <w:i/>
        </w:rPr>
      </w:pPr>
    </w:p>
    <w:p w14:paraId="67095CFB" w14:textId="77777777" w:rsidR="00FE4D49" w:rsidRPr="008B2319" w:rsidRDefault="00FE4D49">
      <w:pPr>
        <w:rPr>
          <w:rFonts w:eastAsiaTheme="minorEastAsia" w:cs="Times New Roman"/>
          <w:b/>
        </w:rPr>
      </w:pPr>
      <w:r w:rsidRPr="008B2319">
        <w:rPr>
          <w:rFonts w:eastAsiaTheme="minorEastAsia" w:cs="Times New Roman"/>
          <w:b/>
        </w:rPr>
        <w:t>Greek symbols</w:t>
      </w:r>
    </w:p>
    <w:p w14:paraId="6D41014B" w14:textId="77777777" w:rsidR="00FE4D49" w:rsidRPr="008B2319" w:rsidRDefault="00FE4D49" w:rsidP="00FE4D49">
      <w:pPr>
        <w:rPr>
          <w:rFonts w:eastAsiaTheme="minorEastAsia" w:cs="Times New Roman"/>
        </w:rPr>
      </w:pPr>
      <m:oMath>
        <m:r>
          <w:rPr>
            <w:rFonts w:ascii="Cambria Math" w:hAnsi="Cambria Math"/>
          </w:rPr>
          <m:t>ρ</m:t>
        </m:r>
      </m:oMath>
      <w:r w:rsidRPr="008B2319">
        <w:rPr>
          <w:rFonts w:ascii="Candara" w:eastAsiaTheme="minorEastAsia" w:hAnsi="Candara"/>
        </w:rPr>
        <w:tab/>
      </w:r>
      <w:r w:rsidRPr="008B2319">
        <w:rPr>
          <w:rFonts w:eastAsiaTheme="minorEastAsia" w:cs="Times New Roman"/>
        </w:rPr>
        <w:tab/>
      </w:r>
      <w:r w:rsidR="00C51B25" w:rsidRPr="008B2319">
        <w:rPr>
          <w:rFonts w:eastAsiaTheme="minorEastAsia" w:cs="Times New Roman"/>
        </w:rPr>
        <w:t>Density</w:t>
      </w:r>
      <w:r w:rsidR="00091518" w:rsidRPr="008B2319">
        <w:rPr>
          <w:rFonts w:eastAsiaTheme="minorEastAsia" w:cs="Times New Roman"/>
        </w:rPr>
        <w:t xml:space="preserve"> </w:t>
      </w:r>
      <w:r w:rsidR="00C51B25" w:rsidRPr="008B2319">
        <w:rPr>
          <w:rFonts w:eastAsiaTheme="minorEastAsia" w:cs="Times New Roman"/>
        </w:rPr>
        <w:t>[kg/m</w:t>
      </w:r>
      <w:r w:rsidR="00C51B25" w:rsidRPr="008B2319">
        <w:rPr>
          <w:rFonts w:eastAsiaTheme="minorEastAsia" w:cs="Times New Roman"/>
          <w:vertAlign w:val="superscript"/>
        </w:rPr>
        <w:t>3</w:t>
      </w:r>
      <w:r w:rsidR="00C51B25" w:rsidRPr="008B2319">
        <w:rPr>
          <w:rFonts w:eastAsiaTheme="minorEastAsia" w:cs="Times New Roman"/>
        </w:rPr>
        <w:t>]</w:t>
      </w:r>
    </w:p>
    <w:p w14:paraId="71DB7A9A" w14:textId="77777777" w:rsidR="00FE4D49" w:rsidRPr="008B2319" w:rsidRDefault="00FE4D49" w:rsidP="00FE4D49">
      <w:pPr>
        <w:rPr>
          <w:rFonts w:ascii="Candara" w:eastAsiaTheme="minorEastAsia" w:hAnsi="Candara"/>
        </w:rPr>
      </w:pPr>
      <m:oMath>
        <m:r>
          <w:rPr>
            <w:rFonts w:ascii="Cambria Math" w:hAnsi="Cambria Math"/>
          </w:rPr>
          <m:t>λ</m:t>
        </m:r>
      </m:oMath>
      <w:r w:rsidRPr="008B2319">
        <w:rPr>
          <w:rFonts w:ascii="Candara" w:eastAsiaTheme="minorEastAsia" w:hAnsi="Candara"/>
        </w:rPr>
        <w:tab/>
      </w:r>
      <w:r w:rsidRPr="008B2319">
        <w:rPr>
          <w:rFonts w:eastAsiaTheme="minorEastAsia" w:cs="Times New Roman"/>
        </w:rPr>
        <w:tab/>
      </w:r>
      <w:r w:rsidR="00C51B25" w:rsidRPr="008B2319">
        <w:rPr>
          <w:rFonts w:eastAsiaTheme="minorEastAsia" w:cs="Times New Roman"/>
        </w:rPr>
        <w:t>Thermal conductivity [W/m K]</w:t>
      </w:r>
    </w:p>
    <w:p w14:paraId="0BFB5691" w14:textId="77777777" w:rsidR="00FE4D49" w:rsidRPr="008B2319" w:rsidRDefault="00FE4D49" w:rsidP="00FE4D49">
      <w:pPr>
        <w:rPr>
          <w:rFonts w:eastAsiaTheme="minorEastAsia" w:cs="Times New Roman"/>
          <w:i/>
        </w:rPr>
      </w:pPr>
      <w:r w:rsidRPr="008B2319">
        <w:rPr>
          <w:rFonts w:ascii="Calibri" w:eastAsiaTheme="minorEastAsia" w:hAnsi="Calibri" w:cs="Times New Roman"/>
          <w:i/>
        </w:rPr>
        <w:t>η</w:t>
      </w:r>
      <w:r w:rsidRPr="008B2319">
        <w:rPr>
          <w:rFonts w:eastAsiaTheme="minorEastAsia" w:cs="Times New Roman"/>
          <w:i/>
        </w:rPr>
        <w:tab/>
      </w:r>
      <w:r w:rsidRPr="008B2319">
        <w:rPr>
          <w:rFonts w:eastAsiaTheme="minorEastAsia" w:cs="Times New Roman"/>
        </w:rPr>
        <w:tab/>
      </w:r>
      <w:r w:rsidR="006968DA" w:rsidRPr="008B2319">
        <w:rPr>
          <w:rFonts w:eastAsiaTheme="minorEastAsia" w:cs="Times New Roman"/>
        </w:rPr>
        <w:t>Thermal efficiency [-</w:t>
      </w:r>
      <w:r w:rsidR="00C51B25" w:rsidRPr="008B2319">
        <w:rPr>
          <w:rFonts w:eastAsiaTheme="minorEastAsia" w:cs="Times New Roman"/>
        </w:rPr>
        <w:t>]</w:t>
      </w:r>
    </w:p>
    <w:p w14:paraId="4434AC74" w14:textId="77777777" w:rsidR="00FE4D49" w:rsidRPr="008B2319" w:rsidRDefault="00FE4D49">
      <w:pPr>
        <w:rPr>
          <w:rFonts w:eastAsiaTheme="minorEastAsia" w:cs="Times New Roman"/>
          <w:b/>
        </w:rPr>
      </w:pPr>
    </w:p>
    <w:p w14:paraId="33C8A553" w14:textId="77777777" w:rsidR="00FE4D49" w:rsidRPr="008B2319" w:rsidRDefault="00FE4D49">
      <w:pPr>
        <w:rPr>
          <w:rFonts w:eastAsiaTheme="minorEastAsia" w:cs="Times New Roman"/>
          <w:b/>
        </w:rPr>
      </w:pPr>
    </w:p>
    <w:p w14:paraId="337B2A0F" w14:textId="77777777" w:rsidR="00FE4D49" w:rsidRPr="008B2319" w:rsidRDefault="00FE4D49">
      <w:pPr>
        <w:rPr>
          <w:rFonts w:eastAsiaTheme="minorEastAsia" w:cs="Times New Roman"/>
          <w:b/>
        </w:rPr>
      </w:pPr>
    </w:p>
    <w:p w14:paraId="1709512D" w14:textId="77777777" w:rsidR="00FE4D49" w:rsidRPr="008B2319" w:rsidRDefault="00FE4D49">
      <w:pPr>
        <w:rPr>
          <w:rFonts w:eastAsiaTheme="minorEastAsia" w:cs="Times New Roman"/>
          <w:b/>
        </w:rPr>
      </w:pPr>
    </w:p>
    <w:p w14:paraId="5B7BE903" w14:textId="77777777" w:rsidR="00FE4D49" w:rsidRPr="008B2319" w:rsidRDefault="00FE4D49">
      <w:pPr>
        <w:rPr>
          <w:rFonts w:cs="Times New Roman"/>
          <w:i/>
        </w:rPr>
      </w:pPr>
    </w:p>
    <w:p w14:paraId="3BA704BD" w14:textId="77777777" w:rsidR="00FE4D49" w:rsidRPr="008B2319" w:rsidRDefault="00FE4D49">
      <w:pPr>
        <w:rPr>
          <w:rFonts w:cs="Times New Roman"/>
          <w:i/>
        </w:rPr>
        <w:sectPr w:rsidR="00FE4D49" w:rsidRPr="008B2319" w:rsidSect="005538F0">
          <w:pgSz w:w="11906" w:h="16838"/>
          <w:pgMar w:top="1417" w:right="1134" w:bottom="1134" w:left="1134" w:header="708" w:footer="708" w:gutter="0"/>
          <w:lnNumType w:countBy="1" w:restart="continuous"/>
          <w:cols w:num="2" w:space="708"/>
          <w:docGrid w:linePitch="360"/>
        </w:sectPr>
      </w:pPr>
    </w:p>
    <w:p w14:paraId="116D88AD" w14:textId="77777777" w:rsidR="00FE4D49" w:rsidRPr="008B2319" w:rsidRDefault="00FE4D49">
      <w:pPr>
        <w:spacing w:before="0" w:after="160" w:line="259" w:lineRule="auto"/>
        <w:jc w:val="left"/>
        <w:rPr>
          <w:rFonts w:cs="Times New Roman"/>
        </w:rPr>
      </w:pPr>
    </w:p>
    <w:p w14:paraId="3221094C" w14:textId="77777777" w:rsidR="00C51B25" w:rsidRPr="008B2319" w:rsidRDefault="00C51B25">
      <w:pPr>
        <w:spacing w:before="0" w:after="160" w:line="259" w:lineRule="auto"/>
        <w:jc w:val="left"/>
        <w:rPr>
          <w:rFonts w:cs="Times New Roman"/>
        </w:rPr>
      </w:pPr>
    </w:p>
    <w:p w14:paraId="386E8825" w14:textId="77777777" w:rsidR="00C51B25" w:rsidRPr="008B2319" w:rsidRDefault="00C51B25">
      <w:pPr>
        <w:spacing w:before="0" w:after="160" w:line="259" w:lineRule="auto"/>
        <w:jc w:val="left"/>
        <w:rPr>
          <w:rFonts w:cs="Times New Roman"/>
        </w:rPr>
        <w:sectPr w:rsidR="00C51B25" w:rsidRPr="008B2319" w:rsidSect="005538F0">
          <w:type w:val="continuous"/>
          <w:pgSz w:w="11906" w:h="16838"/>
          <w:pgMar w:top="1417" w:right="1134" w:bottom="1134" w:left="1134" w:header="708" w:footer="708" w:gutter="0"/>
          <w:lnNumType w:countBy="1" w:restart="continuous"/>
          <w:cols w:space="708"/>
          <w:docGrid w:linePitch="360"/>
        </w:sectPr>
      </w:pPr>
    </w:p>
    <w:p w14:paraId="0369BDA0" w14:textId="77777777" w:rsidR="00397BE5" w:rsidRPr="008B2319" w:rsidRDefault="00397BE5" w:rsidP="00397BE5">
      <w:pPr>
        <w:pStyle w:val="Heading1"/>
        <w:rPr>
          <w:sz w:val="28"/>
          <w:szCs w:val="28"/>
        </w:rPr>
      </w:pPr>
      <w:bookmarkStart w:id="0" w:name="_Toc444608470"/>
      <w:r w:rsidRPr="008B2319">
        <w:rPr>
          <w:sz w:val="28"/>
          <w:szCs w:val="28"/>
        </w:rPr>
        <w:lastRenderedPageBreak/>
        <w:t>Introduction</w:t>
      </w:r>
      <w:bookmarkEnd w:id="0"/>
    </w:p>
    <w:p w14:paraId="0A9C4FDC" w14:textId="77777777" w:rsidR="006454AF" w:rsidRPr="008B2319" w:rsidRDefault="006E2828" w:rsidP="00C77EFE">
      <w:r w:rsidRPr="008B2319">
        <w:t xml:space="preserve">Among </w:t>
      </w:r>
      <w:r w:rsidR="00652D09" w:rsidRPr="008B2319">
        <w:t>CHP generators</w:t>
      </w:r>
      <w:r w:rsidRPr="008B2319">
        <w:t xml:space="preserve">, fuel cells could be </w:t>
      </w:r>
      <w:r w:rsidR="00652D09" w:rsidRPr="008B2319">
        <w:t>the option with</w:t>
      </w:r>
      <w:r w:rsidR="006B7FA5" w:rsidRPr="008B2319">
        <w:t xml:space="preserve"> a</w:t>
      </w:r>
      <w:r w:rsidR="00652D09" w:rsidRPr="008B2319">
        <w:t xml:space="preserve"> </w:t>
      </w:r>
      <w:r w:rsidR="00652D09" w:rsidRPr="008B2319">
        <w:rPr>
          <w:noProof/>
        </w:rPr>
        <w:t>higher</w:t>
      </w:r>
      <w:r w:rsidR="00652D09" w:rsidRPr="008B2319">
        <w:t xml:space="preserve"> emphasis towards </w:t>
      </w:r>
      <w:r w:rsidRPr="008B2319">
        <w:t xml:space="preserve">the maximization of the energy </w:t>
      </w:r>
      <w:r w:rsidR="00652D09" w:rsidRPr="008B2319">
        <w:t>efficiency</w:t>
      </w:r>
      <w:r w:rsidRPr="008B2319">
        <w:t>.</w:t>
      </w:r>
      <w:r w:rsidR="006454AF" w:rsidRPr="008B2319">
        <w:t xml:space="preserve"> </w:t>
      </w:r>
      <w:r w:rsidR="00652D09" w:rsidRPr="008B2319">
        <w:t>Furthermore</w:t>
      </w:r>
      <w:r w:rsidR="006454AF" w:rsidRPr="008B2319">
        <w:t>, the coupling with a renewable fuel such as biogas can determine an interesting synergetic effect</w:t>
      </w:r>
      <w:r w:rsidR="00652D09" w:rsidRPr="008B2319">
        <w:t>,</w:t>
      </w:r>
      <w:r w:rsidR="006454AF" w:rsidRPr="008B2319">
        <w:t xml:space="preserve"> putting together a sustainable fuel and</w:t>
      </w:r>
      <w:r w:rsidR="006454AF" w:rsidRPr="008B2319">
        <w:rPr>
          <w:noProof/>
        </w:rPr>
        <w:t xml:space="preserve"> technology</w:t>
      </w:r>
      <w:r w:rsidR="006454AF" w:rsidRPr="008B2319">
        <w:t xml:space="preserve"> with characteristics of very high conversion efficiency. Moreover, it is possible to take advantages of other specific aspects of</w:t>
      </w:r>
      <w:r w:rsidR="006B7FA5" w:rsidRPr="008B2319">
        <w:t xml:space="preserve"> the</w:t>
      </w:r>
      <w:r w:rsidR="006454AF" w:rsidRPr="008B2319">
        <w:t xml:space="preserve"> </w:t>
      </w:r>
      <w:r w:rsidR="006454AF" w:rsidRPr="008B2319">
        <w:rPr>
          <w:noProof/>
        </w:rPr>
        <w:t>SOFC-based</w:t>
      </w:r>
      <w:r w:rsidR="006454AF" w:rsidRPr="008B2319">
        <w:t xml:space="preserve"> </w:t>
      </w:r>
      <w:r w:rsidR="006454AF" w:rsidRPr="008B2319">
        <w:rPr>
          <w:noProof/>
        </w:rPr>
        <w:t>system</w:t>
      </w:r>
      <w:r w:rsidR="006B7FA5" w:rsidRPr="008B2319">
        <w:rPr>
          <w:noProof/>
        </w:rPr>
        <w:t>s</w:t>
      </w:r>
      <w:r w:rsidR="006454AF" w:rsidRPr="008B2319">
        <w:t>, such as the opportunity of a simplified recovery of CO</w:t>
      </w:r>
      <w:r w:rsidR="006454AF" w:rsidRPr="008B2319">
        <w:rPr>
          <w:vertAlign w:val="subscript"/>
        </w:rPr>
        <w:t>2</w:t>
      </w:r>
      <w:r w:rsidR="006454AF" w:rsidRPr="008B2319">
        <w:t xml:space="preserve"> from the cell exhausts, and </w:t>
      </w:r>
      <w:r w:rsidR="00652D09" w:rsidRPr="008B2319">
        <w:t xml:space="preserve">thus </w:t>
      </w:r>
      <w:r w:rsidR="006454AF" w:rsidRPr="008B2319">
        <w:t xml:space="preserve">their operation </w:t>
      </w:r>
      <w:r w:rsidR="00652D09" w:rsidRPr="008B2319">
        <w:t xml:space="preserve">in the framework of more ambitious </w:t>
      </w:r>
      <w:r w:rsidR="006454AF" w:rsidRPr="008B2319">
        <w:t xml:space="preserve">poly-generative </w:t>
      </w:r>
      <w:r w:rsidR="00652D09" w:rsidRPr="008B2319">
        <w:t>systems</w:t>
      </w:r>
      <w:r w:rsidR="006454AF" w:rsidRPr="008B2319">
        <w:t xml:space="preserve">. </w:t>
      </w:r>
    </w:p>
    <w:p w14:paraId="29B06F42" w14:textId="77777777" w:rsidR="006E2828" w:rsidRPr="008B2319" w:rsidRDefault="006E2828" w:rsidP="00C77EFE">
      <w:r w:rsidRPr="008B2319">
        <w:t>In 2004</w:t>
      </w:r>
      <w:r w:rsidR="006B6EBE" w:rsidRPr="008B2319">
        <w:t>,</w:t>
      </w:r>
      <w:r w:rsidRPr="008B2319">
        <w:t xml:space="preserve"> Van </w:t>
      </w:r>
      <w:r w:rsidRPr="008B2319">
        <w:rPr>
          <w:noProof/>
        </w:rPr>
        <w:t>Herle</w:t>
      </w:r>
      <w:r w:rsidRPr="008B2319">
        <w:t xml:space="preserve"> et al. were already discussing the potential for the integration of sewage biogas with high temperature fuel cells </w:t>
      </w:r>
      <w:r w:rsidRPr="008B2319">
        <w:fldChar w:fldCharType="begin" w:fldLock="1"/>
      </w:r>
      <w:r w:rsidR="0062154B" w:rsidRPr="008B2319">
        <w:instrText>ADDIN CSL_CITATION { "citationItems" : [ { "id" : "ITEM-1", "itemData" : { "DOI" : "10.1016/j.jpowsour.2003.09.027", "author" : [ { "dropping-particle" : "", "family" : "Herle", "given" : "Jan", "non-dropping-particle" : "Van", "parse-names" : false, "suffix" : "" }, { "dropping-particle" : "", "family" : "Membrez", "given" : "Yves", "non-dropping-particle" : "", "parse-names" : false, "suffix" : "" }, { "dropping-particle" : "", "family" : "Bucheli", "given" : "Olivier", "non-dropping-particle" : "", "parse-names" : false, "suffix" : "" } ], "id" : "ITEM-1", "issue" : "2004", "issued" : { "date-parts" : [ [ "2010" ] ] }, "page" : "300-312", "title" : "Biogas as a fuel source for SOFC co-generators", "type" : "article-journal", "volume" : "127" }, "uris" : [ "http://www.mendeley.com/documents/?uuid=3145858d-6f10-4096-af05-0eddf39bf139", "http://www.mendeley.com/documents/?uuid=0f22b618-8136-4fcb-9598-8934135115a4" ] } ], "mendeley" : { "formattedCitation" : "[1]", "plainTextFormattedCitation" : "[1]", "previouslyFormattedCitation" : "[1]" }, "properties" : { "noteIndex" : 0 }, "schema" : "https://github.com/citation-style-language/schema/raw/master/csl-citation.json" }</w:instrText>
      </w:r>
      <w:r w:rsidRPr="008B2319">
        <w:fldChar w:fldCharType="separate"/>
      </w:r>
      <w:r w:rsidR="0062154B" w:rsidRPr="008B2319">
        <w:rPr>
          <w:noProof/>
        </w:rPr>
        <w:t>[1]</w:t>
      </w:r>
      <w:r w:rsidRPr="008B2319">
        <w:fldChar w:fldCharType="end"/>
      </w:r>
      <w:r w:rsidRPr="008B2319">
        <w:fldChar w:fldCharType="begin" w:fldLock="1"/>
      </w:r>
      <w:r w:rsidR="0062154B" w:rsidRPr="008B2319">
        <w:instrText>ADDIN CSL_CITATION { "citationItems" : [ { "id" : "ITEM-1", "itemData" : { "DOI" : "10.1016/j.jpowsour.2004.01.013", "ISBN" : "0378-7753", "ISSN" : "03787753", "abstract" : "A model for a 100 kW class solid oxide fuel cell (SOFC) system running on biogas from a sewage sludge digestion plant was implemented in a process flow scheme using external steam reforming. The model stack consisted of planar anode supported cells operated at 800 \u00b0C displaying state-of-the-art electrochemical performance (0.15 W/cm2 at 80% fuel utilisation). Real annual data from an existing sewage plant were used as input to the model. From the input of 43 m3/h biogas (63% CH4), equivalent to 269 kW (higher heating value, HHV), the SOFC stack was calculated to deliver 131 kWel electricity (48.7%) using a steam-to-carbon ratio of 0.5. This would allow the sewage site to more than cover its own electrical needs, hence to depollute the waste stream at negative energy cost. In its current exploitation using a low efficient gas engine (130 kW), the site is only \u224850% self-sufficient. Special attention was given to the thermal balance of the stack. The stack developed heat (143 kW) could be balanced by endothermal reforming (78 kW) and by cathode excess air \u03bb (=3), allowing a temperature difference between stack inlet and outlet of 200 K. The case was compared to other fuel scenarios. Steam-added biogas behaves basically identically to steam-reformed methane. For partial oxidation of biogas or pure hydrogen feeding, electrical efficiency drops to under 43% while \u03bb needs to be raised to 4.5 to maintain the 200 K thermal gradient over the stack.", "author" : [ { "dropping-particle" : "", "family" : "herle", "given" : "Jan", "non-dropping-particle" : "Van", "parse-names" : false, "suffix" : "" }, { "dropping-particle" : "", "family" : "Mar\u00e9chal", "given" : "F", "non-dropping-particle" : "", "parse-names" : false, "suffix" : "" }, { "dropping-particle" : "", "family" : "Leuenberger", "given" : "S", "non-dropping-particle" : "", "parse-names" : false, "suffix" : "" }, { "dropping-particle" : "", "family" : "Membrez", "given" : "Y", "non-dropping-particle" : "", "parse-names" : false, "suffix" : "" }, { "dropping-particle" : "", "family" : "Bucheli", "given" : "O", "non-dropping-particle" : "", "parse-names" : false, "suffix" : "" }, { "dropping-particle" : "", "family" : "Favrat", "given" : "D", "non-dropping-particle" : "", "parse-names" : false, "suffix" : "" } ], "container-title" : "Journal of Power Sources", "id" : "ITEM-1", "issue" : "1\u20132", "issued" : { "date-parts" : [ [ "2004" ] ] }, "page" : "127-141", "title" : "Process flow model of solid oxide fuel cell system supplied with sewage biogas", "type" : "article-journal", "volume" : "131" }, "uris" : [ "http://www.mendeley.com/documents/?uuid=8cc6415d-a8dd-4a53-828b-d15386c6fcf8" ] } ], "mendeley" : { "formattedCitation" : "[2]", "plainTextFormattedCitation" : "[2]", "previouslyFormattedCitation" : "[2]" }, "properties" : { "noteIndex" : 0 }, "schema" : "https://github.com/citation-style-language/schema/raw/master/csl-citation.json" }</w:instrText>
      </w:r>
      <w:r w:rsidRPr="008B2319">
        <w:fldChar w:fldCharType="separate"/>
      </w:r>
      <w:r w:rsidR="0062154B" w:rsidRPr="008B2319">
        <w:rPr>
          <w:noProof/>
        </w:rPr>
        <w:t>[2]</w:t>
      </w:r>
      <w:r w:rsidRPr="008B2319">
        <w:fldChar w:fldCharType="end"/>
      </w:r>
      <w:r w:rsidRPr="008B2319">
        <w:t xml:space="preserve">. Over the last years, new research activities aimed to the demonstration of the same concept; in fact, the use of fuel cells in biogas plants can lead to many advantages in terms of environmental and economic aspects </w:t>
      </w:r>
      <w:r w:rsidRPr="008B2319">
        <w:fldChar w:fldCharType="begin" w:fldLock="1"/>
      </w:r>
      <w:r w:rsidR="0062154B" w:rsidRPr="008B2319">
        <w:instrText>ADDIN CSL_CITATION { "citationItems" : [ { "id" : "ITEM-1", "itemData" : { "DOI" : "10.1016/j.energy.2013.05.025", "ISSN" : "0360-5442", "author" : [ { "dropping-particle" : "", "family" : "Venkatesh", "given" : "G", "non-dropping-particle" : "", "parse-names" : false, "suffix" : "" }, { "dropping-particle" : "", "family" : "Abdi", "given" : "Rashid", "non-dropping-particle" : "", "parse-names" : false, "suffix" : "" } ], "container-title" : "Energy", "id" : "ITEM-1", "issued" : { "date-parts" : [ [ "2013" ] ] }, "page" : "220-235", "publisher" : "Elsevier Ltd", "title" : "Economic e environmental analysis of handling biogas from sewage sludge digesters in WWTPs ( wastewater treatment plants ) for energy recovery : Case study of Bekkelaget WWTP in Oslo ( Norway )", "type" : "article-journal", "volume" : "58" }, "uris" : [ "http://www.mendeley.com/documents/?uuid=25bebb2b-513a-4cb4-b51e-84935e38f0ef" ] } ], "mendeley" : { "formattedCitation" : "[3]", "plainTextFormattedCitation" : "[3]", "previouslyFormattedCitation" : "[3]" }, "properties" : { "noteIndex" : 0 }, "schema" : "https://github.com/citation-style-language/schema/raw/master/csl-citation.json" }</w:instrText>
      </w:r>
      <w:r w:rsidRPr="008B2319">
        <w:fldChar w:fldCharType="separate"/>
      </w:r>
      <w:r w:rsidR="0062154B" w:rsidRPr="008B2319">
        <w:rPr>
          <w:noProof/>
        </w:rPr>
        <w:t>[3]</w:t>
      </w:r>
      <w:r w:rsidRPr="008B2319">
        <w:fldChar w:fldCharType="end"/>
      </w:r>
      <w:r w:rsidRPr="008B2319">
        <w:fldChar w:fldCharType="begin" w:fldLock="1"/>
      </w:r>
      <w:r w:rsidR="0062154B" w:rsidRPr="008B2319">
        <w:instrText>ADDIN CSL_CITATION { "citationItems" : [ { "id" : "ITEM-1", "itemData" : { "DOI" : "10.1016/j.fuproc.2015.07.006", "ISSN" : "0378-3820", "author" : [ { "dropping-particle" : "De", "family" : "Arespacochaga", "given" : "N", "non-dropping-particle" : "", "parse-names" : false, "suffix" : "" }, { "dropping-particle" : "", "family" : "Valderrama", "given" : "C", "non-dropping-particle" : "", "parse-names" : false, "suffix" : "" }, { "dropping-particle" : "", "family" : "Peregrina", "given" : "C", "non-dropping-particle" : "", "parse-names" : false, "suffix" : "" }, { "dropping-particle" : "", "family" : "Hornero", "given" : "A", "non-dropping-particle" : "", "parse-names" : false, "suffix" : "" }, { "dropping-particle" : "", "family" : "Bouchy", "given" : "L", "non-dropping-particle" : "", "parse-names" : false, "suffix" : "" }, { "dropping-particle" : "", "family" : "Cortina", "given" : "J L", "non-dropping-particle" : "", "parse-names" : false, "suffix" : "" } ], "container-title" : "Fuel Processing Technology", "id" : "ITEM-1", "issued" : { "date-parts" : [ [ "2015" ] ] }, "page" : "654-662", "publisher" : "Elsevier B.V.", "title" : "On-site cogeneration with sewage biogas via high-temperature fuel cells : Benchmarking against other options based on industrial-scale data", "type" : "article-journal", "volume" : "138" }, "uris" : [ "http://www.mendeley.com/documents/?uuid=e2556020-594d-4dde-8fa6-b0b38efe154f" ] } ], "mendeley" : { "formattedCitation" : "[4]", "plainTextFormattedCitation" : "[4]", "previouslyFormattedCitation" : "[4]" }, "properties" : { "noteIndex" : 0 }, "schema" : "https://github.com/citation-style-language/schema/raw/master/csl-citation.json" }</w:instrText>
      </w:r>
      <w:r w:rsidRPr="008B2319">
        <w:fldChar w:fldCharType="separate"/>
      </w:r>
      <w:r w:rsidR="0062154B" w:rsidRPr="008B2319">
        <w:rPr>
          <w:noProof/>
        </w:rPr>
        <w:t>[4]</w:t>
      </w:r>
      <w:r w:rsidRPr="008B2319">
        <w:fldChar w:fldCharType="end"/>
      </w:r>
      <w:r w:rsidRPr="008B2319">
        <w:t>.</w:t>
      </w:r>
    </w:p>
    <w:p w14:paraId="70A903A0" w14:textId="77777777" w:rsidR="006E2828" w:rsidRPr="008B2319" w:rsidRDefault="006454AF" w:rsidP="003C3397">
      <w:r w:rsidRPr="008B2319">
        <w:t xml:space="preserve">In order to </w:t>
      </w:r>
      <w:r w:rsidRPr="008B2319">
        <w:rPr>
          <w:noProof/>
        </w:rPr>
        <w:t>analy</w:t>
      </w:r>
      <w:r w:rsidR="006B7FA5" w:rsidRPr="008B2319">
        <w:rPr>
          <w:noProof/>
        </w:rPr>
        <w:t>z</w:t>
      </w:r>
      <w:r w:rsidRPr="008B2319">
        <w:rPr>
          <w:noProof/>
        </w:rPr>
        <w:t>e</w:t>
      </w:r>
      <w:r w:rsidRPr="008B2319">
        <w:t xml:space="preserve"> the advantages of </w:t>
      </w:r>
      <w:r w:rsidR="006B6EBE" w:rsidRPr="008B2319">
        <w:t>SOFC-based</w:t>
      </w:r>
      <w:r w:rsidRPr="008B2319">
        <w:t xml:space="preserve"> systems, </w:t>
      </w:r>
      <w:r w:rsidR="006B6EBE" w:rsidRPr="008B2319">
        <w:t xml:space="preserve">mathematical </w:t>
      </w:r>
      <w:r w:rsidRPr="008B2319">
        <w:t>m</w:t>
      </w:r>
      <w:r w:rsidR="006E2828" w:rsidRPr="008B2319">
        <w:t xml:space="preserve">odels can be developed </w:t>
      </w:r>
      <w:r w:rsidR="002F5E54" w:rsidRPr="008B2319">
        <w:t>from m</w:t>
      </w:r>
      <w:r w:rsidR="003C229A" w:rsidRPr="008B2319">
        <w:t>i</w:t>
      </w:r>
      <w:r w:rsidR="002F5E54" w:rsidRPr="008B2319">
        <w:t xml:space="preserve">cro to </w:t>
      </w:r>
      <w:r w:rsidR="002F5E54" w:rsidRPr="008B2319">
        <w:rPr>
          <w:noProof/>
        </w:rPr>
        <w:t>m</w:t>
      </w:r>
      <w:r w:rsidR="003C229A" w:rsidRPr="008B2319">
        <w:rPr>
          <w:noProof/>
        </w:rPr>
        <w:t>a</w:t>
      </w:r>
      <w:r w:rsidR="006B7FA5" w:rsidRPr="008B2319">
        <w:rPr>
          <w:noProof/>
        </w:rPr>
        <w:t>cro</w:t>
      </w:r>
      <w:r w:rsidR="00640366" w:rsidRPr="008B2319">
        <w:rPr>
          <w:noProof/>
        </w:rPr>
        <w:t xml:space="preserve"> </w:t>
      </w:r>
      <w:r w:rsidR="002F5E54" w:rsidRPr="008B2319">
        <w:rPr>
          <w:noProof/>
        </w:rPr>
        <w:t>scale</w:t>
      </w:r>
      <w:r w:rsidR="006E2828" w:rsidRPr="008B2319">
        <w:t xml:space="preserve">, depending on the scales </w:t>
      </w:r>
      <w:r w:rsidR="003C229A" w:rsidRPr="008B2319">
        <w:t>investigated</w:t>
      </w:r>
      <w:r w:rsidR="006E2828" w:rsidRPr="008B2319">
        <w:t xml:space="preserve">. The analysis of </w:t>
      </w:r>
      <w:r w:rsidR="002F5E54" w:rsidRPr="008B2319">
        <w:t xml:space="preserve">the </w:t>
      </w:r>
      <w:r w:rsidR="006E2828" w:rsidRPr="008B2319">
        <w:t xml:space="preserve">SOFC at the stack level focuses on </w:t>
      </w:r>
      <w:r w:rsidR="002F5E54" w:rsidRPr="008B2319">
        <w:t>the</w:t>
      </w:r>
      <w:r w:rsidR="006E2828" w:rsidRPr="008B2319">
        <w:t xml:space="preserve"> mathematical description of electrochemical processes, chemical reactions, transport phenomena, and geometry influence. Investigati</w:t>
      </w:r>
      <w:r w:rsidR="002F5E54" w:rsidRPr="008B2319">
        <w:t>on of the entire system includes</w:t>
      </w:r>
      <w:r w:rsidR="003C229A" w:rsidRPr="008B2319">
        <w:t>,</w:t>
      </w:r>
      <w:r w:rsidR="002F5E54" w:rsidRPr="008B2319">
        <w:t xml:space="preserve"> instead</w:t>
      </w:r>
      <w:r w:rsidR="003C229A" w:rsidRPr="008B2319">
        <w:t>,</w:t>
      </w:r>
      <w:r w:rsidR="006E2828" w:rsidRPr="008B2319">
        <w:t xml:space="preserve"> studies on the system</w:t>
      </w:r>
      <w:r w:rsidR="002F5E54" w:rsidRPr="008B2319">
        <w:t xml:space="preserve"> </w:t>
      </w:r>
      <w:r w:rsidR="006E2828" w:rsidRPr="008B2319">
        <w:t>integration, heat and mass exchange, electrical circuits, and equipment.</w:t>
      </w:r>
      <w:r w:rsidR="003C229A" w:rsidRPr="008B2319">
        <w:t xml:space="preserve"> </w:t>
      </w:r>
      <w:r w:rsidR="006E2828" w:rsidRPr="008B2319">
        <w:t xml:space="preserve">Intensified research efforts have been made </w:t>
      </w:r>
      <w:r w:rsidR="00640366" w:rsidRPr="008B2319">
        <w:rPr>
          <w:noProof/>
        </w:rPr>
        <w:t>i</w:t>
      </w:r>
      <w:r w:rsidR="006E2828" w:rsidRPr="008B2319">
        <w:rPr>
          <w:noProof/>
        </w:rPr>
        <w:t>n</w:t>
      </w:r>
      <w:r w:rsidR="006E2828" w:rsidRPr="008B2319">
        <w:t xml:space="preserve"> the development </w:t>
      </w:r>
      <w:r w:rsidR="002F5E54" w:rsidRPr="008B2319">
        <w:t>of SOFC</w:t>
      </w:r>
      <w:r w:rsidR="00912439" w:rsidRPr="008B2319">
        <w:t xml:space="preserve"> mathe</w:t>
      </w:r>
      <w:r w:rsidR="002F5E54" w:rsidRPr="008B2319">
        <w:t>m</w:t>
      </w:r>
      <w:r w:rsidR="00912439" w:rsidRPr="008B2319">
        <w:t>at</w:t>
      </w:r>
      <w:r w:rsidR="002F5E54" w:rsidRPr="008B2319">
        <w:t xml:space="preserve">ical models at the system level </w:t>
      </w:r>
      <w:r w:rsidR="006E2828" w:rsidRPr="008B2319">
        <w:t xml:space="preserve">in recent years, and several dynamic models have been reported as well </w:t>
      </w:r>
      <w:r w:rsidR="006E2828" w:rsidRPr="008B2319">
        <w:fldChar w:fldCharType="begin" w:fldLock="1"/>
      </w:r>
      <w:r w:rsidR="0062154B" w:rsidRPr="008B2319">
        <w:instrText>ADDIN CSL_CITATION { "citationItems" : [ { "id" : "ITEM-1", "itemData" : { "DOI" : "10.1016/0378-7753(93)01833-4", "ISSN" : "03787753", "abstract" : "The mathematical simulation of a planar solid oxide fuel cell (SOFC) is presented. The model accounts for three-dimensional and time-dependent effects. Internal methane-steam reforming and recycling of the anode gas are also considered. The effects of different flow manifolding, i.e., cross-, co-, or counter-flow are discussed. After a short description of the mathematical procedure, computational results are presented. In particular the distribution of the gases, of the current density and the solid structure temperature across the cell are shown. Furthermore the effects of different flow manifolding, of radiation from the outer stack surface to the surroundings and of anode gas recycling on the operating conditions of the stack are considered. The response of the cell voltage to a load change is also discussed.", "author" : [ { "dropping-particle" : "", "family" : "Achenbach", "given" : "E.", "non-dropping-particle" : "", "parse-names" : false, "suffix" : "" } ], "container-title" : "Journal of Power Sources", "id" : "ITEM-1", "issue" : "1-3", "issued" : { "date-parts" : [ [ "1994", "4" ] ] }, "page" : "333-348", "title" : "Three-dimensional and time-dependent simulation of a planar solid oxide fuel cell stack", "type" : "article-journal", "volume" : "49" }, "uris" : [ "http://www.mendeley.com/documents/?uuid=ca6bc9d5-e6c3-458b-bb70-4ebcea88c050", "http://www.mendeley.com/documents/?uuid=3d6cfa27-5b23-464c-888a-de08e168e50e", "http://www.mendeley.com/documents/?uuid=e533b46c-0ae6-428e-8d29-171129ee6158" ] }, { "id" : "ITEM-2", "itemData" : { "author" : [ { "dropping-particle" : "", "family" : "Hall, D.J. and Colclaser", "given" : "R.G.", "non-dropping-particle" : "", "parse-names" : false, "suffix" : "" } ], "container-title" : "IEEE TRANSACTIONS ON ENERGY CONVERSION", "id" : "ITEM-2", "issued" : { "date-parts" : [ [ "1999" ] ] }, "page" : "749-753", "title" : "Transient modeling and simulation of a tubular solid oxide fuel cell", "type" : "article-journal", "volume" : "14(3)" }, "uris" : [ "http://www.mendeley.com/documents/?uuid=b62b6b5f-6041-42c8-9930-efc4de3ba4f7", "http://www.mendeley.com/documents/?uuid=745bd639-17bd-4185-a0c4-0bcccbd1981f", "http://www.mendeley.com/documents/?uuid=8b07205c-5a42-44a7-aa9e-e49ace8771c5", "http://www.mendeley.com/documents/?uuid=670a0682-e9cc-4d79-997e-7b1d2de61c82" ] }, { "id" : "ITEM-3", "itemData" : { "author" : [ { "dropping-particle" : "", "family" : "Ota", "given" : "T.", "non-dropping-particle" : "", "parse-names" : false, "suffix" : "" }, { "dropping-particle" : "", "family" : "Koyama", "given" : "M.", "non-dropping-particle" : "", "parse-names" : false, "suffix" : "" }, { "dropping-particle" : "", "family" : "Wen", "given" : "C.", "non-dropping-particle" : "", "parse-names" : false, "suffix" : "" }, { "dropping-particle" : "", "family" : "Yamada", "given" : "K.", "non-dropping-particle" : "", "parse-names" : false, "suffix" : "" }, { "dropping-particle" : "", "family" : "Takahashi", "given" : "H.", "non-dropping-particle" : "", "parse-names" : false, "suffix" : "" } ], "container-title" : "Journal of Power Sources", "id" : "ITEM-3", "issued" : { "date-parts" : [ [ "2013" ] ] }, "page" : "430-439", "title" : "Object-based modeling f SOFC system: dynamic behavior of micro tubolar SOFC", "type" : "article-journal", "volume" : "118" }, "uris" : [ "http://www.mendeley.com/documents/?uuid=04646d99-ae5b-44aa-8320-534602f17604", "http://www.mendeley.com/documents/?uuid=952aabfa-e8e3-4a50-8d57-36e6db47e757", "http://www.mendeley.com/documents/?uuid=f98b7cbe-75da-4245-a9f2-0684805af436", "http://www.mendeley.com/documents/?uuid=93ef842c-9583-44f3-aa33-a4bc5d2fcad5" ] }, { "id" : "ITEM-4", "itemData" : { "author" : [ { "dropping-particle" : "", "family" : "Petruzzi", "given" : "L", "non-dropping-particle" : "", "parse-names" : false, "suffix" : "" }, { "dropping-particle" : "", "family" : "Cocchi", "given" : "S.", "non-dropping-particle" : "", "parse-names" : false, "suffix" : "" }, { "dropping-particle" : "", "family" : "Fineschi", "given" : "F.", "non-dropping-particle" : "", "parse-names" : false, "suffix" : "" } ], "container-title" : "Journal of Power Sources", "id" : "ITEM-4", "issued" : { "date-parts" : [ [ "2003" ] ] }, "page" : "96-107", "title" : "A global thermo-electrochemical model for SOFC system design and engineering", "type" : "article-journal", "volume" : "118" }, "uris" : [ "http://www.mendeley.com/documents/?uuid=1446459d-ded1-4029-9f99-8c8fb98b09ee", "http://www.mendeley.com/documents/?uuid=314010c8-1965-46dc-96fb-00774a2d66dc", "http://www.mendeley.com/documents/?uuid=de144aa7-c84e-4200-8d15-0078c74aee1b", "http://www.mendeley.com/documents/?uuid=746c3ac6-3e9f-466c-9656-9d8cd3112864" ] }, { "id" : "ITEM-5", "itemData" : { "author" : [ { "dropping-particle" : "", "family" : "Pfafferodt", "given" : "M.", "non-dropping-particle" : "", "parse-names" : false, "suffix" : "" }, { "dropping-particle" : "", "family" : "Heiderbrecht", "given" : "P.", "non-dropping-particle" : "", "parse-names" : false, "suffix" : "" }, { "dropping-particle" : "", "family" : "Stelter", "given" : "M.", "non-dropping-particle" : "", "parse-names" : false, "suffix" : "" }, { "dropping-particle" : "", "family" : "Sundmacher", "given" : "K.", "non-dropping-particle" : "", "parse-names" : false, "suffix" : "" } ], "container-title" : "Journal of Power Sources", "id" : "ITEM-5", "issued" : { "date-parts" : [ [ "2005" ] ] }, "page" : "53-62", "title" : "Model-based prediction of suitable operating range of a SOFC for an Auxiliary", "type" : "article-journal", "volume" : "149" }, "uris" : [ "http://www.mendeley.com/documents/?uuid=1512819a-5fff-4ba8-8723-cf06743d7582", "http://www.mendeley.com/documents/?uuid=68189b3e-9d23-4f80-974a-39af6edf6d3b", "http://www.mendeley.com/documents/?uuid=d77bf4c6-dce1-4d0d-8d39-84b09c571e3e", "http://www.mendeley.com/documents/?uuid=ac4777f6-53b1-4840-9f81-ce0ef4d60407" ] }, { "id" : "ITEM-6", "itemData" : { "author" : [ { "dropping-particle" : "", "family" : "Aguiar", "given" : "P.", "non-dropping-particle" : "", "parse-names" : false, "suffix" : "" }, { "dropping-particle" : "", "family" : "Adjiman", "given" : "Cs.", "non-dropping-particle" : "", "parse-names" : false, "suffix" : "" }, { "dropping-particle" : "", "family" : "Brandon", "given" : "Np.", "non-dropping-particle" : "", "parse-names" : false, "suffix" : "" } ], "container-title" : "Journal of Power Sources", "id" : "ITEM-6", "issued" : { "date-parts" : [ [ "2004" ] ] }, "page" : "120-136", "title" : "Anode-supported intermediate temperature direct internal reforming solid oxide fuel cell", "type" : "article-journal", "volume" : "138" }, "uris" : [ "http://www.mendeley.com/documents/?uuid=e5399900-1e2a-4063-9c55-34082f3aa154", "http://www.mendeley.com/documents/?uuid=a9fa6ffc-eece-48bb-b64c-e13fc82521ec", "http://www.mendeley.com/documents/?uuid=ffee3d8b-febc-4330-803d-b5f88502db5d", "http://www.mendeley.com/documents/?uuid=08b49ceb-b14a-4281-ba97-5f0eb80e954a" ] }, { "id" : "ITEM-7", "itemData" : { "author" : [ { "dropping-particle" : "", "family" : "Xi", "given" : "H.", "non-dropping-particle" : "", "parse-names" : false, "suffix" : "" }, { "dropping-particle" : "", "family" : "Sun", "given" : "J.", "non-dropping-particle" : "", "parse-names" : false, "suffix" : "" } ], "id" : "ITEM-7", "issued" : { "date-parts" : [ [ "2005" ] ] }, "publisher-place" : "Orlando, Florida", "title" : "Proceedings of ASME International Mechanical Engineering Congress and Exposition", "type" : "paper-conference" }, "uris" : [ "http://www.mendeley.com/documents/?uuid=8c674f28-fa9a-4924-89e7-495039e1144c", "http://www.mendeley.com/documents/?uuid=8b5949ec-ead3-4411-993b-2bd4c4397a24", "http://www.mendeley.com/documents/?uuid=723d8709-94d1-45ae-aab6-23587fabba2c", "http://www.mendeley.com/documents/?uuid=42d7a6e1-b02b-45d6-8e5b-d12f75a8c77e" ] } ], "mendeley" : { "formattedCitation" : "[5]\u2013[11]", "plainTextFormattedCitation" : "[5]\u2013[11]", "previouslyFormattedCitation" : "[5]\u2013[11]" }, "properties" : { "noteIndex" : 0 }, "schema" : "https://github.com/citation-style-language/schema/raw/master/csl-citation.json" }</w:instrText>
      </w:r>
      <w:r w:rsidR="006E2828" w:rsidRPr="008B2319">
        <w:fldChar w:fldCharType="separate"/>
      </w:r>
      <w:r w:rsidR="0062154B" w:rsidRPr="008B2319">
        <w:rPr>
          <w:noProof/>
        </w:rPr>
        <w:t>[5]–[11]</w:t>
      </w:r>
      <w:r w:rsidR="006E2828" w:rsidRPr="008B2319">
        <w:fldChar w:fldCharType="end"/>
      </w:r>
      <w:r w:rsidR="006E2828" w:rsidRPr="008B2319">
        <w:t xml:space="preserve">. Various mathematical models based on mass, energy and momentum conservation laws and statistical data-driven models of the SOFC system have been </w:t>
      </w:r>
      <w:r w:rsidR="002F5E54" w:rsidRPr="008B2319">
        <w:t>proposed</w:t>
      </w:r>
      <w:r w:rsidR="00AC7ED4" w:rsidRPr="008B2319">
        <w:t xml:space="preserve"> </w:t>
      </w:r>
      <w:r w:rsidR="006E2828" w:rsidRPr="008B2319">
        <w:fldChar w:fldCharType="begin" w:fldLock="1"/>
      </w:r>
      <w:r w:rsidR="0062154B" w:rsidRPr="008B2319">
        <w:instrText>ADDIN CSL_CITATION { "citationItems" : [ { "id" : "ITEM-1", "itemData" : { "author" : [ { "dropping-particle" : "", "family" : "Bove", "given" : "R.", "non-dropping-particle" : "", "parse-names" : false, "suffix" : "" }, { "dropping-particle" : "", "family" : "Lunghi", "given" : "P.", "non-dropping-particle" : "", "parse-names" : false, "suffix" : "" }, { "dropping-particle" : "", "family" : "Sammes", "given" : "N.M.", "non-dropping-particle" : "", "parse-names" : false, "suffix" : "" } ], "container-title" : "J. Hydrogen Energy", "id" : "ITEM-1", "issued" : { "date-parts" : [ [ "2005" ] ] }, "page" : "189-200", "title" : "SOFC mathematic model for systems simulations\u2013Part 2: Definition of an analytical model", "type" : "article-journal", "volume" : "30" }, "uris" : [ "http://www.mendeley.com/documents/?uuid=ba26caca-8863-4c3e-9f48-152d780d1de9", "http://www.mendeley.com/documents/?uuid=aad07ec4-6f0c-4bf2-a133-e4d9ac496206", "http://www.mendeley.com/documents/?uuid=311d9234-a550-4a63-83c8-9161c47e9d96", "http://www.mendeley.com/documents/?uuid=afd91931-3ad5-4905-bc8d-a12b172d9ff2" ] }, { "id" : "ITEM-2", "itemData" : { "author" : [ { "dropping-particle" : "", "family" : "Recknagle", "given" : "K.P.", "non-dropping-particle" : "", "parse-names" : false, "suffix" : "" }, { "dropping-particle" : "", "family" : "Williford", "given" : "R.E.", "non-dropping-particle" : "", "parse-names" : false, "suffix" : "" }, { "dropping-particle" : "", "family" : "Chick", "given" : "L.A.", "non-dropping-particle" : "", "parse-names" : false, "suffix" : "" }, { "dropping-particle" : "", "family" : "Rector", "given" : "D.R.", "non-dropping-particle" : "", "parse-names" : false, "suffix" : "" } ], "container-title" : "J. Power Sources", "id" : "ITEM-2", "issued" : { "date-parts" : [ [ "2003" ] ] }, "page" : "109-114", "title" : "Three-dimensional thermo-fluid electrochemical modeling of planar SOFC stacks,", "type" : "article-journal", "volume" : "113 (1)" }, "uris" : [ "http://www.mendeley.com/documents/?uuid=26d35254-e826-407c-ac2e-23a21ec0124c", "http://www.mendeley.com/documents/?uuid=53bc0aa9-0ae5-448d-8bbd-a1f6f265d39a", "http://www.mendeley.com/documents/?uuid=683c7710-9a65-44db-b155-7119eed6b0dc", "http://www.mendeley.com/documents/?uuid=bb82e14f-aa7f-4ed3-ac53-500ee35e1178" ] }, { "id" : "ITEM-3", "itemData" : { "author" : [ { "dropping-particle" : "", "family" : "Arriagada", "given" : "J.", "non-dropping-particle" : "", "parse-names" : false, "suffix" : "" }, { "dropping-particle" : "", "family" : "Olausson", "given" : "P.", "non-dropping-particle" : "", "parse-names" : false, "suffix" : "" }, { "dropping-particle" : "", "family" : "Selimovic", "given" : "A.", "non-dropping-particle" : "", "parse-names" : false, "suffix" : "" } ], "container-title" : "J. Power Sources", "id" : "ITEM-3", "issued" : { "date-parts" : [ [ "2002" ] ] }, "page" : "54-60", "title" : "Artificial neural network simulator for SOFC performance prediction", "type" : "article-journal", "volume" : "112" }, "uris" : [ "http://www.mendeley.com/documents/?uuid=a066838b-fd07-4e93-9ac4-6ca2d8179388", "http://www.mendeley.com/documents/?uuid=580800ca-d9ab-4d53-a1f7-28bcd60e9952", "http://www.mendeley.com/documents/?uuid=73ae78a1-9cf0-4806-9af2-561c14ac898e", "http://www.mendeley.com/documents/?uuid=09092d54-019c-4046-be8c-95588108bbf1" ] }, { "id" : "ITEM-4", "itemData" : { "author" : [ { "dropping-particle" : "", "family" : "Wu", "given" : "Xiao-Juan", "non-dropping-particle" : "", "parse-names" : false, "suffix" : "" }, { "dropping-particle" : "", "family" : "Zhu", "given" : "Xin-Jian", "non-dropping-particle" : "", "parse-names" : false, "suffix" : "" }, { "dropping-particle" : "", "family" : "Cao", "given" : "Guang-Yi", "non-dropping-particle" : "", "parse-names" : false, "suffix" : "" }, { "dropping-particle" : "", "family" : "Tu", "given" : "Heng-Yong", "non-dropping-particle" : "", "parse-names" : false, "suffix" : "" } ], "container-title" : "J. Power Sources", "id" : "ITEM-4", "issued" : { "date-parts" : [ [ "2007" ] ] }, "page" : "145-150", "title" : "Modeling a SOFC stack based on GA-RBF neural networks identification", "type" : "article-journal", "volume" : "167 (1)" }, "uris" : [ "http://www.mendeley.com/documents/?uuid=63b90401-f6b1-4cf6-9c51-dc04c0c584a7", "http://www.mendeley.com/documents/?uuid=5c4741ed-ff5c-408c-af3d-0d2ebd596c82", "http://www.mendeley.com/documents/?uuid=a2205dda-d45f-4bb2-ba76-366590422278", "http://www.mendeley.com/documents/?uuid=ee912332-9c7f-4154-ad97-2c48f631e9c3" ] } ], "mendeley" : { "formattedCitation" : "[12]\u2013[15]", "plainTextFormattedCitation" : "[12]\u2013[15]", "previouslyFormattedCitation" : "[12]\u2013[15]" }, "properties" : { "noteIndex" : 0 }, "schema" : "https://github.com/citation-style-language/schema/raw/master/csl-citation.json" }</w:instrText>
      </w:r>
      <w:r w:rsidR="006E2828" w:rsidRPr="008B2319">
        <w:fldChar w:fldCharType="separate"/>
      </w:r>
      <w:r w:rsidR="0062154B" w:rsidRPr="008B2319">
        <w:rPr>
          <w:noProof/>
        </w:rPr>
        <w:t>[12]–[15]</w:t>
      </w:r>
      <w:r w:rsidR="006E2828" w:rsidRPr="008B2319">
        <w:fldChar w:fldCharType="end"/>
      </w:r>
      <w:r w:rsidR="006E2828" w:rsidRPr="008B2319">
        <w:t>.</w:t>
      </w:r>
    </w:p>
    <w:p w14:paraId="1EFD0A5D" w14:textId="77777777" w:rsidR="006E2828" w:rsidRPr="008B2319" w:rsidRDefault="006E2828" w:rsidP="003C3397">
      <w:r w:rsidRPr="008B2319">
        <w:t xml:space="preserve">Most of these algorithms are suitable only for steady state performance analysis, whereas they are not suitable for the study of complex integrated power systems in which the monitoring of real-time plant performance </w:t>
      </w:r>
      <w:r w:rsidR="0087171B" w:rsidRPr="008B2319">
        <w:t xml:space="preserve">(on load tracking) </w:t>
      </w:r>
      <w:r w:rsidRPr="008B2319">
        <w:t xml:space="preserve">and its impact on power quality </w:t>
      </w:r>
      <w:r w:rsidR="0087171B" w:rsidRPr="008B2319">
        <w:t xml:space="preserve">are </w:t>
      </w:r>
      <w:r w:rsidRPr="008B2319">
        <w:t>required.</w:t>
      </w:r>
    </w:p>
    <w:p w14:paraId="026F73BE" w14:textId="2B670C63" w:rsidR="00E64206" w:rsidRPr="008B2319" w:rsidRDefault="00393BA4" w:rsidP="00C77EFE">
      <w:r w:rsidRPr="008B2319">
        <w:t>Mathematical</w:t>
      </w:r>
      <w:r w:rsidR="006E2828" w:rsidRPr="008B2319">
        <w:t xml:space="preserve"> model</w:t>
      </w:r>
      <w:r w:rsidR="0087171B" w:rsidRPr="008B2319">
        <w:t>s</w:t>
      </w:r>
      <w:r w:rsidR="006E2828" w:rsidRPr="008B2319">
        <w:t xml:space="preserve"> of</w:t>
      </w:r>
      <w:r w:rsidR="006B7FA5" w:rsidRPr="008B2319">
        <w:t xml:space="preserve"> the</w:t>
      </w:r>
      <w:r w:rsidR="006E2828" w:rsidRPr="008B2319">
        <w:t xml:space="preserve"> </w:t>
      </w:r>
      <w:r w:rsidR="006E2828" w:rsidRPr="008B2319">
        <w:rPr>
          <w:noProof/>
        </w:rPr>
        <w:t>dynamic</w:t>
      </w:r>
      <w:r w:rsidR="006E2828" w:rsidRPr="008B2319">
        <w:t xml:space="preserve"> </w:t>
      </w:r>
      <w:r w:rsidR="006E2828" w:rsidRPr="008B2319">
        <w:rPr>
          <w:noProof/>
        </w:rPr>
        <w:t>behavior</w:t>
      </w:r>
      <w:r w:rsidR="006E2828" w:rsidRPr="008B2319">
        <w:t xml:space="preserve"> of the SOFC have been proposed </w:t>
      </w:r>
      <w:r w:rsidRPr="008B2319">
        <w:t xml:space="preserve"> already</w:t>
      </w:r>
      <w:r w:rsidR="00AA298D" w:rsidRPr="008B2319">
        <w:t xml:space="preserve"> in the literature </w:t>
      </w:r>
      <w:r w:rsidR="00AA298D" w:rsidRPr="008B2319">
        <w:fldChar w:fldCharType="begin" w:fldLock="1"/>
      </w:r>
      <w:r w:rsidR="00C55C62" w:rsidRPr="008B2319">
        <w:instrText>ADDIN CSL_CITATION { "citationItems" : [ { "id" : "ITEM-1", "itemData" : { "DOI" : "10.1016/j.jpowsour.2005.07.077", "ISSN" : "03787753", "abstract" : "A two-dimensional transient simulation model for a cascaded (10 cascades) micro-tubular solid oxide fuel cell (SOFC) and a common micro-tubular SOFC with a preheater tub was developed to calculate the distribution of gas species, the local current, voltage and temperature. The goal was to compare these two different SOFC designs under steady state and load change conditions with respect to power density. Steady state simulation results have shown that the cascaded cell concept is able to operate at higher average cell voltages in principle. Compared to the cascaded cell concept the average ohmic anodic and cathodic resistance of the common cell has to be 84 times lower to reach the same average power density at an average voltage of 0.7 V. The cascaded cell concept gives the opportunity to operate at a higher average voltage than the lowest Nernst voltage offers. This could be interesting to realize high fuel utilization (&gt;85%). Transient simulation results have shown that both cell concepts respond within 10 s on an electrical load change. The cascaded cell concept has shown a lower temporary voltage drop than the common cell concept. This paper describes the theory, solution techniques and results. ?? 2005 Elsevier B.V. All rights reserved.", "author" : [ { "dropping-particle" : "", "family" : "Nehter", "given" : "Pedro", "non-dropping-particle" : "", "parse-names" : false, "suffix" : "" } ], "container-title" : "Journal of Power Sources", "id" : "ITEM-1", "issue" : "1", "issued" : { "date-parts" : [ [ "2006" ] ] }, "page" : "325-334", "title" : "Two-dimensional transient model of a cascaded micro-tubular solid oxide fuel cell fed with methane", "type" : "article-journal", "volume" : "157" }, "uris" : [ "http://www.mendeley.com/documents/?uuid=85305a04-03e2-401d-8238-347d7fc26f34", "http://www.mendeley.com/documents/?uuid=d7024975-7eda-4c6a-b36c-7d0e9772bee7", "http://www.mendeley.com/documents/?uuid=3f2f527c-e3c0-4dc3-99fc-d3f17fcc1ecc", "http://www.mendeley.com/documents/?uuid=aca08586-fa7f-4ae3-838b-e1146a9bbde1" ] }, { "id" : "ITEM-2", "itemData" : { "author" : [ { "dropping-particle" : "", "family" : "Padulles", "given" : "J.", "non-dropping-particle" : "", "parse-names" : false, "suffix" : "" }, { "dropping-particle" : "", "family" : "Ault", "given" : "G.W.", "non-dropping-particle" : "", "parse-names" : false, "suffix" : "" }, { "dropping-particle" : "", "family" : "McDonald", "given" : "J.R.", "non-dropping-particle" : "", "parse-names" : false, "suffix" : "" } ], "container-title" : "J. Power Sources", "id" : "ITEM-2", "issued" : { "date-parts" : [ [ "2000" ] ] }, "page" : "495-500", "title" : "An integrated SOFC plant dynamic model for power systems simulation", "type" : "article-journal", "volume" : "86 (1-2)" }, "uris" : [ "http://www.mendeley.com/documents/?uuid=9879b431-efc8-4e7a-b97c-57865a3611e8", "http://www.mendeley.com/documents/?uuid=6b478b69-0d2e-4510-8d8a-cddd53aa62b9", "http://www.mendeley.com/documents/?uuid=63b6bd48-e2e5-4a97-ac63-0d0824b45517", "http://www.mendeley.com/documents/?uuid=f638a173-7f8c-468b-aed4-f18957827dac" ] }, { "id" : "ITEM-3", "itemData" : { "author" : [ { "dropping-particle" : "", "family" : "Hall", "given" : "D.J.", "non-dropping-particle" : "", "parse-names" : false, "suffix" : "" }, { "dropping-particle" : "", "family" : "Colclaser", "given" : "R.G.", "non-dropping-particle" : "", "parse-names" : false, "suffix" : "" } ], "container-title" : "IEEE TRANSACTIONS ON ENERGY CONVERSION", "id" : "ITEM-3", "issued" : { "date-parts" : [ [ "1999" ] ] }, "page" : "749-753", "title" : "Transient modeling and simulation of a tubular solid oxide fuel cell", "type" : "article-journal", "volume" : "14 (3)" }, "uris" : [ "http://www.mendeley.com/documents/?uuid=af890a07-6a09-4096-97c4-51d3961a9e66", "http://www.mendeley.com/documents/?uuid=9ecedcb6-4f6e-49fb-8d06-1fd297d92ed0", "http://www.mendeley.com/documents/?uuid=5a2d601d-7ebb-4fd5-8757-092a6dfb0167", "http://www.mendeley.com/documents/?uuid=f48e4ab0-77e0-40ea-8438-c80893469346" ] } ], "mendeley" : { "formattedCitation" : "[16]\u2013[18]", "plainTextFormattedCitation" : "[16]\u2013[18]", "previouslyFormattedCitation" : "[16]\u2013[18]" }, "properties" : { "noteIndex" : 0 }, "schema" : "https://github.com/citation-style-language/schema/raw/master/csl-citation.json" }</w:instrText>
      </w:r>
      <w:r w:rsidR="00AA298D" w:rsidRPr="008B2319">
        <w:fldChar w:fldCharType="separate"/>
      </w:r>
      <w:r w:rsidR="00AA298D" w:rsidRPr="008B2319">
        <w:rPr>
          <w:noProof/>
        </w:rPr>
        <w:t>[16]–[18]</w:t>
      </w:r>
      <w:r w:rsidR="00AA298D" w:rsidRPr="008B2319">
        <w:fldChar w:fldCharType="end"/>
      </w:r>
      <w:r w:rsidR="00AA298D" w:rsidRPr="008B2319">
        <w:t>.</w:t>
      </w:r>
      <w:r w:rsidR="00C55C62" w:rsidRPr="008B2319">
        <w:t xml:space="preserve"> Hall proposed a dynamic model of a single tubular cell </w:t>
      </w:r>
      <w:r w:rsidR="00C55C62" w:rsidRPr="008B2319">
        <w:fldChar w:fldCharType="begin" w:fldLock="1"/>
      </w:r>
      <w:r w:rsidR="00C55C62" w:rsidRPr="008B2319">
        <w:instrText>ADDIN CSL_CITATION { "citationItems" : [ { "id" : "ITEM-1", "itemData" : { "author" : [ { "dropping-particle" : "", "family" : "Hall", "given" : "D.J.", "non-dropping-particle" : "", "parse-names" : false, "suffix" : "" }, { "dropping-particle" : "", "family" : "Colclaser", "given" : "R.G.", "non-dropping-particle" : "", "parse-names" : false, "suffix" : "" } ], "container-title" : "IEEE TRANSACTIONS ON ENERGY CONVERSION", "id" : "ITEM-1", "issued" : { "date-parts" : [ [ "1999" ] ] }, "page" : "749-753", "title" : "Transient modeling and simulation of a tubular solid oxide fuel cell", "type" : "article-journal", "volume" : "14 (3)" }, "uris" : [ "http://www.mendeley.com/documents/?uuid=af890a07-6a09-4096-97c4-51d3961a9e66", "http://www.mendeley.com/documents/?uuid=9ecedcb6-4f6e-49fb-8d06-1fd297d92ed0", "http://www.mendeley.com/documents/?uuid=5a2d601d-7ebb-4fd5-8757-092a6dfb0167", "http://www.mendeley.com/documents/?uuid=f48e4ab0-77e0-40ea-8438-c80893469346" ] } ], "mendeley" : { "formattedCitation" : "[18]", "plainTextFormattedCitation" : "[18]", "previouslyFormattedCitation" : "[18]" }, "properties" : { "noteIndex" : 0 }, "schema" : "https://github.com/citation-style-language/schema/raw/master/csl-citation.json" }</w:instrText>
      </w:r>
      <w:r w:rsidR="00C55C62" w:rsidRPr="008B2319">
        <w:fldChar w:fldCharType="separate"/>
      </w:r>
      <w:r w:rsidR="00C55C62" w:rsidRPr="008B2319">
        <w:rPr>
          <w:noProof/>
        </w:rPr>
        <w:t>[18]</w:t>
      </w:r>
      <w:r w:rsidR="00C55C62" w:rsidRPr="008B2319">
        <w:fldChar w:fldCharType="end"/>
      </w:r>
      <w:r w:rsidR="00C55C62" w:rsidRPr="008B2319">
        <w:t>.</w:t>
      </w:r>
      <w:r w:rsidR="00AA298D" w:rsidRPr="008B2319">
        <w:t xml:space="preserve"> </w:t>
      </w:r>
      <w:r w:rsidR="00C55C62" w:rsidRPr="008B2319">
        <w:rPr>
          <w:noProof/>
        </w:rPr>
        <w:t>Nehter</w:t>
      </w:r>
      <w:r w:rsidR="00C55C62" w:rsidRPr="008B2319">
        <w:t xml:space="preserve"> et al. </w:t>
      </w:r>
      <w:r w:rsidR="00C55C62" w:rsidRPr="008B2319">
        <w:rPr>
          <w:noProof/>
        </w:rPr>
        <w:t>[16]</w:t>
      </w:r>
      <w:r w:rsidR="00C55C62" w:rsidRPr="008B2319">
        <w:t xml:space="preserve"> extended the dynamic </w:t>
      </w:r>
      <w:r w:rsidR="00C55C62" w:rsidRPr="008B2319">
        <w:rPr>
          <w:noProof/>
        </w:rPr>
        <w:t>modeling</w:t>
      </w:r>
      <w:r w:rsidR="00C55C62" w:rsidRPr="008B2319">
        <w:t xml:space="preserve"> approach </w:t>
      </w:r>
      <w:r w:rsidR="00E64206" w:rsidRPr="008B2319">
        <w:t>toward a</w:t>
      </w:r>
      <w:r w:rsidR="00C55C62" w:rsidRPr="008B2319">
        <w:t xml:space="preserve"> two-dimensional transient model of a multi-cell system consisting of micro-tubular cells arranged in a cascade configuration. However, large (of approx. 250 K) thermal gradients were calculated</w:t>
      </w:r>
      <w:r w:rsidR="00E64206" w:rsidRPr="008B2319">
        <w:t xml:space="preserve"> for this configuration</w:t>
      </w:r>
      <w:r w:rsidR="00C55C62" w:rsidRPr="008B2319">
        <w:t>.</w:t>
      </w:r>
      <w:r w:rsidR="006E6138" w:rsidRPr="008B2319">
        <w:t xml:space="preserve"> </w:t>
      </w:r>
      <w:r w:rsidR="00353863" w:rsidRPr="008B2319">
        <w:t xml:space="preserve">Huangfu et al. </w:t>
      </w:r>
      <w:r w:rsidR="00353863" w:rsidRPr="008B2319">
        <w:fldChar w:fldCharType="begin" w:fldLock="1"/>
      </w:r>
      <w:r w:rsidR="002F59CE" w:rsidRPr="008B2319">
        <w:instrText>ADDIN CSL_CITATION { "citationItems" : [ { "id" : "ITEM-1", "itemData" : { "DOI" : "10.1016/j.enconman.2013.03.029", "ISBN" : "0196-8904", "ISSN" : "01968904", "abstract" : "In this paper, a multiphysics solid oxide fuel cell (SOFC) dynamic model is developed by using a one dimensional (1D) modeling approach. The dynamic effects of double layer capacitance on the electrochemical domain and the dynamic effect of thermal capacity on thermal domain are thoroughly considered. The 1D approach allows the model to predict the non-uniform distributions of current density, gas pressure and temperature in SOFC during its operation. The developed model has been experimentally validated, under different conditions of temperature and gas pressure. Based on the proposed model, the explicit time constant expressions for different dynamic phenomena in SOFC have been given and discussed in detail. A parameters sensitivity study has also been performed and discussed by using statistical Multi Parameter Sensitivity Analysis (MPSA) method, in order to investigate the impact of parameters on the modeling accuracy. ?? 2013 Elsevier Ltd. All rights reserved.", "author" : [ { "dropping-particle" : "", "family" : "Huangfu", "given" : "Yigeng", "non-dropping-particle" : "", "parse-names" : false, "suffix" : "" }, { "dropping-particle" : "", "family" : "Gao", "given" : "Fei", "non-dropping-particle" : "", "parse-names" : false, "suffix" : "" }, { "dropping-particle" : "", "family" : "Abbas-Turki", "given" : "Abdeljalil", "non-dropping-particle" : "", "parse-names" : false, "suffix" : "" }, { "dropping-particle" : "", "family" : "Bouquain", "given" : "David", "non-dropping-particle" : "", "parse-names" : false, "suffix" : "" }, { "dropping-particle" : "", "family" : "Miraoui", "given" : "Abdellatif", "non-dropping-particle" : "", "parse-names" : false, "suffix" : "" } ], "container-title" : "Energy Conversion and Management", "id" : "ITEM-1", "issued" : { "date-parts" : [ [ "2013" ] ] }, "page" : "172-185", "publisher" : "Elsevier Ltd", "title" : "Transient dynamic and modeling parameter sensitivity analysis of 1D solid oxide fuel cell model", "type" : "article-journal", "volume" : "71" }, "uris" : [ "http://www.mendeley.com/documents/?uuid=85e71d5f-c6af-4276-8777-e3706b2d5fb7" ] } ], "mendeley" : { "formattedCitation" : "[19]", "plainTextFormattedCitation" : "[19]", "previouslyFormattedCitation" : "[19]" }, "properties" : { "noteIndex" : 0 }, "schema" : "https://github.com/citation-style-language/schema/raw/master/csl-citation.json" }</w:instrText>
      </w:r>
      <w:r w:rsidR="00353863" w:rsidRPr="008B2319">
        <w:fldChar w:fldCharType="separate"/>
      </w:r>
      <w:r w:rsidR="00353863" w:rsidRPr="008B2319">
        <w:rPr>
          <w:noProof/>
        </w:rPr>
        <w:t>[19]</w:t>
      </w:r>
      <w:r w:rsidR="00353863" w:rsidRPr="008B2319">
        <w:fldChar w:fldCharType="end"/>
      </w:r>
      <w:r w:rsidR="00353863" w:rsidRPr="008B2319">
        <w:t xml:space="preserve"> provided a transient 1-dimensional model of a tubular SOFC that was able to predict the non-uniform distributions of current density, gas composition and temperature </w:t>
      </w:r>
      <w:r w:rsidR="00353863" w:rsidRPr="008B2319">
        <w:rPr>
          <w:noProof/>
        </w:rPr>
        <w:t>across</w:t>
      </w:r>
      <w:r w:rsidR="00353863" w:rsidRPr="008B2319">
        <w:t xml:space="preserve"> the fuel cell. </w:t>
      </w:r>
      <w:r w:rsidR="00C55C62" w:rsidRPr="008B2319">
        <w:t xml:space="preserve">Padulles et al. </w:t>
      </w:r>
      <w:r w:rsidR="00C55C62" w:rsidRPr="008B2319">
        <w:fldChar w:fldCharType="begin" w:fldLock="1"/>
      </w:r>
      <w:r w:rsidR="000D21AC" w:rsidRPr="008B2319">
        <w:instrText>ADDIN CSL_CITATION { "citationItems" : [ { "id" : "ITEM-1", "itemData" : { "author" : [ { "dropping-particle" : "", "family" : "Padulles", "given" : "J.", "non-dropping-particle" : "", "parse-names" : false, "suffix" : "" }, { "dropping-particle" : "", "family" : "Ault", "given" : "G.W.", "non-dropping-particle" : "", "parse-names" : false, "suffix" : "" }, { "dropping-particle" : "", "family" : "McDonald", "given" : "J.R.", "non-dropping-particle" : "", "parse-names" : false, "suffix" : "" } ], "container-title" : "J. Power Sources", "id" : "ITEM-1", "issued" : { "date-parts" : [ [ "2000" ] ] }, "page" : "495-500", "title" : "An integrated SOFC plant dynamic model for power systems simulation", "type" : "article-journal", "volume" : "86 (1-2)" }, "uris" : [ "http://www.mendeley.com/documents/?uuid=9879b431-efc8-4e7a-b97c-57865a3611e8", "http://www.mendeley.com/documents/?uuid=6b478b69-0d2e-4510-8d8a-cddd53aa62b9", "http://www.mendeley.com/documents/?uuid=63b6bd48-e2e5-4a97-ac63-0d0824b45517", "http://www.mendeley.com/documents/?uuid=f638a173-7f8c-468b-aed4-f18957827dac" ] } ], "mendeley" : { "formattedCitation" : "[17]", "plainTextFormattedCitation" : "[17]", "previouslyFormattedCitation" : "[17]" }, "properties" : { "noteIndex" : 0 }, "schema" : "https://github.com/citation-style-language/schema/raw/master/csl-citation.json" }</w:instrText>
      </w:r>
      <w:r w:rsidR="00C55C62" w:rsidRPr="008B2319">
        <w:fldChar w:fldCharType="separate"/>
      </w:r>
      <w:r w:rsidR="00C55C62" w:rsidRPr="008B2319">
        <w:rPr>
          <w:noProof/>
        </w:rPr>
        <w:t>[17]</w:t>
      </w:r>
      <w:r w:rsidR="00C55C62" w:rsidRPr="008B2319">
        <w:fldChar w:fldCharType="end"/>
      </w:r>
      <w:r w:rsidR="006E6138" w:rsidRPr="008B2319">
        <w:t xml:space="preserve"> provided a mathematical </w:t>
      </w:r>
      <w:r w:rsidR="00E64206" w:rsidRPr="008B2319">
        <w:t>description</w:t>
      </w:r>
      <w:r w:rsidR="006E6138" w:rsidRPr="008B2319">
        <w:t xml:space="preserve"> </w:t>
      </w:r>
      <w:r w:rsidR="00E64206" w:rsidRPr="008B2319">
        <w:t>of</w:t>
      </w:r>
      <w:r w:rsidR="006E6138" w:rsidRPr="008B2319">
        <w:t xml:space="preserve"> the control system of an SOFC </w:t>
      </w:r>
      <w:r w:rsidR="006E6138" w:rsidRPr="008B2319">
        <w:rPr>
          <w:noProof/>
        </w:rPr>
        <w:t>unit</w:t>
      </w:r>
      <w:r w:rsidR="00832878" w:rsidRPr="008B2319">
        <w:rPr>
          <w:noProof/>
        </w:rPr>
        <w:t>. H</w:t>
      </w:r>
      <w:r w:rsidR="006E6138" w:rsidRPr="008B2319">
        <w:rPr>
          <w:noProof/>
        </w:rPr>
        <w:t>owever</w:t>
      </w:r>
      <w:r w:rsidR="00832878" w:rsidRPr="008B2319">
        <w:rPr>
          <w:noProof/>
        </w:rPr>
        <w:t>,</w:t>
      </w:r>
      <w:r w:rsidR="006E6138" w:rsidRPr="008B2319">
        <w:t xml:space="preserve"> the thermal response of fuel cell was not included in </w:t>
      </w:r>
      <w:r w:rsidR="00E64206" w:rsidRPr="008B2319">
        <w:t>his work</w:t>
      </w:r>
      <w:r w:rsidR="006E6138" w:rsidRPr="008B2319">
        <w:t>.</w:t>
      </w:r>
      <w:r w:rsidR="00353863" w:rsidRPr="008B2319">
        <w:t xml:space="preserve"> </w:t>
      </w:r>
      <w:r w:rsidR="00DB058E" w:rsidRPr="008B2319">
        <w:t xml:space="preserve">Achenbach </w:t>
      </w:r>
      <w:r w:rsidR="00DB058E" w:rsidRPr="008B2319">
        <w:fldChar w:fldCharType="begin" w:fldLock="1"/>
      </w:r>
      <w:r w:rsidR="00DB058E" w:rsidRPr="008B2319">
        <w:instrText>ADDIN CSL_CITATION { "citationItems" : [ { "id" : "ITEM-1", "itemData" : { "DOI" : "10.1016/0378-7753(93)01833-4", "ISSN" : "03787753", "abstract" : "The mathematical simulation of a planar solid oxide fuel cell (SOFC) is presented. The model accounts for three-dimensional and time-dependent effects. Internal methane-steam reforming and recycling of the anode gas are also considered. The effects of different flow manifolding, i.e., cross-, co-, or counter-flow are discussed. After a short description of the mathematical procedure, computational results are presented. In particular the distribution of the gases, of the current density and the solid structure temperature across the cell are shown. Furthermore the effects of different flow manifolding, of radiation from the outer stack surface to the surroundings and of anode gas recycling on the operating conditions of the stack are considered. The response of the cell voltage to a load change is also discussed.", "author" : [ { "dropping-particle" : "", "family" : "Achenbach", "given" : "E.", "non-dropping-particle" : "", "parse-names" : false, "suffix" : "" } ], "container-title" : "Journal of Power Sources", "id" : "ITEM-1", "issue" : "1-3", "issued" : { "date-parts" : [ [ "1994", "4" ] ] }, "page" : "333-348", "title" : "Three-dimensional and time-dependent simulation of a planar solid oxide fuel cell stack", "type" : "article-journal", "volume" : "49" }, "uris" : [ "http://www.mendeley.com/documents/?uuid=e533b46c-0ae6-428e-8d29-171129ee6158", "http://www.mendeley.com/documents/?uuid=3d6cfa27-5b23-464c-888a-de08e168e50e", "http://www.mendeley.com/documents/?uuid=ca6bc9d5-e6c3-458b-bb70-4ebcea88c050" ] } ], "mendeley" : { "formattedCitation" : "[5]", "plainTextFormattedCitation" : "[5]", "previouslyFormattedCitation" : "[5]" }, "properties" : { "noteIndex" : 0 }, "schema" : "https://github.com/citation-style-language/schema/raw/master/csl-citation.json" }</w:instrText>
      </w:r>
      <w:r w:rsidR="00DB058E" w:rsidRPr="008B2319">
        <w:fldChar w:fldCharType="separate"/>
      </w:r>
      <w:r w:rsidR="00DB058E" w:rsidRPr="008B2319">
        <w:rPr>
          <w:noProof/>
        </w:rPr>
        <w:t>[5]</w:t>
      </w:r>
      <w:r w:rsidR="00DB058E" w:rsidRPr="008B2319">
        <w:fldChar w:fldCharType="end"/>
      </w:r>
      <w:r w:rsidR="00DB058E" w:rsidRPr="008B2319">
        <w:t xml:space="preserve"> formulated a three-dimensional time-dependent model of an SOFC stack. </w:t>
      </w:r>
      <w:r w:rsidR="00A81F9B" w:rsidRPr="008B2319">
        <w:t xml:space="preserve">Different internal flow configurations and </w:t>
      </w:r>
      <w:r w:rsidR="00832878" w:rsidRPr="008B2319">
        <w:rPr>
          <w:noProof/>
        </w:rPr>
        <w:t>internal methane</w:t>
      </w:r>
      <w:r w:rsidR="00A81F9B" w:rsidRPr="008B2319">
        <w:t xml:space="preserve"> reforming were assessed in his model. The time constants of the stack were calculated showing how load changes </w:t>
      </w:r>
      <w:r w:rsidR="00A81F9B" w:rsidRPr="008B2319">
        <w:rPr>
          <w:noProof/>
        </w:rPr>
        <w:t>entail</w:t>
      </w:r>
      <w:r w:rsidR="00A81F9B" w:rsidRPr="008B2319">
        <w:t xml:space="preserve"> a response time of 5 minutes. </w:t>
      </w:r>
      <w:r w:rsidR="006B05B5" w:rsidRPr="008B2319">
        <w:t xml:space="preserve">Achenbach </w:t>
      </w:r>
      <w:r w:rsidR="006B05B5" w:rsidRPr="008B2319">
        <w:fldChar w:fldCharType="begin" w:fldLock="1"/>
      </w:r>
      <w:r w:rsidR="002F59CE" w:rsidRPr="008B2319">
        <w:instrText>ADDIN CSL_CITATION { "citationItems" : [ { "id" : "ITEM-1", "itemData" : { "author" : [ { "dropping-particle" : "", "family" : "Achenbach", "given" : "E.", "non-dropping-particle" : "", "parse-names" : false, "suffix" : "" } ], "container-title" : "J. Power Sources", "id" : "ITEM-1", "issued" : { "date-parts" : [ [ "1995" ] ] }, "page" : "105-109", "title" : "Response of a solid oxide fuel cell to load change", "type" : "article-journal", "volume" : "57" }, "uris" : [ "http://www.mendeley.com/documents/?uuid=e1709643-2c8c-46ea-9c27-6d1f635db76c", "http://www.mendeley.com/documents/?uuid=f1461067-40a4-4315-ba90-7519ce7e5f44", "http://www.mendeley.com/documents/?uuid=1e6f6b1e-78a5-41ce-9580-8f2e09a9d997", "http://www.mendeley.com/documents/?uuid=26102a58-958f-4a28-b626-6eabe520b4f6" ] } ], "mendeley" : { "formattedCitation" : "[20]", "plainTextFormattedCitation" : "[20]", "previouslyFormattedCitation" : "[20]" }, "properties" : { "noteIndex" : 0 }, "schema" : "https://github.com/citation-style-language/schema/raw/master/csl-citation.json" }</w:instrText>
      </w:r>
      <w:r w:rsidR="006B05B5" w:rsidRPr="008B2319">
        <w:fldChar w:fldCharType="separate"/>
      </w:r>
      <w:r w:rsidR="00353863" w:rsidRPr="008B2319">
        <w:rPr>
          <w:noProof/>
        </w:rPr>
        <w:t>[20]</w:t>
      </w:r>
      <w:r w:rsidR="006B05B5" w:rsidRPr="008B2319">
        <w:fldChar w:fldCharType="end"/>
      </w:r>
      <w:r w:rsidR="006B05B5" w:rsidRPr="008B2319">
        <w:t xml:space="preserve"> extended further the study of load changes on the transient </w:t>
      </w:r>
      <w:r w:rsidR="006B05B5" w:rsidRPr="008B2319">
        <w:rPr>
          <w:noProof/>
        </w:rPr>
        <w:t>behavior</w:t>
      </w:r>
      <w:r w:rsidR="006B05B5" w:rsidRPr="008B2319">
        <w:t xml:space="preserve"> of the SOFC by simulating the impact of </w:t>
      </w:r>
      <w:r w:rsidR="006B05B5" w:rsidRPr="008B2319">
        <w:lastRenderedPageBreak/>
        <w:t xml:space="preserve">fast load changes. </w:t>
      </w:r>
      <w:r w:rsidR="00D12DC5" w:rsidRPr="008B2319">
        <w:t xml:space="preserve">Results showed how a step load change produces a temperature overshoot followed by a relaxation time whose duration depends on the thermal properties, size and geometrical and flow configuration of the cell. However, no attempts </w:t>
      </w:r>
      <w:r w:rsidR="00832878" w:rsidRPr="008B2319">
        <w:rPr>
          <w:noProof/>
        </w:rPr>
        <w:t>at</w:t>
      </w:r>
      <w:r w:rsidR="00D12DC5" w:rsidRPr="008B2319">
        <w:t xml:space="preserve"> establishing the effects of a control loop on the cathode air flow rate to moderate the temperature overshoot and relaxation time </w:t>
      </w:r>
      <w:r w:rsidR="00D12DC5" w:rsidRPr="008B2319">
        <w:rPr>
          <w:noProof/>
        </w:rPr>
        <w:t>w</w:t>
      </w:r>
      <w:r w:rsidR="00832878" w:rsidRPr="008B2319">
        <w:rPr>
          <w:noProof/>
        </w:rPr>
        <w:t>ere</w:t>
      </w:r>
      <w:r w:rsidR="00D12DC5" w:rsidRPr="008B2319">
        <w:t xml:space="preserve"> </w:t>
      </w:r>
      <w:r w:rsidR="00D12DC5" w:rsidRPr="008B2319">
        <w:rPr>
          <w:noProof/>
        </w:rPr>
        <w:t>modeled</w:t>
      </w:r>
      <w:r w:rsidR="00D12DC5" w:rsidRPr="008B2319">
        <w:t xml:space="preserve"> in the works of Achenbach. </w:t>
      </w:r>
    </w:p>
    <w:p w14:paraId="08B7E352" w14:textId="347C83A6" w:rsidR="006E2828" w:rsidRPr="008B2319" w:rsidRDefault="00E02BFF" w:rsidP="00C77EFE">
      <w:r w:rsidRPr="008B2319">
        <w:t>The design of accurate c</w:t>
      </w:r>
      <w:r w:rsidR="006E2828" w:rsidRPr="008B2319">
        <w:t xml:space="preserve">ontrol strategies </w:t>
      </w:r>
      <w:r w:rsidRPr="008B2319">
        <w:t>is</w:t>
      </w:r>
      <w:r w:rsidR="00832878" w:rsidRPr="008B2319">
        <w:t xml:space="preserve"> a</w:t>
      </w:r>
      <w:r w:rsidRPr="008B2319">
        <w:t xml:space="preserve"> </w:t>
      </w:r>
      <w:r w:rsidR="006E2828" w:rsidRPr="008B2319">
        <w:rPr>
          <w:noProof/>
        </w:rPr>
        <w:t>critical</w:t>
      </w:r>
      <w:r w:rsidR="006E2828" w:rsidRPr="008B2319">
        <w:t xml:space="preserve"> </w:t>
      </w:r>
      <w:r w:rsidRPr="008B2319">
        <w:t xml:space="preserve">aspect </w:t>
      </w:r>
      <w:r w:rsidR="006E2828" w:rsidRPr="008B2319">
        <w:rPr>
          <w:noProof/>
        </w:rPr>
        <w:t>for</w:t>
      </w:r>
      <w:r w:rsidR="006E2828" w:rsidRPr="008B2319">
        <w:t xml:space="preserve"> integrated SOFC systems, as described in </w:t>
      </w:r>
      <w:r w:rsidRPr="008B2319">
        <w:t xml:space="preserve">Refs. </w:t>
      </w:r>
      <w:r w:rsidR="00AC7ED4" w:rsidRPr="008B2319">
        <w:fldChar w:fldCharType="begin" w:fldLock="1"/>
      </w:r>
      <w:r w:rsidR="0062154B" w:rsidRPr="008B2319">
        <w:instrText>ADDIN CSL_CITATION { "citationItems" : [ { "id" : "ITEM-1", "itemData" : { "author" : [ { "dropping-particle" : "", "family" : "Xi", "given" : "H.", "non-dropping-particle" : "", "parse-names" : false, "suffix" : "" }, { "dropping-particle" : "", "family" : "Sun", "given" : "J.", "non-dropping-particle" : "", "parse-names" : false, "suffix" : "" } ], "id" : "ITEM-1", "issued" : { "date-parts" : [ [ "2005" ] ] }, "publisher-place" : "Orlando, Florida", "title" : "Proceedings of ASME International Mechanical Engineering Congress and Exposition", "type" : "paper-conference" }, "uris" : [ "http://www.mendeley.com/documents/?uuid=42d7a6e1-b02b-45d6-8e5b-d12f75a8c77e", "http://www.mendeley.com/documents/?uuid=723d8709-94d1-45ae-aab6-23587fabba2c", "http://www.mendeley.com/documents/?uuid=8b5949ec-ead3-4411-993b-2bd4c4397a24", "http://www.mendeley.com/documents/?uuid=8c674f28-fa9a-4924-89e7-495039e1144c" ] } ], "mendeley" : { "formattedCitation" : "[11]", "plainTextFormattedCitation" : "[11]", "previouslyFormattedCitation" : "[11]" }, "properties" : { "noteIndex" : 0 }, "schema" : "https://github.com/citation-style-language/schema/raw/master/csl-citation.json" }</w:instrText>
      </w:r>
      <w:r w:rsidR="00AC7ED4" w:rsidRPr="008B2319">
        <w:fldChar w:fldCharType="separate"/>
      </w:r>
      <w:r w:rsidR="0062154B" w:rsidRPr="008B2319">
        <w:rPr>
          <w:noProof/>
        </w:rPr>
        <w:t>[11]</w:t>
      </w:r>
      <w:r w:rsidR="00AC7ED4" w:rsidRPr="008B2319">
        <w:fldChar w:fldCharType="end"/>
      </w:r>
      <w:r w:rsidR="006E2828" w:rsidRPr="008B2319">
        <w:fldChar w:fldCharType="begin" w:fldLock="1"/>
      </w:r>
      <w:r w:rsidR="002F59CE" w:rsidRPr="008B2319">
        <w:instrText>ADDIN CSL_CITATION { "citationItems" : [ { "id" : "ITEM-1", "itemData" : { "author" : [ { "dropping-particle" : "", "family" : "Aguiar", "given" : "C.", "non-dropping-particle" : "", "parse-names" : false, "suffix" : "" }, { "dropping-particle" : "", "family" : "Adjiman", "given" : "N.", "non-dropping-particle" : "", "parse-names" : false, "suffix" : "" }, { "dropping-particle" : "", "family" : "Brandon", "given" : "J.", "non-dropping-particle" : "", "parse-names" : false, "suffix" : "" } ], "container-title" : "J. Power Sources", "id" : "ITEM-1", "issued" : { "date-parts" : [ [ "2005" ] ] }, "page" : "136-147", "title" : "Anode-supported intermediate temperature direct internal reforming solid oxide fuel cell", "type" : "article-journal", "volume" : "147" }, "uris" : [ "http://www.mendeley.com/documents/?uuid=f28709e6-b4a4-4250-8f91-244b2c07650a", "http://www.mendeley.com/documents/?uuid=dadfe903-354e-4b68-92aa-64b8ba68c9fc", "http://www.mendeley.com/documents/?uuid=b545efc2-92b0-4a98-a59d-14218e4d2d3e", "http://www.mendeley.com/documents/?uuid=dc2068a8-8f6a-49f2-932c-cd56618f8ac3" ] } ], "mendeley" : { "formattedCitation" : "[21]", "plainTextFormattedCitation" : "[21]", "previouslyFormattedCitation" : "[21]" }, "properties" : { "noteIndex" : 0 }, "schema" : "https://github.com/citation-style-language/schema/raw/master/csl-citation.json" }</w:instrText>
      </w:r>
      <w:r w:rsidR="006E2828" w:rsidRPr="008B2319">
        <w:fldChar w:fldCharType="separate"/>
      </w:r>
      <w:r w:rsidR="00353863" w:rsidRPr="008B2319">
        <w:rPr>
          <w:noProof/>
        </w:rPr>
        <w:t>[21]</w:t>
      </w:r>
      <w:r w:rsidR="006E2828" w:rsidRPr="008B2319">
        <w:fldChar w:fldCharType="end"/>
      </w:r>
      <w:r w:rsidR="006E2828" w:rsidRPr="008B2319">
        <w:t>.</w:t>
      </w:r>
      <w:r w:rsidR="000D21AC" w:rsidRPr="008B2319">
        <w:t xml:space="preserve"> Recently, Barelli et al. </w:t>
      </w:r>
      <w:r w:rsidR="000D21AC" w:rsidRPr="008B2319">
        <w:fldChar w:fldCharType="begin" w:fldLock="1"/>
      </w:r>
      <w:r w:rsidR="002F59CE" w:rsidRPr="008B2319">
        <w:instrText>ADDIN CSL_CITATION { "citationItems" : [ { "id" : "ITEM-1", "itemData" : { "DOI" : "10.1016/j.energy.2016.08.107", "ISSN" : "0360-5442", "author" : [ { "dropping-particle" : "", "family" : "Barelli", "given" : "L", "non-dropping-particle" : "", "parse-names" : false, "suffix" : "" }, { "dropping-particle" : "", "family" : "Bidini", "given" : "G", "non-dropping-particle" : "", "parse-names" : false, "suffix" : "" }, { "dropping-particle" : "", "family" : "Ottaviano", "given" : "A", "non-dropping-particle" : "", "parse-names" : false, "suffix" : "" } ], "container-title" : "Energy", "id" : "ITEM-1", "issued" : { "date-parts" : [ [ "2016" ] ] }, "page" : "107-119", "publisher" : "Elsevier Ltd", "title" : "Solid oxide fuel cell modelling : Electrochemical performance and thermal management during load-following operation", "type" : "article-journal", "volume" : "115" }, "uris" : [ "http://www.mendeley.com/documents/?uuid=c4641fea-2da2-42a1-9e4d-dadfb4a0a9ad" ] } ], "mendeley" : { "formattedCitation" : "[22]", "plainTextFormattedCitation" : "[22]", "previouslyFormattedCitation" : "[22]" }, "properties" : { "noteIndex" : 0 }, "schema" : "https://github.com/citation-style-language/schema/raw/master/csl-citation.json" }</w:instrText>
      </w:r>
      <w:r w:rsidR="000D21AC" w:rsidRPr="008B2319">
        <w:fldChar w:fldCharType="separate"/>
      </w:r>
      <w:r w:rsidR="00353863" w:rsidRPr="008B2319">
        <w:rPr>
          <w:noProof/>
        </w:rPr>
        <w:t>[22]</w:t>
      </w:r>
      <w:r w:rsidR="000D21AC" w:rsidRPr="008B2319">
        <w:fldChar w:fldCharType="end"/>
      </w:r>
      <w:r w:rsidR="000D21AC" w:rsidRPr="008B2319">
        <w:t xml:space="preserve"> developed a mathematical model of an SOFC stack system for which the cathode air flow rate is dynamically adjusted by a PID controller unit. Nearly a constant stack temperature </w:t>
      </w:r>
      <w:r w:rsidR="000D21AC" w:rsidRPr="008B2319">
        <w:rPr>
          <w:noProof/>
        </w:rPr>
        <w:t>behavior</w:t>
      </w:r>
      <w:r w:rsidR="000D21AC" w:rsidRPr="008B2319">
        <w:t xml:space="preserve"> has been calculated </w:t>
      </w:r>
      <w:r w:rsidR="009B566B" w:rsidRPr="008B2319">
        <w:t xml:space="preserve">even </w:t>
      </w:r>
      <w:r w:rsidR="000D21AC" w:rsidRPr="008B2319">
        <w:t>during</w:t>
      </w:r>
      <w:r w:rsidR="009B566B" w:rsidRPr="008B2319">
        <w:t xml:space="preserve"> fast</w:t>
      </w:r>
      <w:r w:rsidR="000D21AC" w:rsidRPr="008B2319">
        <w:t xml:space="preserve"> load changes by rapidly varying the PID-controlled cathode airflow rate. The simulations were carried out for a 4-cell stack. </w:t>
      </w:r>
      <w:r w:rsidR="009B566B" w:rsidRPr="008B2319">
        <w:t xml:space="preserve">The fast adapting transient </w:t>
      </w:r>
      <w:r w:rsidR="009B566B" w:rsidRPr="008B2319">
        <w:rPr>
          <w:noProof/>
        </w:rPr>
        <w:t>behavior</w:t>
      </w:r>
      <w:r w:rsidR="009B566B" w:rsidRPr="008B2319">
        <w:t xml:space="preserve"> of the stack </w:t>
      </w:r>
      <w:r w:rsidR="002D4A4F" w:rsidRPr="008B2319">
        <w:t>temperature</w:t>
      </w:r>
      <w:r w:rsidR="009B566B" w:rsidRPr="008B2319">
        <w:t xml:space="preserve"> might be ascribed to the low thermal mass of the modeled fuel cell stack. </w:t>
      </w:r>
      <w:r w:rsidR="009B566B" w:rsidRPr="008B2319">
        <w:rPr>
          <w:noProof/>
        </w:rPr>
        <w:t>Looking to their dynamic model assumptions</w:t>
      </w:r>
      <w:r w:rsidR="009B566B" w:rsidRPr="008B2319">
        <w:t>, the thermal capacity of the metallic interconnected has been not included thus yielding a low thermal inertia of the solid stack structure.</w:t>
      </w:r>
    </w:p>
    <w:p w14:paraId="2072A9F1" w14:textId="3CA675E4" w:rsidR="002F59CE" w:rsidRPr="008B2319" w:rsidRDefault="00E91E5F" w:rsidP="002F59CE">
      <w:r w:rsidRPr="008B2319">
        <w:t xml:space="preserve">Recently, Barelli et al. have experimentally shown on an SOFC short stack how the fuel composition affects the amount of cathode air flow rate that is needed to maintain a constant operating temperature </w:t>
      </w:r>
      <w:r w:rsidRPr="008B2319">
        <w:fldChar w:fldCharType="begin" w:fldLock="1"/>
      </w:r>
      <w:r w:rsidR="002F59CE" w:rsidRPr="008B2319">
        <w:instrText>ADDIN CSL_CITATION { "citationItems" : [ { "id" : "ITEM-1", "itemData" : { "DOI" : "10.1016/j.enconman.2016.03.028", "ISSN" : "01968904", "abstract" : "The operating temperature of solid oxide fuel cell stack (SOFC) is an important parameter to be controlled, which impacts the SOFC performance and its lifetime. Rapid temperature change implies a significant temperature differences between the surface and the mean body leading to a state of thermal shock. Thermal shock and thermal cycling introduce stress in a material due to temperature differences between the surface and the interior, or between different regions of the cell. In this context, in order to determine a control law that permit to maintain constant the fuel cell temperature varying the electrical load and the infeed fuel mixture, an experimental activity were carried out on a planar SOFC short stack to analyse stack temperature. Specifically, three different anodic inlet gas compositions were tested: pure hydrogen, reformed natural gas with steam to carbon ratio equal to 2 and 2.5. By processing the obtained results, a regression law was defined to regulate the air flow rate to be provided to the fuel cell to maintain constant its operating temperature varying its operating conditions.", "author" : [ { "dropping-particle" : "", "family" : "Barelli", "given" : "L.", "non-dropping-particle" : "", "parse-names" : false, "suffix" : "" }, { "dropping-particle" : "", "family" : "Bidini", "given" : "G.", "non-dropping-particle" : "", "parse-names" : false, "suffix" : "" }, { "dropping-particle" : "", "family" : "Cinti", "given" : "G.", "non-dropping-particle" : "", "parse-names" : false, "suffix" : "" }, { "dropping-particle" : "", "family" : "Ottaviano", "given" : "A.", "non-dropping-particle" : "", "parse-names" : false, "suffix" : "" } ], "container-title" : "Energy Conversion and Management", "id" : "ITEM-1", "issued" : { "date-parts" : [ [ "2016" ] ] }, "page" : "289-296", "publisher" : "Elsevier Ltd", "title" : "SOFC regulation at constant temperature: Experimental test and data regression study", "type" : "article-journal", "volume" : "117" }, "uris" : [ "http://www.mendeley.com/documents/?uuid=ed4da46c-cd13-4bfd-8f04-6f03b3fe3dc3" ] } ], "mendeley" : { "formattedCitation" : "[23]", "plainTextFormattedCitation" : "[23]", "previouslyFormattedCitation" : "[23]" }, "properties" : { "noteIndex" : 0 }, "schema" : "https://github.com/citation-style-language/schema/raw/master/csl-citation.json" }</w:instrText>
      </w:r>
      <w:r w:rsidRPr="008B2319">
        <w:fldChar w:fldCharType="separate"/>
      </w:r>
      <w:r w:rsidR="00353863" w:rsidRPr="008B2319">
        <w:rPr>
          <w:noProof/>
        </w:rPr>
        <w:t>[23]</w:t>
      </w:r>
      <w:r w:rsidRPr="008B2319">
        <w:fldChar w:fldCharType="end"/>
      </w:r>
      <w:r w:rsidRPr="008B2319">
        <w:t>.</w:t>
      </w:r>
      <w:r w:rsidR="0039164D" w:rsidRPr="008B2319">
        <w:t xml:space="preserve"> Wu and Go </w:t>
      </w:r>
      <w:r w:rsidR="0039164D" w:rsidRPr="008B2319">
        <w:fldChar w:fldCharType="begin" w:fldLock="1"/>
      </w:r>
      <w:r w:rsidR="002F59CE" w:rsidRPr="008B2319">
        <w:instrText>ADDIN CSL_CITATION { "citationItems" : [ { "id" : "ITEM-1", "itemData" : { "DOI" : "10.1016/j.ijhydene.2016.09.203", "ISSN" : "0360-3199", "author" : [ { "dropping-particle" : "", "family" : "Wu", "given" : "Xiaojuan", "non-dropping-particle" : "", "parse-names" : false, "suffix" : "" }, { "dropping-particle" : "", "family" : "Gao", "given" : "Danhui", "non-dropping-particle" : "", "parse-names" : false, "suffix" : "" } ], "container-title" : "International Journal of Hydrogen Energy", "id" : "ITEM-1", "issued" : { "date-parts" : [ [ "2016" ] ] }, "page" : "1-21", "publisher" : "Elsevier Ltd", "title" : "Fault tolerance control of SOFC systems based on nonlinear model predictive control", "type" : "article-journal" }, "uris" : [ "http://www.mendeley.com/documents/?uuid=3a6f81aa-d683-4284-86ad-ea6fce14ddf1" ] } ], "mendeley" : { "formattedCitation" : "[24]", "plainTextFormattedCitation" : "[24]", "previouslyFormattedCitation" : "[24]" }, "properties" : { "noteIndex" : 0 }, "schema" : "https://github.com/citation-style-language/schema/raw/master/csl-citation.json" }</w:instrText>
      </w:r>
      <w:r w:rsidR="0039164D" w:rsidRPr="008B2319">
        <w:fldChar w:fldCharType="separate"/>
      </w:r>
      <w:r w:rsidR="00353863" w:rsidRPr="008B2319">
        <w:rPr>
          <w:noProof/>
        </w:rPr>
        <w:t>[24]</w:t>
      </w:r>
      <w:r w:rsidR="0039164D" w:rsidRPr="008B2319">
        <w:fldChar w:fldCharType="end"/>
      </w:r>
      <w:r w:rsidR="0039164D" w:rsidRPr="008B2319">
        <w:t xml:space="preserve"> developed a</w:t>
      </w:r>
      <w:r w:rsidR="00027251" w:rsidRPr="008B2319">
        <w:t>n extensive</w:t>
      </w:r>
      <w:r w:rsidR="0039164D" w:rsidRPr="008B2319">
        <w:t xml:space="preserve"> control methodology </w:t>
      </w:r>
      <w:r w:rsidR="004C2D22" w:rsidRPr="008B2319">
        <w:t xml:space="preserve">for </w:t>
      </w:r>
      <w:r w:rsidR="00027251" w:rsidRPr="008B2319">
        <w:t>the SOFC</w:t>
      </w:r>
      <w:r w:rsidR="004C2D22" w:rsidRPr="008B2319">
        <w:t xml:space="preserve"> that is </w:t>
      </w:r>
      <w:r w:rsidR="0039164D" w:rsidRPr="008B2319">
        <w:t xml:space="preserve">based a non-linear </w:t>
      </w:r>
      <w:r w:rsidR="004C2D22" w:rsidRPr="008B2319">
        <w:t xml:space="preserve">predictive and </w:t>
      </w:r>
      <w:r w:rsidR="00027251" w:rsidRPr="008B2319">
        <w:t>that</w:t>
      </w:r>
      <w:r w:rsidR="004C2D22" w:rsidRPr="008B2319">
        <w:t xml:space="preserve"> </w:t>
      </w:r>
      <w:r w:rsidR="0039164D" w:rsidRPr="008B2319">
        <w:t xml:space="preserve">includes fault diagnostics. </w:t>
      </w:r>
      <w:r w:rsidR="00D55C0E" w:rsidRPr="008B2319">
        <w:t xml:space="preserve">They proposed a fault-tolerant control strategy that makes use of artificial neural network algorithms. </w:t>
      </w:r>
      <w:r w:rsidR="00C14A46" w:rsidRPr="008B2319">
        <w:t xml:space="preserve"> </w:t>
      </w:r>
      <w:r w:rsidR="002F59CE" w:rsidRPr="008B2319">
        <w:t xml:space="preserve">The internal stack flow configuration is also key to control and </w:t>
      </w:r>
      <w:r w:rsidR="002F59CE" w:rsidRPr="008B2319">
        <w:rPr>
          <w:noProof/>
        </w:rPr>
        <w:t>limit</w:t>
      </w:r>
      <w:r w:rsidR="002F59CE" w:rsidRPr="008B2319">
        <w:t xml:space="preserve"> the in-plane thermal gradient of the SOFC. </w:t>
      </w:r>
      <w:r w:rsidR="002F59CE" w:rsidRPr="008B2319">
        <w:rPr>
          <w:noProof/>
        </w:rPr>
        <w:t>Fardadi</w:t>
      </w:r>
      <w:r w:rsidR="002F59CE" w:rsidRPr="008B2319">
        <w:t xml:space="preserve"> et al. </w:t>
      </w:r>
      <w:r w:rsidR="002F59CE" w:rsidRPr="008B2319">
        <w:fldChar w:fldCharType="begin" w:fldLock="1"/>
      </w:r>
      <w:r w:rsidR="008A464B" w:rsidRPr="008B2319">
        <w:instrText>ADDIN CSL_CITATION { "citationItems" : [ { "id" : "ITEM-1", "itemData" : { "DOI" : "http://dx.doi.org/10.1016/j.apenergy.2016.06.015", "ISSN" : "0306-2619", "abstract" : "Abstract A dynamic solid oxide fuel cell (SOFC) model is used to investigate the effects of different flow arrangements, as well as those of non-uniform air flow across channels, on temperature profile and thermal gradients under transient and steady state response. A high performance multi-input multi-output feedback controller has been developed to minimize {SOFC} spatial temperature variations during changes in power demands for different flow patterns. Numerical results show that the controller would result in negligible temperature variations for the modified cross-flow arrangement proposed here, even for large changes in the power drawn. The combination of a high performance controller and design modification results in a more uniform temperature profile at steady state nominal conditions, and modest variations in temperature profile, from the nominal, for \u00b115% change in power. Similarly, non-uniform air flow rate decreases the temperature gradient as well as maximum temperature across the cell, though its effect is less pronounced in the closed loop response. ", "author" : [ { "dropping-particle" : "", "family" : "Fardadi", "given" : "Mahshid", "non-dropping-particle" : "", "parse-names" : false, "suffix" : "" }, { "dropping-particle" : "", "family" : "McLarty", "given" : "Dustin F", "non-dropping-particle" : "", "parse-names" : false, "suffix" : "" }, { "dropping-particle" : "", "family" : "Jabbari", "given" : "Faryar", "non-dropping-particle" : "", "parse-names" : false, "suffix" : "" } ], "container-title" : "Applied Energy", "id" : "ITEM-1", "issued" : { "date-parts" : [ [ "2016" ] ] }, "page" : "43-55", "publisher" : "Elsevier Ltd", "title" : "Investigation of thermal control for different {SOFC} flow geometries", "type" : "article-journal", "volume" : "178" }, "uris" : [ "http://www.mendeley.com/documents/?uuid=865e1e21-2e7a-419b-b89b-7d4a29f854cc" ] } ], "mendeley" : { "formattedCitation" : "[25]", "plainTextFormattedCitation" : "[25]", "previouslyFormattedCitation" : "[25]" }, "properties" : { "noteIndex" : 0 }, "schema" : "https://github.com/citation-style-language/schema/raw/master/csl-citation.json" }</w:instrText>
      </w:r>
      <w:r w:rsidR="002F59CE" w:rsidRPr="008B2319">
        <w:fldChar w:fldCharType="separate"/>
      </w:r>
      <w:r w:rsidR="002F59CE" w:rsidRPr="008B2319">
        <w:rPr>
          <w:noProof/>
        </w:rPr>
        <w:t>[25]</w:t>
      </w:r>
      <w:r w:rsidR="002F59CE" w:rsidRPr="008B2319">
        <w:fldChar w:fldCharType="end"/>
      </w:r>
      <w:r w:rsidR="002F59CE" w:rsidRPr="008B2319">
        <w:t xml:space="preserve"> proposed a modified cross-flow arrangement with non-uniform air flow feeding. The control unit adjusts both air flow rate and temperature resulting in calculated negligible temperature variations for the fuel cell, even when large load changes are applied. </w:t>
      </w:r>
    </w:p>
    <w:p w14:paraId="1198631D" w14:textId="77777777" w:rsidR="006E2828" w:rsidRPr="008B2319" w:rsidRDefault="006E2828" w:rsidP="00C77EFE">
      <w:r w:rsidRPr="008B2319">
        <w:t xml:space="preserve">This paper develops a </w:t>
      </w:r>
      <w:r w:rsidRPr="008B2319">
        <w:rPr>
          <w:noProof/>
        </w:rPr>
        <w:t>modeling</w:t>
      </w:r>
      <w:r w:rsidRPr="008B2319">
        <w:t xml:space="preserve"> approach </w:t>
      </w:r>
      <w:r w:rsidR="0087171B" w:rsidRPr="008B2319">
        <w:t xml:space="preserve">in order to reproduce the dynamic </w:t>
      </w:r>
      <w:r w:rsidR="0087171B" w:rsidRPr="008B2319">
        <w:rPr>
          <w:noProof/>
        </w:rPr>
        <w:t>behavior</w:t>
      </w:r>
      <w:r w:rsidR="0087171B" w:rsidRPr="008B2319">
        <w:t xml:space="preserve"> of </w:t>
      </w:r>
      <w:r w:rsidRPr="008B2319">
        <w:t xml:space="preserve">a </w:t>
      </w:r>
      <w:r w:rsidR="0087171B" w:rsidRPr="008B2319">
        <w:t xml:space="preserve">proof-of-concept </w:t>
      </w:r>
      <w:r w:rsidRPr="008B2319">
        <w:t xml:space="preserve">poly-generation system based on </w:t>
      </w:r>
      <w:r w:rsidR="002F5E54" w:rsidRPr="008B2319">
        <w:t>SOFC</w:t>
      </w:r>
      <w:r w:rsidR="0087171B" w:rsidRPr="008B2319">
        <w:t>:</w:t>
      </w:r>
      <w:r w:rsidR="002F5E54" w:rsidRPr="008B2319">
        <w:t xml:space="preserve"> </w:t>
      </w:r>
      <w:r w:rsidRPr="008B2319">
        <w:t>an integrated system</w:t>
      </w:r>
      <w:r w:rsidR="002F5E54" w:rsidRPr="008B2319">
        <w:t>,</w:t>
      </w:r>
      <w:r w:rsidRPr="008B2319">
        <w:t xml:space="preserve"> in which the SOFC is the core element of a more complex structure with several processes running simultaneously. </w:t>
      </w:r>
    </w:p>
    <w:p w14:paraId="1E1EFAFD" w14:textId="0AB95545" w:rsidR="006E2828" w:rsidRPr="008B2319" w:rsidRDefault="00D9062D" w:rsidP="00C77EFE">
      <w:r w:rsidRPr="008B2319">
        <w:t xml:space="preserve">As </w:t>
      </w:r>
      <w:r w:rsidR="0087171B" w:rsidRPr="008B2319">
        <w:t>discussed</w:t>
      </w:r>
      <w:r w:rsidRPr="008B2319">
        <w:t xml:space="preserve"> in </w:t>
      </w:r>
      <w:r w:rsidRPr="008B2319">
        <w:fldChar w:fldCharType="begin" w:fldLock="1"/>
      </w:r>
      <w:r w:rsidR="008A464B" w:rsidRPr="008B2319">
        <w:instrText>ADDIN CSL_CITATION { "citationItems" : [ { "id" : "ITEM-1", "itemData" : { "ISBN" : "9781856173872\\r1856173879", "abstract" : "The growing interest in fuel cells as a sustainable source of energy is pulling with it the need for new books which provide comprehensive and practical information on specific types of fuel cell and their application. This landmark volume on solid oxide fuel cells contains contributions from experts of international repute, and provides a single source of the latest knowledge on this topic", "author" : [ { "dropping-particle" : "", "family" : "Singhal", "given" : "Subhash C", "non-dropping-particle" : "", "parse-names" : false, "suffix" : "" }, { "dropping-particle" : "", "family" : "Kendall", "given" : "Kevin", "non-dropping-particle" : "", "parse-names" : false, "suffix" : "" } ], "container-title" : "Books on ScienceDirect", "id" : "ITEM-1", "issued" : { "date-parts" : [ [ "2003" ] ] }, "number-of-pages" : "xvi, 405 p.", "title" : "High-temperature solid oxide fuel cells: fundamentals, design, and applicatons", "type" : "book" }, "uris" : [ "http://www.mendeley.com/documents/?uuid=d8b8c4f6-94f3-4207-9be8-57f008f828f4", "http://www.mendeley.com/documents/?uuid=4cef9989-0cbf-4d4e-a97e-a91c8477ed30", "http://www.mendeley.com/documents/?uuid=f5ac3b61-5e6f-4574-98c1-fbea1c71a2de" ] }, { "id" : "ITEM-2", "itemData" : { "DOI" : "10.1016/j.jpowsour.2011.10.010", "ISBN" : "0378-7753", "ISSN" : "03787753", "abstract" : "Recent advances in computational techniques have allowed the application of computational tools to study heterogeneous functional materials (HeteroFoaMs) in the solid oxide fuel cell (SOFC) from the quantum (sub-atomic) to atomistic to the continuum scales. However, knowledge gained from a particular computational technique can only provide insight at that specific scale. There has been a recent interest to develop a more cohesive effort so that results obtained from models across a particular spatial dimension can be used to extract additional insight across a larger range of length scales. This review article surveys recent progress in the modeling and simulation of SOFCs, and relates them to the relevant physical phenomena and length/time scales. We then proceed to review the various numerical techniques used, and their applicability across the length and time scales. ?? 2011 Elsevier B.V. All rights reserved.", "author" : [ { "dropping-particle" : "", "family" : "Grew", "given" : "Kyle N.", "non-dropping-particle" : "", "parse-names" : false, "suffix" : "" }, { "dropping-particle" : "", "family" : "Chiu", "given" : "Wilson K S", "non-dropping-particle" : "", "parse-names" : false, "suffix" : "" } ], "container-title" : "Journal of Power Sources", "id" : "ITEM-2", "issued" : { "date-parts" : [ [ "2012" ] ] }, "page" : "1-13", "title" : "A review of modeling and simulation techniques across the length scales for the solid oxide fuel cell", "type" : "article", "volume" : "199" }, "uris" : [ "http://www.mendeley.com/documents/?uuid=f5e5d693-2271-4b0c-8b5f-05aa107e3497", "http://www.mendeley.com/documents/?uuid=a4d4092f-d3dc-46f7-a8ee-fdbdf85b9ac7", "http://www.mendeley.com/documents/?uuid=3656bd40-706c-421b-b326-c30a39e1ad27" ] }, { "id" : "ITEM-3", "itemData" : { "author" : [ { "dropping-particle" : "", "family" : "J. Kupecki, J, Jewulski", "given" : "J. Milewski", "non-dropping-particle" : "", "parse-names" : false, "suffix" : "" } ], "container-title" : "Clean Energy", "id" : "ITEM-3", "issued" : { "date-parts" : [ [ "2012" ] ] }, "title" : "Multi-Level Mathematical Modeling of Solid Oxide Fuel Cells", "type" : "article-journal" }, "uris" : [ "http://www.mendeley.com/documents/?uuid=dee554f1-4368-4a12-99f8-15476d9fe21a", "http://www.mendeley.com/documents/?uuid=44b33a2c-fb99-4431-aacb-b4d33247c575", "http://www.mendeley.com/documents/?uuid=0282a266-7284-4b59-82f8-0c0efffbac90" ] }, { "id" : "ITEM-4", "itemData" : { "DOI" : "10.1016/j.enconman.2006.11.019", "ISSN" : "01968904", "abstract" : "The authors have been engaged in numerical simulations of the planar type solid oxide fuel cell (SOFC) to make clear the dependence of the cell performance on its operating conditions. Up to now, the authors have already developed the simulation codes for the one channel region and the single cell plate in its cell stack. To calculate accurately the effect of radiation heat transfer from the cell stack surfaces, however, a code that can treat the whole cell stack is necessary. In the present study, therefore, the authors newly develop a three dimensional simulation code of the planar SOFC stack, and the detailed effect of the radiation heat transfer is investigated. It is made clear that the conventional codes are sufficiently accurate, and the newly developed whole cell stack code is not inevitable to predict the maximum cell temperature. This is because the thermal conductivity of the cell materials made of ceramics is very small, and the central part of the cell stack is almost free from the influence of radiation heat transfer. On the other hand, the stack simulation is needed to calculate accurately the cell voltage because the radiation heat transfer reduces it when the ambient temperature is low. The bad influence of low ambient temperature on the voltage is, however, small and relatively high voltage is obtained even when the ambient temperature is very low. ?? 2006 Elsevier Ltd. All rights reserved.", "author" : [ { "dropping-particle" : "", "family" : "Tanaka", "given" : "T.", "non-dropping-particle" : "", "parse-names" : false, "suffix" : "" }, { "dropping-particle" : "", "family" : "Inui", "given" : "Y.", "non-dropping-particle" : "", "parse-names" : false, "suffix" : "" }, { "dropping-particle" : "", "family" : "Urata", "given" : "A.", "non-dropping-particle" : "", "parse-names" : false, "suffix" : "" }, { "dropping-particle" : "", "family" : "Kanno", "given" : "T.", "non-dropping-particle" : "", "parse-names" : false, "suffix" : "" } ], "container-title" : "Energy Conversion and Management", "id" : "ITEM-4", "issued" : { "date-parts" : [ [ "2007" ] ] }, "page" : "1491-1498", "title" : "Three dimensional analysis of planar solid oxide fuel cell stack considering radiation", "type" : "article-journal", "volume" : "48" }, "uris" : [ "http://www.mendeley.com/documents/?uuid=c9a2fdff-d775-4db5-93d2-5a560ba33b1f", "http://www.mendeley.com/documents/?uuid=76211787-b536-4148-9250-39e41ef91fbe", "http://www.mendeley.com/documents/?uuid=35bd8e0c-0aa8-4903-bd0a-b078373a6fa6" ] } ], "mendeley" : { "formattedCitation" : "[26]\u2013[29]", "plainTextFormattedCitation" : "[26]\u2013[29]", "previouslyFormattedCitation" : "[26]\u2013[29]" }, "properties" : { "noteIndex" : 0 }, "schema" : "https://github.com/citation-style-language/schema/raw/master/csl-citation.json" }</w:instrText>
      </w:r>
      <w:r w:rsidRPr="008B2319">
        <w:fldChar w:fldCharType="separate"/>
      </w:r>
      <w:r w:rsidR="002F59CE" w:rsidRPr="008B2319">
        <w:rPr>
          <w:noProof/>
        </w:rPr>
        <w:t>[26]–[29]</w:t>
      </w:r>
      <w:r w:rsidRPr="008B2319">
        <w:fldChar w:fldCharType="end"/>
      </w:r>
      <w:r w:rsidRPr="008B2319">
        <w:t>,</w:t>
      </w:r>
      <w:r w:rsidR="006E2828" w:rsidRPr="008B2319">
        <w:t xml:space="preserve"> to meet these purposes</w:t>
      </w:r>
      <w:r w:rsidR="0087171B" w:rsidRPr="008B2319">
        <w:t>,</w:t>
      </w:r>
      <w:r w:rsidR="006E2828" w:rsidRPr="008B2319">
        <w:t xml:space="preserve"> 0D, 1/2/3D techniques can be used</w:t>
      </w:r>
      <w:r w:rsidR="00AC7ED4" w:rsidRPr="008B2319">
        <w:t>.</w:t>
      </w:r>
      <w:r w:rsidR="006E2828" w:rsidRPr="008B2319">
        <w:t xml:space="preserve"> </w:t>
      </w:r>
      <w:r w:rsidR="002F5E54" w:rsidRPr="008B2319">
        <w:t>However, in the</w:t>
      </w:r>
      <w:r w:rsidR="006E2828" w:rsidRPr="008B2319">
        <w:t xml:space="preserve"> overall perspective</w:t>
      </w:r>
      <w:r w:rsidR="00AC7ED4" w:rsidRPr="008B2319">
        <w:t xml:space="preserve"> of a system integrating </w:t>
      </w:r>
      <w:r w:rsidR="0087171B" w:rsidRPr="008B2319">
        <w:t xml:space="preserve">several </w:t>
      </w:r>
      <w:r w:rsidR="00AC7ED4" w:rsidRPr="008B2319">
        <w:t>components</w:t>
      </w:r>
      <w:r w:rsidR="006E2828" w:rsidRPr="008B2319">
        <w:t xml:space="preserve">, </w:t>
      </w:r>
      <w:r w:rsidR="0087171B" w:rsidRPr="008B2319">
        <w:t xml:space="preserve">already in operation, </w:t>
      </w:r>
      <w:r w:rsidR="006E2828" w:rsidRPr="008B2319">
        <w:t>and especially considering the dynamic approach, 0D methods proved to be sufficient for a suitable simulation and analysis</w:t>
      </w:r>
      <w:r w:rsidR="00AC7ED4" w:rsidRPr="008B2319">
        <w:t xml:space="preserve"> of the system</w:t>
      </w:r>
      <w:r w:rsidR="006E2828" w:rsidRPr="008B2319">
        <w:t xml:space="preserve">. </w:t>
      </w:r>
      <w:r w:rsidR="0087171B" w:rsidRPr="008B2319">
        <w:t xml:space="preserve">Thus, the considered </w:t>
      </w:r>
      <w:r w:rsidR="006E2828" w:rsidRPr="008B2319">
        <w:t xml:space="preserve">model includes </w:t>
      </w:r>
      <w:r w:rsidR="0087171B" w:rsidRPr="008B2319">
        <w:t xml:space="preserve">multi-physics phenomena, as better described below, such as </w:t>
      </w:r>
      <w:r w:rsidR="006E2828" w:rsidRPr="008B2319">
        <w:t xml:space="preserve">thermal processes (i.e. heat exchanges and oxy-combustion of the anode exhausts), electrochemical reactions in the SOFC stack, and chemical reactions occurring in the fuel processor. </w:t>
      </w:r>
    </w:p>
    <w:p w14:paraId="258F6DA1" w14:textId="77777777" w:rsidR="0087171B" w:rsidRPr="008B2319" w:rsidRDefault="006454AF" w:rsidP="00C77EFE">
      <w:r w:rsidRPr="008B2319">
        <w:t xml:space="preserve">In particular, the model has been validated making use of the experimental results obtained from </w:t>
      </w:r>
      <w:r w:rsidR="006B7FA5" w:rsidRPr="008B2319">
        <w:rPr>
          <w:noProof/>
        </w:rPr>
        <w:t>the</w:t>
      </w:r>
      <w:r w:rsidRPr="008B2319">
        <w:rPr>
          <w:noProof/>
        </w:rPr>
        <w:t xml:space="preserve"> first-of-a-kind</w:t>
      </w:r>
      <w:r w:rsidRPr="008B2319">
        <w:t xml:space="preserve"> proof-of-concept of this type of systems, developed by the Authors.</w:t>
      </w:r>
      <w:r w:rsidR="0087171B" w:rsidRPr="008B2319">
        <w:t xml:space="preserve"> </w:t>
      </w:r>
      <w:r w:rsidR="002F5E54" w:rsidRPr="008B2319">
        <w:t>This</w:t>
      </w:r>
      <w:r w:rsidR="00EA30B9" w:rsidRPr="008B2319">
        <w:t xml:space="preserve"> work has been developed in the framework of the SOFCOM European Project (2010-2015), where a </w:t>
      </w:r>
      <w:r w:rsidR="0087171B" w:rsidRPr="008B2319">
        <w:t>poly</w:t>
      </w:r>
      <w:r w:rsidR="00EA30B9" w:rsidRPr="008B2319">
        <w:t>-generation proof-of-concept, able to produce electricity from an SOFC, recover heat from exhaust streams and capture CO</w:t>
      </w:r>
      <w:r w:rsidR="00EA30B9" w:rsidRPr="008B2319">
        <w:rPr>
          <w:vertAlign w:val="subscript"/>
        </w:rPr>
        <w:t>2</w:t>
      </w:r>
      <w:r w:rsidR="00EA30B9" w:rsidRPr="008B2319">
        <w:t xml:space="preserve"> for al</w:t>
      </w:r>
      <w:r w:rsidR="0087171B" w:rsidRPr="008B2319">
        <w:t>gae growth in a photobioreactor, has been designed, built and tested.</w:t>
      </w:r>
      <w:r w:rsidR="00EA30B9" w:rsidRPr="008B2319">
        <w:t xml:space="preserve"> </w:t>
      </w:r>
    </w:p>
    <w:p w14:paraId="0A6D6DAE" w14:textId="77777777" w:rsidR="00EA30B9" w:rsidRPr="008B2319" w:rsidRDefault="0087171B" w:rsidP="008D7F39">
      <w:r w:rsidRPr="008B2319">
        <w:lastRenderedPageBreak/>
        <w:t xml:space="preserve">The validated model has been used to investigate </w:t>
      </w:r>
      <w:r w:rsidR="008D7F39" w:rsidRPr="008B2319">
        <w:t xml:space="preserve">the performance of the demonstration plant in specific operating condition. In particular, the following off-design conditions have been analysed: </w:t>
      </w:r>
      <w:r w:rsidRPr="008B2319">
        <w:t>(i) the impact of a possible malfunction of the coolant air regulation system, (ii) the stack performance under different degrees of direct internal reforming (which could be also connected to loss of catalytic activity of the external steam reformer) and, finally, (iii) the influence of</w:t>
      </w:r>
      <w:r w:rsidR="008D7F39" w:rsidRPr="008B2319">
        <w:t xml:space="preserve"> a sudden current load change. </w:t>
      </w:r>
    </w:p>
    <w:p w14:paraId="2315602D" w14:textId="77777777" w:rsidR="00997AC3" w:rsidRPr="008B2319" w:rsidRDefault="00997AC3">
      <w:pPr>
        <w:spacing w:before="0" w:after="160" w:line="259" w:lineRule="auto"/>
        <w:jc w:val="left"/>
      </w:pPr>
      <w:bookmarkStart w:id="1" w:name="_Toc444608471"/>
      <w:r w:rsidRPr="008B2319">
        <w:br w:type="page"/>
      </w:r>
    </w:p>
    <w:bookmarkEnd w:id="1"/>
    <w:p w14:paraId="061763C6" w14:textId="77777777" w:rsidR="006E2828" w:rsidRPr="008B2319" w:rsidRDefault="00B31A39" w:rsidP="00397BE5">
      <w:pPr>
        <w:pStyle w:val="Heading1"/>
        <w:rPr>
          <w:sz w:val="28"/>
          <w:szCs w:val="28"/>
        </w:rPr>
      </w:pPr>
      <w:r w:rsidRPr="008B2319">
        <w:rPr>
          <w:sz w:val="28"/>
          <w:szCs w:val="28"/>
        </w:rPr>
        <w:lastRenderedPageBreak/>
        <w:t>Methodology</w:t>
      </w:r>
    </w:p>
    <w:p w14:paraId="4A5B4E5A" w14:textId="77777777" w:rsidR="006E2828" w:rsidRPr="008B2319" w:rsidRDefault="00B31A39" w:rsidP="00397BE5">
      <w:pPr>
        <w:pStyle w:val="Heading2"/>
        <w:rPr>
          <w:sz w:val="24"/>
          <w:szCs w:val="24"/>
        </w:rPr>
      </w:pPr>
      <w:r w:rsidRPr="008B2319">
        <w:rPr>
          <w:sz w:val="24"/>
          <w:szCs w:val="24"/>
        </w:rPr>
        <w:t>Mathematical</w:t>
      </w:r>
      <w:r w:rsidR="00761C58" w:rsidRPr="008B2319">
        <w:rPr>
          <w:sz w:val="24"/>
          <w:szCs w:val="24"/>
        </w:rPr>
        <w:t xml:space="preserve"> </w:t>
      </w:r>
      <w:r w:rsidR="00761C58" w:rsidRPr="008B2319">
        <w:rPr>
          <w:noProof/>
          <w:sz w:val="24"/>
          <w:szCs w:val="24"/>
        </w:rPr>
        <w:t>modeling</w:t>
      </w:r>
      <w:r w:rsidR="00761C58" w:rsidRPr="008B2319">
        <w:rPr>
          <w:sz w:val="24"/>
          <w:szCs w:val="24"/>
        </w:rPr>
        <w:t xml:space="preserve"> the integrated system</w:t>
      </w:r>
    </w:p>
    <w:p w14:paraId="575CB552" w14:textId="001F957E" w:rsidR="00AC7ED4" w:rsidRPr="008B2319" w:rsidRDefault="00AC7ED4" w:rsidP="00AC7ED4">
      <w:pPr>
        <w:rPr>
          <w:lang w:val="en-US"/>
        </w:rPr>
      </w:pPr>
      <w:r w:rsidRPr="008B2319">
        <w:t xml:space="preserve">The SOFCOM </w:t>
      </w:r>
      <w:r w:rsidR="00C40AC7" w:rsidRPr="008B2319">
        <w:fldChar w:fldCharType="begin" w:fldLock="1"/>
      </w:r>
      <w:r w:rsidR="008A464B" w:rsidRPr="008B2319">
        <w:instrText>ADDIN CSL_CITATION { "citationItems" : [ { "id" : "ITEM-1", "itemData" : { "author" : [ { "dropping-particle" : "", "family" : "Http://www.sofcom.eu.", "given" : "", "non-dropping-particle" : "", "parse-names" : false, "suffix" : "" } ], "id" : "ITEM-1", "issued" : { "date-parts" : [ [ "0" ] ] }, "title" : "SOFCOM Project, SOFC CCHP with Poly-fuel Operation and Maintenance", "type" : "webpage" }, "uris" : [ "http://www.mendeley.com/documents/?uuid=a76d9a86-2293-4c7c-99b3-9a018db9ceba" ] } ], "mendeley" : { "formattedCitation" : "[30]", "plainTextFormattedCitation" : "[30]", "previouslyFormattedCitation" : "[30]" }, "properties" : { "noteIndex" : 0 }, "schema" : "https://github.com/citation-style-language/schema/raw/master/csl-citation.json" }</w:instrText>
      </w:r>
      <w:r w:rsidR="00C40AC7" w:rsidRPr="008B2319">
        <w:fldChar w:fldCharType="separate"/>
      </w:r>
      <w:r w:rsidR="002F59CE" w:rsidRPr="008B2319">
        <w:rPr>
          <w:noProof/>
        </w:rPr>
        <w:t>[30]</w:t>
      </w:r>
      <w:r w:rsidR="00C40AC7" w:rsidRPr="008B2319">
        <w:fldChar w:fldCharType="end"/>
      </w:r>
      <w:r w:rsidR="00C40AC7" w:rsidRPr="008B2319">
        <w:t xml:space="preserve"> </w:t>
      </w:r>
      <w:r w:rsidRPr="008B2319">
        <w:t xml:space="preserve">proof-of-concept is composed </w:t>
      </w:r>
      <w:r w:rsidR="00C40AC7" w:rsidRPr="008B2319">
        <w:t xml:space="preserve">of </w:t>
      </w:r>
      <w:r w:rsidRPr="008B2319">
        <w:t>a biogas clean-up unit (for the removal of H</w:t>
      </w:r>
      <w:r w:rsidRPr="008B2319">
        <w:rPr>
          <w:vertAlign w:val="subscript"/>
        </w:rPr>
        <w:t>2</w:t>
      </w:r>
      <w:r w:rsidRPr="008B2319">
        <w:t xml:space="preserve">S and siloxanes), gas pre-heaters, an evaporator to feed the </w:t>
      </w:r>
      <w:r w:rsidR="00165920" w:rsidRPr="008B2319">
        <w:t xml:space="preserve">methane </w:t>
      </w:r>
      <w:r w:rsidRPr="008B2319">
        <w:t xml:space="preserve">reformer, </w:t>
      </w:r>
      <w:r w:rsidR="00A64D13" w:rsidRPr="008B2319">
        <w:t xml:space="preserve">a catalytic reactor for steam reforming, </w:t>
      </w:r>
      <w:r w:rsidR="00A64D13" w:rsidRPr="008B2319">
        <w:rPr>
          <w:noProof/>
        </w:rPr>
        <w:t>a</w:t>
      </w:r>
      <w:r w:rsidR="00640366" w:rsidRPr="008B2319">
        <w:rPr>
          <w:noProof/>
        </w:rPr>
        <w:t>n</w:t>
      </w:r>
      <w:r w:rsidR="00A64D13" w:rsidRPr="008B2319">
        <w:rPr>
          <w:noProof/>
        </w:rPr>
        <w:t xml:space="preserve"> SOFC</w:t>
      </w:r>
      <w:r w:rsidR="00A64D13" w:rsidRPr="008B2319">
        <w:t xml:space="preserve"> stack, an oxy-combustor of the anode off-gas stream, </w:t>
      </w:r>
      <w:r w:rsidRPr="008B2319">
        <w:t xml:space="preserve">a water condenser, a </w:t>
      </w:r>
      <w:r w:rsidR="006B7FA5" w:rsidRPr="008B2319">
        <w:rPr>
          <w:noProof/>
        </w:rPr>
        <w:t>dry</w:t>
      </w:r>
      <w:r w:rsidRPr="008B2319">
        <w:rPr>
          <w:noProof/>
        </w:rPr>
        <w:t>er</w:t>
      </w:r>
      <w:r w:rsidRPr="008B2319">
        <w:t xml:space="preserve"> of the residual CO</w:t>
      </w:r>
      <w:r w:rsidRPr="008B2319">
        <w:rPr>
          <w:vertAlign w:val="subscript"/>
        </w:rPr>
        <w:t>2</w:t>
      </w:r>
      <w:r w:rsidRPr="008B2319">
        <w:t xml:space="preserve"> stream, and finally a photo-bio-reactor (PBR) for the CO</w:t>
      </w:r>
      <w:r w:rsidRPr="008B2319">
        <w:rPr>
          <w:vertAlign w:val="subscript"/>
        </w:rPr>
        <w:t>2</w:t>
      </w:r>
      <w:r w:rsidRPr="008B2319">
        <w:t xml:space="preserve"> recycling in </w:t>
      </w:r>
      <w:r w:rsidRPr="008B2319">
        <w:rPr>
          <w:noProof/>
        </w:rPr>
        <w:t>microalgae</w:t>
      </w:r>
      <w:r w:rsidR="00165920" w:rsidRPr="008B2319">
        <w:t xml:space="preserve"> (see </w:t>
      </w:r>
      <w:r w:rsidR="00165920" w:rsidRPr="008B2319">
        <w:fldChar w:fldCharType="begin"/>
      </w:r>
      <w:r w:rsidR="00165920" w:rsidRPr="008B2319">
        <w:instrText xml:space="preserve"> REF _Ref448237500 \h </w:instrText>
      </w:r>
      <w:r w:rsidR="00165920" w:rsidRPr="008B2319">
        <w:fldChar w:fldCharType="separate"/>
      </w:r>
      <w:r w:rsidR="00165920" w:rsidRPr="008B2319">
        <w:t>Figure 1</w:t>
      </w:r>
      <w:r w:rsidR="00165920" w:rsidRPr="008B2319">
        <w:fldChar w:fldCharType="end"/>
      </w:r>
      <w:r w:rsidR="00165920" w:rsidRPr="008B2319">
        <w:t>)</w:t>
      </w:r>
      <w:r w:rsidRPr="008B2319">
        <w:t xml:space="preserve">. </w:t>
      </w:r>
      <w:r w:rsidR="00A64D13" w:rsidRPr="008B2319">
        <w:t>The oxy-combustor is installed in order to recover pure CO</w:t>
      </w:r>
      <w:r w:rsidR="00A64D13" w:rsidRPr="008B2319">
        <w:rPr>
          <w:vertAlign w:val="subscript"/>
        </w:rPr>
        <w:t>2</w:t>
      </w:r>
      <w:r w:rsidR="00A64D13" w:rsidRPr="008B2319">
        <w:t xml:space="preserve"> from the anode exhaust stream: in fact, it is able to convert all the residual fuel (mainly H</w:t>
      </w:r>
      <w:r w:rsidR="00A64D13" w:rsidRPr="008B2319">
        <w:rPr>
          <w:vertAlign w:val="subscript"/>
        </w:rPr>
        <w:t>2</w:t>
      </w:r>
      <w:r w:rsidR="00A64D13" w:rsidRPr="008B2319">
        <w:t xml:space="preserve"> and CO) into H</w:t>
      </w:r>
      <w:r w:rsidR="00A64D13" w:rsidRPr="008B2319">
        <w:rPr>
          <w:vertAlign w:val="subscript"/>
        </w:rPr>
        <w:t>2</w:t>
      </w:r>
      <w:r w:rsidR="00A64D13" w:rsidRPr="008B2319">
        <w:t>O and CO</w:t>
      </w:r>
      <w:r w:rsidR="00A64D13" w:rsidRPr="008B2319">
        <w:rPr>
          <w:vertAlign w:val="subscript"/>
        </w:rPr>
        <w:t>2</w:t>
      </w:r>
      <w:r w:rsidR="00A64D13" w:rsidRPr="008B2319">
        <w:t>. The resulting oxy-combusted anode exhaust thus consists mainly of H</w:t>
      </w:r>
      <w:r w:rsidR="00A64D13" w:rsidRPr="008B2319">
        <w:rPr>
          <w:vertAlign w:val="subscript"/>
        </w:rPr>
        <w:t>2</w:t>
      </w:r>
      <w:r w:rsidR="00A64D13" w:rsidRPr="008B2319">
        <w:t>O and CO</w:t>
      </w:r>
      <w:r w:rsidR="00A64D13" w:rsidRPr="008B2319">
        <w:rPr>
          <w:vertAlign w:val="subscript"/>
        </w:rPr>
        <w:t>2</w:t>
      </w:r>
      <w:r w:rsidR="00A64D13" w:rsidRPr="008B2319">
        <w:t>. Then, a relatively simple condenser unit is sufficient to recover a high-purity CO</w:t>
      </w:r>
      <w:r w:rsidR="00A64D13" w:rsidRPr="008B2319">
        <w:rPr>
          <w:vertAlign w:val="subscript"/>
        </w:rPr>
        <w:t>2</w:t>
      </w:r>
      <w:r w:rsidR="00A64D13" w:rsidRPr="008B2319">
        <w:t xml:space="preserve"> stream </w:t>
      </w:r>
      <w:r w:rsidR="00A64D13" w:rsidRPr="008B2319">
        <w:fldChar w:fldCharType="begin" w:fldLock="1"/>
      </w:r>
      <w:r w:rsidR="008A464B" w:rsidRPr="008B2319">
        <w:instrText>ADDIN CSL_CITATION { "citationItems" : [ { "id" : "ITEM-1", "itemData" : { "DOI" : "10.1016/j.ijggc.2014.04.028", "ISSN" : "17505836", "abstract" : "This work analyzes the efficiency and economic performance of different configurations of a coal-fed integrated gasification fuel cell (IGFC) plant with CO2 capture. Our analysis evaluates novel configurations, providing a detailed economic assessment for each case. The plants studied here are based on a pressurized solid oxide fuel cell (SOFC) based power cycle integrated with a Shell coal gasifier. The design variations focus on syngas cleaning and pre-processing upstream of the SOFC power island. In particular, we have designed, simulated and optimized three main system configurations; two with a partial methanation process upstream of the SOFC (\u2018TREMP\u2019 and \u2018HICOM\u2019 cases, respectively) and one without (\u2018DIRECT\u2019 case). Depending on the specific plant layout, carbon capture is accomplished either before or after the SOFC power island, or both. The best performance, both thermodynamic and economic, was achieved by the HICOM case, whose coal-to-electricity conversion efficiency is \u223c55% (lower heating value, LHV, basis). Note that this paper is meant to supplant the preliminary results presented in Lanzini et al. (2012).", "author" : [ { "dropping-particle" : "", "family" : "Lanzini", "given" : "a.", "non-dropping-particle" : "", "parse-names" : false, "suffix" : "" }, { "dropping-particle" : "", "family" : "Kreutz", "given" : "T.G.", "non-dropping-particle" : "", "parse-names" : false, "suffix" : "" }, { "dropping-particle" : "", "family" : "Martelli", "given" : "E.", "non-dropping-particle" : "", "parse-names" : false, "suffix" : "" }, { "dropping-particle" : "", "family" : "Santarelli", "given" : "M.", "non-dropping-particle" : "", "parse-names" : false, "suffix" : "" } ], "container-title" : "International Journal of Greenhouse Gas Control", "id" : "ITEM-1", "issued" : { "date-parts" : [ [ "2014", "7" ] ] }, "page" : "169-184", "publisher" : "Elsevier Ltd", "title" : "Energy and economic performance of novel integrated gasifier fuel cell (IGFC) cycles with carbon capture", "type" : "article-journal", "volume" : "26" }, "uris" : [ "http://www.mendeley.com/documents/?uuid=14be369a-9054-4a8e-955e-fc25e64561b8" ] }, { "id" : "ITEM-2", "itemData" : { "DOI" : "10.1016/j.jpowsour.2015.06.091", "ISSN" : "03787753", "abstract" : "This article investigates the techno-economic performance of large integrated biogas Solid Oxide Fuel Cell (SOFC) power plants. Both atmospheric and pressurized operation is analysed with CO2 vented or captured. The SOFC module produces a constant electrical power of 1\u00a0MWe. Sensitivity analysis and multi-objective optimization are the mathematical tools used to investigate the effects of Fuel Utilization (FU), SOFC operating temperature and pressure on the plant energy and economic performances. FU is the design variable that most affects the plant performance. Pressurized SOFC with hybridization with a gas turbine provides a notable boost in electrical efficiency. For most of the proposed plant configurations, the electrical efficiency ranges in the interval 50\u201362% (LHV biogas) when a trade-off of between energy and economic performances is applied based on Pareto charts obtained from multi-objective plant optimization. The hybrid SOFC is potentially able to reach an efficiency above 70% when FU is 90%. Carbon capture entails a penalty of more 10 percentage points in pressurized configurations mainly due to the extra energy burdens of captured CO2 pressurization and oxygen production and for the separate and different handling of the anode and cathode exhausts and power recovery from them.", "author" : [ { "dropping-particle" : "", "family" : "Curletti", "given" : "F.", "non-dropping-particle" : "", "parse-names" : false, "suffix" : "" }, { "dropping-particle" : "", "family" : "Gandiglio", "given" : "M.", "non-dropping-particle" : "", "parse-names" : false, "suffix" : "" }, { "dropping-particle" : "", "family" : "Lanzini", "given" : "A.", "non-dropping-particle" : "", "parse-names" : false, "suffix" : "" }, { "dropping-particle" : "", "family" : "Santarelli", "given" : "M.", "non-dropping-particle" : "", "parse-names" : false, "suffix" : "" }, { "dropping-particle" : "", "family" : "Mar\u00e9chal", "given" : "F.", "non-dropping-particle" : "", "parse-names" : false, "suffix" : "" } ], "container-title" : "Journal of Power Sources", "id" : "ITEM-2", "issued" : { "date-parts" : [ [ "2015", "10" ] ] }, "page" : "669-690", "title" : "Large size biogas-fed Solid Oxide Fuel Cell power plants with carbon dioxide management: Technical and economic optimization", "type" : "article-journal", "volume" : "294" }, "uris" : [ "http://www.mendeley.com/documents/?uuid=a0e5150f-688b-4b63-a037-d38104323742" ] }, { "id" : "ITEM-3", "itemData" : { "DOI" : "10.1115/1.4026088", "ISBN" : "978-0-7918-5552-2", "ISSN" : "1550-624X", "author" : [ { "dropping-particle" : "", "family" : "Gandiglio", "given" : "Marta", "non-dropping-particle" : "", "parse-names" : false, "suffix" : "" }, { "dropping-particle" : "", "family" : "Lanzini", "given" : "Andrea", "non-dropping-particle" : "", "parse-names" : false, "suffix" : "" }, { "dropping-particle" : "", "family" : "Santarelli", "given" : "Massimo", "non-dropping-particle" : "", "parse-names" : false, "suffix" : "" }, { "dropping-particle" : "", "family" : "Leone", "given" : "Pierluigi", "non-dropping-particle" : "", "parse-names" : false, "suffix" : "" } ], "container-title" : "Journal of Fuel Cell Science and Technology", "id" : "ITEM-3", "issue" : "June", "issued" : { "date-parts" : [ [ "2014" ] ] }, "page" : "031003", "title" : "ASME DC | Journal of Fuel Cell Science and Technology | Design and Balance-of-Plant of a Demonstration Plant With a Solid Oxide Fuel Cell Fed by Biogas From Waste-Water and Exhaust Carbon Recycling for Algae Growth", "type" : "article-journal", "volume" : "11" }, "uris" : [ "http://www.mendeley.com/documents/?uuid=a240a0d5-a336-4c4d-a952-d5d30cb81b9c" ] } ], "mendeley" : { "formattedCitation" : "[31]\u2013[33]", "plainTextFormattedCitation" : "[31]\u2013[33]", "previouslyFormattedCitation" : "[31]\u2013[33]" }, "properties" : { "noteIndex" : 0 }, "schema" : "https://github.com/citation-style-language/schema/raw/master/csl-citation.json" }</w:instrText>
      </w:r>
      <w:r w:rsidR="00A64D13" w:rsidRPr="008B2319">
        <w:fldChar w:fldCharType="separate"/>
      </w:r>
      <w:r w:rsidR="002F59CE" w:rsidRPr="008B2319">
        <w:rPr>
          <w:noProof/>
          <w:lang w:val="en-US"/>
        </w:rPr>
        <w:t>[31]–[33]</w:t>
      </w:r>
      <w:r w:rsidR="00A64D13" w:rsidRPr="008B2319">
        <w:fldChar w:fldCharType="end"/>
      </w:r>
      <w:r w:rsidR="00A64D13" w:rsidRPr="008B2319">
        <w:rPr>
          <w:lang w:val="en-US"/>
        </w:rPr>
        <w:t>.</w:t>
      </w:r>
    </w:p>
    <w:p w14:paraId="1AA4EDC6" w14:textId="77777777" w:rsidR="00165920" w:rsidRPr="008B2319" w:rsidRDefault="00165920" w:rsidP="00165920">
      <w:pPr>
        <w:keepNext/>
        <w:jc w:val="center"/>
      </w:pPr>
      <w:r w:rsidRPr="008B2319">
        <w:rPr>
          <w:noProof/>
          <w:lang w:val="it-IT" w:eastAsia="it-IT"/>
        </w:rPr>
        <w:drawing>
          <wp:inline distT="0" distB="0" distL="0" distR="0" wp14:anchorId="742C8B4A" wp14:editId="66E53774">
            <wp:extent cx="6048000" cy="3272400"/>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ema SOFCOM.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48000" cy="3272400"/>
                    </a:xfrm>
                    <a:prstGeom prst="rect">
                      <a:avLst/>
                    </a:prstGeom>
                  </pic:spPr>
                </pic:pic>
              </a:graphicData>
            </a:graphic>
          </wp:inline>
        </w:drawing>
      </w:r>
    </w:p>
    <w:p w14:paraId="44427662" w14:textId="77777777" w:rsidR="00C40AC7" w:rsidRPr="008B2319" w:rsidRDefault="00165920" w:rsidP="00165920">
      <w:pPr>
        <w:pStyle w:val="Caption"/>
      </w:pPr>
      <w:bookmarkStart w:id="2" w:name="_Ref448237500"/>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B53F43" w:rsidRPr="008B2319">
        <w:rPr>
          <w:noProof/>
        </w:rPr>
        <w:t>1</w:t>
      </w:r>
      <w:r w:rsidR="00825D4F" w:rsidRPr="008B2319">
        <w:rPr>
          <w:noProof/>
        </w:rPr>
        <w:fldChar w:fldCharType="end"/>
      </w:r>
      <w:bookmarkEnd w:id="2"/>
      <w:r w:rsidRPr="008B2319">
        <w:t>. SOFCOM proof-of-concept layout.</w:t>
      </w:r>
    </w:p>
    <w:p w14:paraId="44C462F2" w14:textId="77777777" w:rsidR="00A64D13" w:rsidRPr="008B2319" w:rsidRDefault="00A64D13" w:rsidP="00AC7ED4"/>
    <w:p w14:paraId="3D14B37C" w14:textId="77777777" w:rsidR="00AC7ED4" w:rsidRPr="008B2319" w:rsidRDefault="006E2828" w:rsidP="00AC7ED4">
      <w:r w:rsidRPr="008B2319">
        <w:t xml:space="preserve">The developed model takes into account the </w:t>
      </w:r>
      <w:r w:rsidRPr="008B2319">
        <w:rPr>
          <w:noProof/>
        </w:rPr>
        <w:t>above</w:t>
      </w:r>
      <w:r w:rsidR="00640366" w:rsidRPr="008B2319">
        <w:rPr>
          <w:noProof/>
        </w:rPr>
        <w:t>-</w:t>
      </w:r>
      <w:r w:rsidRPr="008B2319">
        <w:rPr>
          <w:noProof/>
        </w:rPr>
        <w:t>listed</w:t>
      </w:r>
      <w:r w:rsidRPr="008B2319">
        <w:t xml:space="preserve"> components at macroscopic lumped-volume scale, in order to </w:t>
      </w:r>
      <w:r w:rsidRPr="008B2319">
        <w:rPr>
          <w:noProof/>
        </w:rPr>
        <w:t>analy</w:t>
      </w:r>
      <w:r w:rsidR="00640366" w:rsidRPr="008B2319">
        <w:rPr>
          <w:noProof/>
        </w:rPr>
        <w:t>z</w:t>
      </w:r>
      <w:r w:rsidRPr="008B2319">
        <w:rPr>
          <w:noProof/>
        </w:rPr>
        <w:t>e</w:t>
      </w:r>
      <w:r w:rsidRPr="008B2319">
        <w:t xml:space="preserve"> their transient </w:t>
      </w:r>
      <w:r w:rsidRPr="008B2319">
        <w:rPr>
          <w:noProof/>
        </w:rPr>
        <w:t>behavior</w:t>
      </w:r>
      <w:r w:rsidRPr="008B2319">
        <w:t>.</w:t>
      </w:r>
      <w:r w:rsidR="00AC7ED4" w:rsidRPr="008B2319">
        <w:t xml:space="preserve"> In the </w:t>
      </w:r>
      <w:r w:rsidR="00A64D13" w:rsidRPr="008B2319">
        <w:t xml:space="preserve">description </w:t>
      </w:r>
      <w:r w:rsidR="00AC7ED4" w:rsidRPr="008B2319">
        <w:t>and analys</w:t>
      </w:r>
      <w:r w:rsidR="00A64D13" w:rsidRPr="008B2319">
        <w:t>is</w:t>
      </w:r>
      <w:r w:rsidR="00AC7ED4" w:rsidRPr="008B2319">
        <w:t xml:space="preserve"> </w:t>
      </w:r>
      <w:r w:rsidR="00A64D13" w:rsidRPr="008B2319">
        <w:t xml:space="preserve">developed </w:t>
      </w:r>
      <w:r w:rsidR="00AC7ED4" w:rsidRPr="008B2319">
        <w:t xml:space="preserve">in this paper, the </w:t>
      </w:r>
      <w:r w:rsidR="0001753C" w:rsidRPr="008B2319">
        <w:t xml:space="preserve">clean-up system, oxy-combustor, </w:t>
      </w:r>
      <w:r w:rsidR="00AC7ED4" w:rsidRPr="008B2319">
        <w:t xml:space="preserve">water condenser and the PBR have been neglected since the focus is the dynamic </w:t>
      </w:r>
      <w:r w:rsidR="00AC7ED4" w:rsidRPr="008B2319">
        <w:rPr>
          <w:noProof/>
        </w:rPr>
        <w:t>behavior</w:t>
      </w:r>
      <w:r w:rsidR="00AC7ED4" w:rsidRPr="008B2319">
        <w:t xml:space="preserve"> of the SOFC </w:t>
      </w:r>
      <w:r w:rsidR="00165920" w:rsidRPr="008B2319">
        <w:t>island</w:t>
      </w:r>
      <w:r w:rsidR="00AC7ED4" w:rsidRPr="008B2319">
        <w:t>.</w:t>
      </w:r>
    </w:p>
    <w:p w14:paraId="5E366028" w14:textId="77777777" w:rsidR="006E2828" w:rsidRPr="008B2319" w:rsidRDefault="00A64D13" w:rsidP="006E2828">
      <w:r w:rsidRPr="008B2319">
        <w:fldChar w:fldCharType="begin"/>
      </w:r>
      <w:r w:rsidRPr="008B2319">
        <w:instrText xml:space="preserve"> REF _Ref449866564 \h  \* MERGEFORMAT </w:instrText>
      </w:r>
      <w:r w:rsidRPr="008B2319">
        <w:fldChar w:fldCharType="separate"/>
      </w:r>
      <w:r w:rsidRPr="008B2319">
        <w:t xml:space="preserve">Figure </w:t>
      </w:r>
      <w:r w:rsidRPr="008B2319">
        <w:rPr>
          <w:noProof/>
        </w:rPr>
        <w:t>2</w:t>
      </w:r>
      <w:r w:rsidRPr="008B2319">
        <w:fldChar w:fldCharType="end"/>
      </w:r>
      <w:r w:rsidRPr="008B2319">
        <w:t xml:space="preserve"> shows the strategy adopted. The core component of the SOFCOM </w:t>
      </w:r>
      <w:r w:rsidRPr="008B2319">
        <w:rPr>
          <w:noProof/>
        </w:rPr>
        <w:t>proof</w:t>
      </w:r>
      <w:r w:rsidR="00640366" w:rsidRPr="008B2319">
        <w:rPr>
          <w:noProof/>
        </w:rPr>
        <w:t>-</w:t>
      </w:r>
      <w:r w:rsidRPr="008B2319">
        <w:rPr>
          <w:noProof/>
        </w:rPr>
        <w:t>of-concept</w:t>
      </w:r>
      <w:r w:rsidRPr="008B2319">
        <w:t xml:space="preserve">, the </w:t>
      </w:r>
      <w:r w:rsidR="00640366" w:rsidRPr="008B2319">
        <w:t xml:space="preserve">integrated </w:t>
      </w:r>
      <w:r w:rsidRPr="008B2319">
        <w:t xml:space="preserve">SOFC stack biogas reformer, is </w:t>
      </w:r>
      <w:r w:rsidR="00640366" w:rsidRPr="008B2319">
        <w:rPr>
          <w:noProof/>
        </w:rPr>
        <w:t>modeled</w:t>
      </w:r>
      <w:r w:rsidR="00640366" w:rsidRPr="008B2319">
        <w:t xml:space="preserve"> using a lumped-parameters</w:t>
      </w:r>
      <w:r w:rsidRPr="008B2319">
        <w:t xml:space="preserve"> MATLAB</w:t>
      </w:r>
      <w:r w:rsidRPr="008B2319">
        <w:rPr>
          <w:rFonts w:cs="Times New Roman"/>
          <w:vertAlign w:val="superscript"/>
        </w:rPr>
        <w:t>®</w:t>
      </w:r>
      <w:r w:rsidRPr="008B2319">
        <w:t xml:space="preserve"> </w:t>
      </w:r>
      <w:r w:rsidR="00640366" w:rsidRPr="008B2319">
        <w:t xml:space="preserve">code (SOFC LPM), which solves a </w:t>
      </w:r>
      <w:r w:rsidR="00640366" w:rsidRPr="008B2319">
        <w:rPr>
          <w:noProof/>
        </w:rPr>
        <w:t>set of</w:t>
      </w:r>
      <w:r w:rsidR="00640366" w:rsidRPr="008B2319">
        <w:t xml:space="preserve"> equation that </w:t>
      </w:r>
      <w:r w:rsidR="00640366" w:rsidRPr="008B2319">
        <w:rPr>
          <w:noProof/>
        </w:rPr>
        <w:t>includes</w:t>
      </w:r>
      <w:r w:rsidR="00640366" w:rsidRPr="008B2319">
        <w:t xml:space="preserve"> molar balances (based on the electrochemical reactions within the SOFC), steam reforming and water-gas shift chemical reactions based on the equilibrium constants of the two reactions, and the energy balance of the overall ‘hot box’</w:t>
      </w:r>
      <w:r w:rsidRPr="008B2319">
        <w:t>.</w:t>
      </w:r>
      <w:r w:rsidR="00640366" w:rsidRPr="008B2319">
        <w:t xml:space="preserve"> The</w:t>
      </w:r>
      <w:r w:rsidRPr="008B2319">
        <w:t xml:space="preserve"> LPM </w:t>
      </w:r>
      <w:r w:rsidR="00640366" w:rsidRPr="008B2319">
        <w:t>code</w:t>
      </w:r>
      <w:r w:rsidRPr="008B2319">
        <w:t xml:space="preserve"> </w:t>
      </w:r>
      <w:r w:rsidR="00640366" w:rsidRPr="008B2319">
        <w:t>is</w:t>
      </w:r>
      <w:r w:rsidRPr="008B2319">
        <w:t xml:space="preserve"> nested loop inside a </w:t>
      </w:r>
      <w:r w:rsidRPr="008B2319">
        <w:rPr>
          <w:noProof/>
        </w:rPr>
        <w:t>second</w:t>
      </w:r>
      <w:r w:rsidR="00640366" w:rsidRPr="008B2319">
        <w:rPr>
          <w:noProof/>
        </w:rPr>
        <w:t xml:space="preserve"> </w:t>
      </w:r>
      <w:r w:rsidRPr="008B2319">
        <w:lastRenderedPageBreak/>
        <w:t xml:space="preserve">model, </w:t>
      </w:r>
      <w:r w:rsidR="00640366" w:rsidRPr="008B2319">
        <w:t xml:space="preserve">which is </w:t>
      </w:r>
      <w:r w:rsidRPr="008B2319">
        <w:t>a SIMULINK</w:t>
      </w:r>
      <w:r w:rsidRPr="008B2319">
        <w:rPr>
          <w:rFonts w:cs="Times New Roman"/>
          <w:vertAlign w:val="superscript"/>
        </w:rPr>
        <w:t>®</w:t>
      </w:r>
      <w:r w:rsidRPr="008B2319">
        <w:t xml:space="preserve"> Dynamic Model. </w:t>
      </w:r>
      <w:r w:rsidR="00640366" w:rsidRPr="008B2319">
        <w:t xml:space="preserve">A detailed </w:t>
      </w:r>
      <w:r w:rsidRPr="008B2319">
        <w:t>description</w:t>
      </w:r>
      <w:r w:rsidR="00640366" w:rsidRPr="008B2319">
        <w:t xml:space="preserve"> of the two models</w:t>
      </w:r>
      <w:r w:rsidRPr="008B2319">
        <w:t xml:space="preserve"> </w:t>
      </w:r>
      <w:r w:rsidR="00640366" w:rsidRPr="008B2319">
        <w:t>is</w:t>
      </w:r>
      <w:r w:rsidRPr="008B2319">
        <w:t xml:space="preserve"> provided in the following paragraphs.</w:t>
      </w:r>
    </w:p>
    <w:p w14:paraId="6713BCA4" w14:textId="77777777" w:rsidR="00165920" w:rsidRPr="008B2319" w:rsidRDefault="006E2828" w:rsidP="00165920">
      <w:pPr>
        <w:keepNext/>
        <w:jc w:val="center"/>
      </w:pPr>
      <w:r w:rsidRPr="008B2319">
        <w:rPr>
          <w:noProof/>
          <w:lang w:val="it-IT" w:eastAsia="it-IT"/>
        </w:rPr>
        <w:drawing>
          <wp:inline distT="0" distB="0" distL="0" distR="0" wp14:anchorId="37F677AF" wp14:editId="48D1EE34">
            <wp:extent cx="6120000" cy="1961967"/>
            <wp:effectExtent l="0" t="0" r="0" b="63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odel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000" cy="1961967"/>
                    </a:xfrm>
                    <a:prstGeom prst="rect">
                      <a:avLst/>
                    </a:prstGeom>
                  </pic:spPr>
                </pic:pic>
              </a:graphicData>
            </a:graphic>
          </wp:inline>
        </w:drawing>
      </w:r>
    </w:p>
    <w:p w14:paraId="7B38BECF" w14:textId="77777777" w:rsidR="006E2828" w:rsidRPr="008B2319" w:rsidRDefault="00165920" w:rsidP="006E2828">
      <w:pPr>
        <w:pStyle w:val="Caption"/>
      </w:pPr>
      <w:bookmarkStart w:id="3" w:name="_Ref449866564"/>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B53F43" w:rsidRPr="008B2319">
        <w:rPr>
          <w:noProof/>
        </w:rPr>
        <w:t>2</w:t>
      </w:r>
      <w:r w:rsidR="00825D4F" w:rsidRPr="008B2319">
        <w:rPr>
          <w:noProof/>
        </w:rPr>
        <w:fldChar w:fldCharType="end"/>
      </w:r>
      <w:bookmarkEnd w:id="3"/>
      <w:r w:rsidRPr="008B2319">
        <w:t>.</w:t>
      </w:r>
      <w:r w:rsidR="00C5500F" w:rsidRPr="008B2319">
        <w:t xml:space="preserve"> </w:t>
      </w:r>
      <w:r w:rsidR="00124DE6" w:rsidRPr="008B2319">
        <w:t>M</w:t>
      </w:r>
      <w:r w:rsidR="006E2828" w:rsidRPr="008B2319">
        <w:t xml:space="preserve">odel’s strategy </w:t>
      </w:r>
      <w:r w:rsidR="00124DE6" w:rsidRPr="008B2319">
        <w:t>adopted</w:t>
      </w:r>
      <w:r w:rsidRPr="008B2319">
        <w:t>.</w:t>
      </w:r>
    </w:p>
    <w:p w14:paraId="4AFD063B" w14:textId="77777777" w:rsidR="0001753C" w:rsidRPr="008B2319" w:rsidRDefault="0001753C" w:rsidP="0001753C"/>
    <w:p w14:paraId="67E4E929" w14:textId="77777777" w:rsidR="006E2828" w:rsidRPr="008B2319" w:rsidRDefault="006E2828" w:rsidP="0065464D">
      <w:pPr>
        <w:pStyle w:val="Heading2"/>
        <w:rPr>
          <w:sz w:val="24"/>
          <w:szCs w:val="24"/>
        </w:rPr>
      </w:pPr>
      <w:bookmarkStart w:id="4" w:name="_Toc444608473"/>
      <w:r w:rsidRPr="008B2319">
        <w:rPr>
          <w:sz w:val="24"/>
          <w:szCs w:val="24"/>
        </w:rPr>
        <w:t>Lumped model</w:t>
      </w:r>
      <w:bookmarkEnd w:id="4"/>
      <w:r w:rsidR="00B31A39" w:rsidRPr="008B2319">
        <w:rPr>
          <w:sz w:val="24"/>
          <w:szCs w:val="24"/>
        </w:rPr>
        <w:t>s for reformer and SOFC stack</w:t>
      </w:r>
    </w:p>
    <w:p w14:paraId="53D1C108" w14:textId="2B516C65" w:rsidR="00124DE6" w:rsidRPr="008B2319" w:rsidRDefault="006E2828" w:rsidP="00124DE6">
      <w:r w:rsidRPr="008B2319">
        <w:rPr>
          <w:lang w:val="en-US"/>
        </w:rPr>
        <w:t>A</w:t>
      </w:r>
      <w:r w:rsidR="00B31A39" w:rsidRPr="008B2319">
        <w:rPr>
          <w:lang w:val="en-US"/>
        </w:rPr>
        <w:t xml:space="preserve"> schematic block diagram for the lumpe</w:t>
      </w:r>
      <w:r w:rsidR="00A64D13" w:rsidRPr="008B2319">
        <w:rPr>
          <w:lang w:val="en-US"/>
        </w:rPr>
        <w:t>d volume model</w:t>
      </w:r>
      <w:r w:rsidR="00B31A39" w:rsidRPr="008B2319">
        <w:rPr>
          <w:lang w:val="en-US"/>
        </w:rPr>
        <w:t xml:space="preserve"> of </w:t>
      </w:r>
      <w:r w:rsidR="00A64D13" w:rsidRPr="008B2319">
        <w:rPr>
          <w:lang w:val="en-US"/>
        </w:rPr>
        <w:t xml:space="preserve">the </w:t>
      </w:r>
      <w:r w:rsidR="00A64D13" w:rsidRPr="008B2319">
        <w:t>SOFC stack + biogas reformer</w:t>
      </w:r>
      <w:r w:rsidR="00A64D13" w:rsidRPr="008B2319">
        <w:rPr>
          <w:lang w:val="en-US"/>
        </w:rPr>
        <w:t xml:space="preserve"> is </w:t>
      </w:r>
      <w:r w:rsidRPr="008B2319">
        <w:rPr>
          <w:lang w:val="en-US"/>
        </w:rPr>
        <w:t>shown in</w:t>
      </w:r>
      <w:r w:rsidR="0068439F" w:rsidRPr="008B2319">
        <w:rPr>
          <w:lang w:val="en-US"/>
        </w:rPr>
        <w:t xml:space="preserve"> </w:t>
      </w:r>
      <w:r w:rsidR="0068439F" w:rsidRPr="008B2319">
        <w:rPr>
          <w:lang w:val="en-US"/>
        </w:rPr>
        <w:fldChar w:fldCharType="begin"/>
      </w:r>
      <w:r w:rsidR="0068439F" w:rsidRPr="008B2319">
        <w:rPr>
          <w:lang w:val="en-US"/>
        </w:rPr>
        <w:instrText xml:space="preserve"> REF _Ref448237723 \h </w:instrText>
      </w:r>
      <w:r w:rsidR="0068439F" w:rsidRPr="008B2319">
        <w:rPr>
          <w:lang w:val="en-US"/>
        </w:rPr>
      </w:r>
      <w:r w:rsidR="0068439F" w:rsidRPr="008B2319">
        <w:rPr>
          <w:lang w:val="en-US"/>
        </w:rPr>
        <w:fldChar w:fldCharType="separate"/>
      </w:r>
      <w:r w:rsidR="0068439F" w:rsidRPr="008B2319">
        <w:t xml:space="preserve">Figure </w:t>
      </w:r>
      <w:r w:rsidR="0068439F" w:rsidRPr="008B2319">
        <w:rPr>
          <w:noProof/>
        </w:rPr>
        <w:t>3</w:t>
      </w:r>
      <w:r w:rsidR="0068439F" w:rsidRPr="008B2319">
        <w:rPr>
          <w:lang w:val="en-US"/>
        </w:rPr>
        <w:fldChar w:fldCharType="end"/>
      </w:r>
      <w:r w:rsidR="00B31A39" w:rsidRPr="008B2319">
        <w:rPr>
          <w:lang w:val="en-US"/>
        </w:rPr>
        <w:t xml:space="preserve"> (</w:t>
      </w:r>
      <w:r w:rsidR="00B31A39" w:rsidRPr="008B2319">
        <w:rPr>
          <w:lang w:val="en-US"/>
        </w:rPr>
        <w:fldChar w:fldCharType="begin" w:fldLock="1"/>
      </w:r>
      <w:r w:rsidR="008A464B" w:rsidRPr="008B2319">
        <w:rPr>
          <w:lang w:val="en-US"/>
        </w:rPr>
        <w:instrText>ADDIN CSL_CITATION { "citationItems" : [ { "id" : "ITEM-1", "itemData" : { "DOI" : "10.1016/j.jpowsour.2011.10.010", "ISBN" : "0378-7753", "ISSN" : "03787753", "abstract" : "Recent advances in computational techniques have allowed the application of computational tools to study heterogeneous functional materials (HeteroFoaMs) in the solid oxide fuel cell (SOFC) from the quantum (sub-atomic) to atomistic to the continuum scales. However, knowledge gained from a particular computational technique can only provide insight at that specific scale. There has been a recent interest to develop a more cohesive effort so that results obtained from models across a particular spatial dimension can be used to extract additional insight across a larger range of length scales. This review article surveys recent progress in the modeling and simulation of SOFCs, and relates them to the relevant physical phenomena and length/time scales. We then proceed to review the various numerical techniques used, and their applicability across the length and time scales. ?? 2011 Elsevier B.V. All rights reserved.", "author" : [ { "dropping-particle" : "", "family" : "Grew", "given" : "Kyle N.", "non-dropping-particle" : "", "parse-names" : false, "suffix" : "" }, { "dropping-particle" : "", "family" : "Chiu", "given" : "Wilson K S", "non-dropping-particle" : "", "parse-names" : false, "suffix" : "" } ], "container-title" : "Journal of Power Sources", "id" : "ITEM-1", "issued" : { "date-parts" : [ [ "2012" ] ] }, "page" : "1-13", "title" : "A review of modeling and simulation techniques across the length scales for the solid oxide fuel cell", "type" : "article", "volume" : "199" }, "uris" : [ "http://www.mendeley.com/documents/?uuid=3656bd40-706c-421b-b326-c30a39e1ad27", "http://www.mendeley.com/documents/?uuid=a4d4092f-d3dc-46f7-a8ee-fdbdf85b9ac7", "http://www.mendeley.com/documents/?uuid=f5e5d693-2271-4b0c-8b5f-05aa107e3497" ] } ], "mendeley" : { "formattedCitation" : "[27]", "plainTextFormattedCitation" : "[27]", "previouslyFormattedCitation" : "[27]" }, "properties" : { "noteIndex" : 0 }, "schema" : "https://github.com/citation-style-language/schema/raw/master/csl-citation.json" }</w:instrText>
      </w:r>
      <w:r w:rsidR="00B31A39" w:rsidRPr="008B2319">
        <w:rPr>
          <w:lang w:val="en-US"/>
        </w:rPr>
        <w:fldChar w:fldCharType="separate"/>
      </w:r>
      <w:r w:rsidR="002F59CE" w:rsidRPr="008B2319">
        <w:rPr>
          <w:noProof/>
          <w:lang w:val="en-US"/>
        </w:rPr>
        <w:t>[27]</w:t>
      </w:r>
      <w:r w:rsidR="00B31A39" w:rsidRPr="008B2319">
        <w:rPr>
          <w:lang w:val="en-US"/>
        </w:rPr>
        <w:fldChar w:fldCharType="end"/>
      </w:r>
      <w:r w:rsidR="00B31A39" w:rsidRPr="008B2319">
        <w:rPr>
          <w:lang w:val="en-US"/>
        </w:rPr>
        <w:fldChar w:fldCharType="begin" w:fldLock="1"/>
      </w:r>
      <w:r w:rsidR="008A464B" w:rsidRPr="008B2319">
        <w:rPr>
          <w:lang w:val="en-US"/>
        </w:rPr>
        <w:instrText>ADDIN CSL_CITATION { "citationItems" : [ { "id" : "ITEM-1", "itemData" : { "author" : [ { "dropping-particle" : "", "family" : "J. Kupecki, J, Jewulski", "given" : "J. Milewski", "non-dropping-particle" : "", "parse-names" : false, "suffix" : "" } ], "container-title" : "Clean Energy", "id" : "ITEM-1", "issued" : { "date-parts" : [ [ "2012" ] ] }, "title" : "Multi-Level Mathematical Modeling of Solid Oxide Fuel Cells", "type" : "article-journal" }, "uris" : [ "http://www.mendeley.com/documents/?uuid=0282a266-7284-4b59-82f8-0c0efffbac90", "http://www.mendeley.com/documents/?uuid=44b33a2c-fb99-4431-aacb-b4d33247c575", "http://www.mendeley.com/documents/?uuid=dee554f1-4368-4a12-99f8-15476d9fe21a" ] } ], "mendeley" : { "formattedCitation" : "[28]", "plainTextFormattedCitation" : "[28]", "previouslyFormattedCitation" : "[28]" }, "properties" : { "noteIndex" : 0 }, "schema" : "https://github.com/citation-style-language/schema/raw/master/csl-citation.json" }</w:instrText>
      </w:r>
      <w:r w:rsidR="00B31A39" w:rsidRPr="008B2319">
        <w:rPr>
          <w:lang w:val="en-US"/>
        </w:rPr>
        <w:fldChar w:fldCharType="separate"/>
      </w:r>
      <w:r w:rsidR="002F59CE" w:rsidRPr="008B2319">
        <w:rPr>
          <w:noProof/>
          <w:lang w:val="en-US"/>
        </w:rPr>
        <w:t>[28]</w:t>
      </w:r>
      <w:r w:rsidR="00B31A39" w:rsidRPr="008B2319">
        <w:rPr>
          <w:lang w:val="en-US"/>
        </w:rPr>
        <w:fldChar w:fldCharType="end"/>
      </w:r>
      <w:r w:rsidR="00B31A39" w:rsidRPr="008B2319">
        <w:rPr>
          <w:lang w:val="en-US"/>
        </w:rPr>
        <w:fldChar w:fldCharType="begin" w:fldLock="1"/>
      </w:r>
      <w:r w:rsidR="008A464B" w:rsidRPr="008B2319">
        <w:rPr>
          <w:lang w:val="en-US"/>
        </w:rPr>
        <w:instrText>ADDIN CSL_CITATION { "citationItems" : [ { "id" : "ITEM-1", "itemData" : { "DOI" : "10.1016/S0378-7753(00)00571-1", "ISBN" : "047084857X", "ISSN" : "03787753", "PMID" : "20962844", "abstract" : "Building on the success of the first edition Fuel Cell Systems Explained presents a balanced introduction to this growing area. \"In summary, an altogether satisfying book that puts within its covers the academic tools necessary for explaining fuel cell systems on a multidisciplinary basis.\" Power Engineering Journal \"An excellent book.well written and produced.\" Journal of Power and Energy Fully revised and updated, the second edition: Provides an essential guide to the principles, design and application of fuel cell systems. Includes full and updated coverage of fuel processing and hydrogen generation and storage systems. Presents a full and clear explanation of the operation of all the major fuel cell types, and an introduction to possible future technology, such as biological fuel cells Features a new chapter on the direct methanol fuel cell. Now includes examples of the modelling, design and engineering of real fuel cell systems. A clear overview of fuel cell operation and thermodynamics Coverage of the complete fuel cell system including compressors, turbines, and the electrical and electronic sub-systems such as regulators, inverters, grid inter-ties, electric motors, and hybrid fuel cell/battery systems. Assuming no prior knowledge of fuel cell chemistry, this reference comprehensively brings together all of the key topics encompassed by this diverse field. Practitioners, researchers and students in electrical, power, chemical and automotive engineering will continue to benefit from this essential guide to the principles, design and application of fuel cell systems.", "author" : [ { "dropping-particle" : "", "family" : "Larminie", "given" : "James", "non-dropping-particle" : "", "parse-names" : false, "suffix" : "" }, { "dropping-particle" : "", "family" : "Dicks", "given" : "Andrew", "non-dropping-particle" : "", "parse-names" : false, "suffix" : "" } ], "container-title" : "Journal of Power Sources", "id" : "ITEM-1", "issued" : { "date-parts" : [ [ "2001" ] ] }, "number-of-pages" : "285", "title" : "Fuel Cell Systems Explained", "type" : "book", "volume" : "93" }, "uris" : [ "http://www.mendeley.com/documents/?uuid=3f777eda-825b-4af0-be74-cf42e80fbd9c", "http://www.mendeley.com/documents/?uuid=4b91b528-13f1-4ed5-bfb4-747713a290a3", "http://www.mendeley.com/documents/?uuid=f35db762-8e09-4c6e-9e4c-8156a9139198" ] } ], "mendeley" : { "formattedCitation" : "[34]", "plainTextFormattedCitation" : "[34]", "previouslyFormattedCitation" : "[34]" }, "properties" : { "noteIndex" : 0 }, "schema" : "https://github.com/citation-style-language/schema/raw/master/csl-citation.json" }</w:instrText>
      </w:r>
      <w:r w:rsidR="00B31A39" w:rsidRPr="008B2319">
        <w:rPr>
          <w:lang w:val="en-US"/>
        </w:rPr>
        <w:fldChar w:fldCharType="separate"/>
      </w:r>
      <w:r w:rsidR="002F59CE" w:rsidRPr="008B2319">
        <w:rPr>
          <w:noProof/>
          <w:lang w:val="en-US"/>
        </w:rPr>
        <w:t>[34]</w:t>
      </w:r>
      <w:r w:rsidR="00B31A39" w:rsidRPr="008B2319">
        <w:rPr>
          <w:lang w:val="en-US"/>
        </w:rPr>
        <w:fldChar w:fldCharType="end"/>
      </w:r>
      <w:r w:rsidR="00B31A39" w:rsidRPr="008B2319">
        <w:rPr>
          <w:lang w:val="en-US"/>
        </w:rPr>
        <w:t>)</w:t>
      </w:r>
      <w:r w:rsidRPr="008B2319">
        <w:rPr>
          <w:lang w:val="en-US"/>
        </w:rPr>
        <w:t>.</w:t>
      </w:r>
      <w:r w:rsidR="00124DE6" w:rsidRPr="008B2319">
        <w:rPr>
          <w:lang w:val="en-US"/>
        </w:rPr>
        <w:t xml:space="preserve"> </w:t>
      </w:r>
      <w:r w:rsidR="00124DE6" w:rsidRPr="008B2319">
        <w:t xml:space="preserve">The block diagram in </w:t>
      </w:r>
      <w:r w:rsidR="0068439F" w:rsidRPr="008B2319">
        <w:fldChar w:fldCharType="begin"/>
      </w:r>
      <w:r w:rsidR="0068439F" w:rsidRPr="008B2319">
        <w:instrText xml:space="preserve"> REF _Ref448237744 \h </w:instrText>
      </w:r>
      <w:r w:rsidR="0068439F" w:rsidRPr="008B2319">
        <w:fldChar w:fldCharType="separate"/>
      </w:r>
      <w:r w:rsidR="0068439F" w:rsidRPr="008B2319">
        <w:t>Figure 4</w:t>
      </w:r>
      <w:r w:rsidR="0068439F" w:rsidRPr="008B2319">
        <w:fldChar w:fldCharType="end"/>
      </w:r>
      <w:r w:rsidR="00761C58" w:rsidRPr="008B2319">
        <w:t xml:space="preserve"> </w:t>
      </w:r>
      <w:r w:rsidR="00124DE6" w:rsidRPr="008B2319">
        <w:t xml:space="preserve">summarizes the model implementation. All the used assumptions were reported </w:t>
      </w:r>
      <w:r w:rsidR="00640366" w:rsidRPr="008B2319">
        <w:rPr>
          <w:noProof/>
        </w:rPr>
        <w:t>i</w:t>
      </w:r>
      <w:r w:rsidR="00124DE6" w:rsidRPr="008B2319">
        <w:rPr>
          <w:noProof/>
        </w:rPr>
        <w:t>n</w:t>
      </w:r>
      <w:r w:rsidR="00124DE6" w:rsidRPr="008B2319">
        <w:t xml:space="preserve"> </w:t>
      </w:r>
      <w:r w:rsidR="00A64D13" w:rsidRPr="008B2319">
        <w:t xml:space="preserve">a </w:t>
      </w:r>
      <w:r w:rsidR="00124DE6" w:rsidRPr="008B2319">
        <w:t>pre</w:t>
      </w:r>
      <w:r w:rsidR="00BA0513" w:rsidRPr="008B2319">
        <w:t>v</w:t>
      </w:r>
      <w:r w:rsidR="00A64D13" w:rsidRPr="008B2319">
        <w:t>ious publication</w:t>
      </w:r>
      <w:r w:rsidR="00124DE6" w:rsidRPr="008B2319">
        <w:t xml:space="preserve"> </w:t>
      </w:r>
      <w:r w:rsidR="00124DE6" w:rsidRPr="008B2319">
        <w:fldChar w:fldCharType="begin" w:fldLock="1"/>
      </w:r>
      <w:r w:rsidR="008A464B" w:rsidRPr="008B2319">
        <w:instrText>ADDIN CSL_CITATION { "citationItems" : [ { "id" : "ITEM-1", "itemData" : { "author" : [ { "dropping-particle" : "", "family" : "A.F. Massardo", "given" : "F. Lubelli", "non-dropping-particle" : "", "parse-names" : false, "suffix" : "" } ], "container-title" : "Journal of Engineering for Gas Turbines and Power", "id" : "ITEM-1", "issued" : { "date-parts" : [ [ "2000" ] ] }, "title" : "Internal Reforming Solid Oxide Fuel Cell- Gas Turbine Combined Cycles (IRSOFC-GT): PartA\u2014Cell Model and Cycle Thermodynamic Analysis", "type" : "article-journal", "volume" : "vol. 122/2" }, "uris" : [ "http://www.mendeley.com/documents/?uuid=f6d57302-47fe-4f7e-91ed-d5405e9e70c5", "http://www.mendeley.com/documents/?uuid=1228b554-3357-41c2-b91a-73099c5d8e4c", "http://www.mendeley.com/documents/?uuid=ee20324e-048b-465d-9004-4ff03096213f" ] } ], "mendeley" : { "formattedCitation" : "[35]", "plainTextFormattedCitation" : "[35]", "previouslyFormattedCitation" : "[35]" }, "properties" : { "noteIndex" : 0 }, "schema" : "https://github.com/citation-style-language/schema/raw/master/csl-citation.json" }</w:instrText>
      </w:r>
      <w:r w:rsidR="00124DE6" w:rsidRPr="008B2319">
        <w:fldChar w:fldCharType="separate"/>
      </w:r>
      <w:r w:rsidR="002F59CE" w:rsidRPr="008B2319">
        <w:rPr>
          <w:noProof/>
        </w:rPr>
        <w:t>[35]</w:t>
      </w:r>
      <w:r w:rsidR="00124DE6" w:rsidRPr="008B2319">
        <w:fldChar w:fldCharType="end"/>
      </w:r>
      <w:r w:rsidR="00640366" w:rsidRPr="008B2319">
        <w:t>.</w:t>
      </w:r>
    </w:p>
    <w:p w14:paraId="30E72267" w14:textId="77777777" w:rsidR="0068439F" w:rsidRPr="008B2319" w:rsidRDefault="006E2828" w:rsidP="000F282B">
      <w:pPr>
        <w:keepNext/>
        <w:jc w:val="center"/>
      </w:pPr>
      <w:r w:rsidRPr="008B2319">
        <w:rPr>
          <w:noProof/>
          <w:lang w:val="it-IT" w:eastAsia="it-IT"/>
        </w:rPr>
        <w:drawing>
          <wp:inline distT="0" distB="0" distL="0" distR="0" wp14:anchorId="75F7993C" wp14:editId="4EAAEFCC">
            <wp:extent cx="4634346" cy="1635760"/>
            <wp:effectExtent l="0" t="0" r="0" b="2540"/>
            <wp:docPr id="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mped_parameter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 r="948"/>
                    <a:stretch/>
                  </pic:blipFill>
                  <pic:spPr bwMode="auto">
                    <a:xfrm>
                      <a:off x="0" y="0"/>
                      <a:ext cx="4635621" cy="1636210"/>
                    </a:xfrm>
                    <a:prstGeom prst="rect">
                      <a:avLst/>
                    </a:prstGeom>
                    <a:noFill/>
                    <a:ln>
                      <a:noFill/>
                    </a:ln>
                    <a:extLst>
                      <a:ext uri="{53640926-AAD7-44D8-BBD7-CCE9431645EC}">
                        <a14:shadowObscured xmlns:a14="http://schemas.microsoft.com/office/drawing/2010/main"/>
                      </a:ext>
                    </a:extLst>
                  </pic:spPr>
                </pic:pic>
              </a:graphicData>
            </a:graphic>
          </wp:inline>
        </w:drawing>
      </w:r>
    </w:p>
    <w:p w14:paraId="2E1FA2BC" w14:textId="77777777" w:rsidR="008E0B1A" w:rsidRPr="008B2319" w:rsidRDefault="0068439F" w:rsidP="008E0B1A">
      <w:pPr>
        <w:pStyle w:val="Caption"/>
      </w:pPr>
      <w:bookmarkStart w:id="5" w:name="_Ref448237723"/>
      <w:r w:rsidRPr="008B2319">
        <w:t xml:space="preserve">Figure </w:t>
      </w:r>
      <w:fldSimple w:instr=" SEQ Figure \* ARABIC ">
        <w:r w:rsidR="00B53F43" w:rsidRPr="008B2319">
          <w:rPr>
            <w:noProof/>
          </w:rPr>
          <w:t>3</w:t>
        </w:r>
      </w:fldSimple>
      <w:bookmarkEnd w:id="5"/>
      <w:r w:rsidRPr="008B2319">
        <w:t xml:space="preserve">. </w:t>
      </w:r>
      <w:r w:rsidR="00B31A39" w:rsidRPr="008B2319">
        <w:t>Lumped volumes for reformer and S</w:t>
      </w:r>
      <w:r w:rsidR="008E0B1A" w:rsidRPr="008B2319">
        <w:t>OFC stack.</w:t>
      </w:r>
    </w:p>
    <w:p w14:paraId="0EB2CD8F" w14:textId="77777777" w:rsidR="0068439F" w:rsidRPr="008B2319" w:rsidRDefault="006E2828" w:rsidP="0010059A">
      <w:pPr>
        <w:keepNext/>
        <w:jc w:val="center"/>
      </w:pPr>
      <w:r w:rsidRPr="008B2319">
        <w:rPr>
          <w:noProof/>
          <w:lang w:val="it-IT" w:eastAsia="it-IT"/>
        </w:rPr>
        <w:drawing>
          <wp:inline distT="0" distB="0" distL="0" distR="0" wp14:anchorId="479E9E3C" wp14:editId="4C72D219">
            <wp:extent cx="4680000" cy="1352696"/>
            <wp:effectExtent l="0" t="0" r="6350" b="0"/>
            <wp:docPr id="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umped_parameterd_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680000" cy="1352696"/>
                    </a:xfrm>
                    <a:prstGeom prst="rect">
                      <a:avLst/>
                    </a:prstGeom>
                    <a:noFill/>
                    <a:ln>
                      <a:noFill/>
                    </a:ln>
                  </pic:spPr>
                </pic:pic>
              </a:graphicData>
            </a:graphic>
          </wp:inline>
        </w:drawing>
      </w:r>
    </w:p>
    <w:p w14:paraId="7C849075" w14:textId="77777777" w:rsidR="006E2828" w:rsidRPr="008B2319" w:rsidRDefault="0068439F" w:rsidP="0068439F">
      <w:pPr>
        <w:pStyle w:val="Caption"/>
      </w:pPr>
      <w:bookmarkStart w:id="6" w:name="_Ref448237744"/>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B53F43" w:rsidRPr="008B2319">
        <w:rPr>
          <w:noProof/>
        </w:rPr>
        <w:t>4</w:t>
      </w:r>
      <w:r w:rsidR="00825D4F" w:rsidRPr="008B2319">
        <w:rPr>
          <w:noProof/>
        </w:rPr>
        <w:fldChar w:fldCharType="end"/>
      </w:r>
      <w:bookmarkEnd w:id="6"/>
      <w:r w:rsidRPr="008B2319">
        <w:t xml:space="preserve">. </w:t>
      </w:r>
      <w:r w:rsidR="006E2828" w:rsidRPr="008B2319">
        <w:t xml:space="preserve">Flow diagram of </w:t>
      </w:r>
      <w:r w:rsidR="00B31A39" w:rsidRPr="008B2319">
        <w:t xml:space="preserve">reformer and SOFC stack according to the lumped volume </w:t>
      </w:r>
      <w:r w:rsidR="00B31A39" w:rsidRPr="008B2319">
        <w:rPr>
          <w:noProof/>
        </w:rPr>
        <w:t>modeling</w:t>
      </w:r>
      <w:r w:rsidR="00B31A39" w:rsidRPr="008B2319">
        <w:t xml:space="preserve"> approach.</w:t>
      </w:r>
    </w:p>
    <w:p w14:paraId="04A6CA79" w14:textId="30CBC888" w:rsidR="006E2828" w:rsidRPr="008B2319" w:rsidRDefault="006E2828" w:rsidP="006E2828">
      <w:r w:rsidRPr="008B2319">
        <w:t xml:space="preserve">By applying an electrical load to the cell, the rate of fuel introduced into the system is determined. According to the </w:t>
      </w:r>
      <w:r w:rsidR="0068439F" w:rsidRPr="008B2319">
        <w:t xml:space="preserve">fuel </w:t>
      </w:r>
      <w:r w:rsidRPr="008B2319">
        <w:t>composition</w:t>
      </w:r>
      <w:r w:rsidR="0068439F" w:rsidRPr="008B2319">
        <w:t xml:space="preserve"> (methane content)</w:t>
      </w:r>
      <w:r w:rsidRPr="008B2319">
        <w:t xml:space="preserve">, the Steam-to-Carbon </w:t>
      </w:r>
      <w:r w:rsidR="0068439F" w:rsidRPr="008B2319">
        <w:t xml:space="preserve">(S/C) </w:t>
      </w:r>
      <w:r w:rsidRPr="008B2319">
        <w:t xml:space="preserve">ratio is imposed, and the </w:t>
      </w:r>
      <w:r w:rsidRPr="008B2319">
        <w:rPr>
          <w:noProof/>
        </w:rPr>
        <w:t>vapor</w:t>
      </w:r>
      <w:r w:rsidRPr="008B2319">
        <w:t xml:space="preserve"> flow rate is </w:t>
      </w:r>
      <w:r w:rsidR="0068439F" w:rsidRPr="008B2319">
        <w:t>calculated</w:t>
      </w:r>
      <w:r w:rsidRPr="008B2319">
        <w:t xml:space="preserve">. The fuel, mixed with </w:t>
      </w:r>
      <w:r w:rsidR="0068439F" w:rsidRPr="008B2319">
        <w:t xml:space="preserve">the </w:t>
      </w:r>
      <w:r w:rsidRPr="008B2319">
        <w:t xml:space="preserve">high temperature water </w:t>
      </w:r>
      <w:r w:rsidRPr="008B2319">
        <w:rPr>
          <w:noProof/>
        </w:rPr>
        <w:t>vapor</w:t>
      </w:r>
      <w:r w:rsidRPr="008B2319">
        <w:t xml:space="preserve">, reaches the reforming section </w:t>
      </w:r>
      <w:r w:rsidRPr="008B2319">
        <w:lastRenderedPageBreak/>
        <w:t xml:space="preserve">where the steam methane reforming and water gas shift reactions are </w:t>
      </w:r>
      <w:r w:rsidR="000B4E80" w:rsidRPr="008B2319">
        <w:t>considered</w:t>
      </w:r>
      <w:r w:rsidRPr="008B2319">
        <w:t xml:space="preserve"> </w:t>
      </w:r>
      <w:r w:rsidR="000B4E80" w:rsidRPr="008B2319">
        <w:t xml:space="preserve">by </w:t>
      </w:r>
      <w:r w:rsidRPr="008B2319">
        <w:t xml:space="preserve">imposing chemical equilibrium of the mixture. </w:t>
      </w:r>
      <w:r w:rsidR="00BF0972" w:rsidRPr="008B2319">
        <w:t>T</w:t>
      </w:r>
      <w:r w:rsidRPr="008B2319">
        <w:t xml:space="preserve">he reformate gas is </w:t>
      </w:r>
      <w:r w:rsidR="00BF0972" w:rsidRPr="008B2319">
        <w:t xml:space="preserve">then </w:t>
      </w:r>
      <w:r w:rsidRPr="008B2319">
        <w:t xml:space="preserve">flushed into the </w:t>
      </w:r>
      <w:r w:rsidR="000B4E80" w:rsidRPr="008B2319">
        <w:t>SOFC anode</w:t>
      </w:r>
      <w:r w:rsidR="00BF0972" w:rsidRPr="008B2319">
        <w:t xml:space="preserve"> a</w:t>
      </w:r>
      <w:r w:rsidR="000B4E80" w:rsidRPr="008B2319">
        <w:t>t a</w:t>
      </w:r>
      <w:r w:rsidR="00BF0972" w:rsidRPr="008B2319">
        <w:t xml:space="preserve"> temperature of </w:t>
      </w:r>
      <w:r w:rsidR="000B4E80" w:rsidRPr="008B2319">
        <w:t xml:space="preserve">around </w:t>
      </w:r>
      <w:r w:rsidR="00BF0972" w:rsidRPr="008B2319">
        <w:t xml:space="preserve">750 °C; here, </w:t>
      </w:r>
      <w:r w:rsidRPr="008B2319">
        <w:t xml:space="preserve">the chemical </w:t>
      </w:r>
      <w:r w:rsidR="0068439F" w:rsidRPr="008B2319">
        <w:t xml:space="preserve">and </w:t>
      </w:r>
      <w:r w:rsidRPr="008B2319">
        <w:t xml:space="preserve">electrochemical model </w:t>
      </w:r>
      <w:r w:rsidRPr="008B2319">
        <w:rPr>
          <w:noProof/>
        </w:rPr>
        <w:t>determine</w:t>
      </w:r>
      <w:r w:rsidRPr="008B2319">
        <w:t xml:space="preserve"> the fuel conversion </w:t>
      </w:r>
      <w:r w:rsidR="00BF0972" w:rsidRPr="008B2319">
        <w:t xml:space="preserve">rate </w:t>
      </w:r>
      <w:r w:rsidRPr="008B2319">
        <w:t>and the power production.</w:t>
      </w:r>
    </w:p>
    <w:p w14:paraId="0DB24213" w14:textId="77777777" w:rsidR="0068439F" w:rsidRPr="008B2319" w:rsidRDefault="006E2828" w:rsidP="006E2828">
      <w:r w:rsidRPr="008B2319">
        <w:t xml:space="preserve">The main assumptions </w:t>
      </w:r>
      <w:r w:rsidR="00B31A39" w:rsidRPr="008B2319">
        <w:t>of the stack model are</w:t>
      </w:r>
      <w:r w:rsidRPr="008B2319">
        <w:t xml:space="preserve">: </w:t>
      </w:r>
    </w:p>
    <w:p w14:paraId="0A9D9CA3" w14:textId="77777777" w:rsidR="0068439F" w:rsidRPr="008B2319" w:rsidRDefault="006E2828" w:rsidP="00756D00">
      <w:pPr>
        <w:pStyle w:val="ListParagraph"/>
        <w:numPr>
          <w:ilvl w:val="0"/>
          <w:numId w:val="28"/>
        </w:numPr>
      </w:pPr>
      <w:r w:rsidRPr="008B2319">
        <w:rPr>
          <w:noProof/>
        </w:rPr>
        <w:t xml:space="preserve">adiabatic </w:t>
      </w:r>
      <w:r w:rsidR="00A06451" w:rsidRPr="008B2319">
        <w:rPr>
          <w:noProof/>
        </w:rPr>
        <w:t>control volume</w:t>
      </w:r>
      <w:r w:rsidR="00A06451" w:rsidRPr="008B2319">
        <w:t>;</w:t>
      </w:r>
    </w:p>
    <w:p w14:paraId="5B8EC280" w14:textId="77777777" w:rsidR="0068439F" w:rsidRPr="008B2319" w:rsidRDefault="00640366" w:rsidP="00756D00">
      <w:pPr>
        <w:pStyle w:val="ListParagraph"/>
        <w:numPr>
          <w:ilvl w:val="0"/>
          <w:numId w:val="28"/>
        </w:numPr>
      </w:pPr>
      <w:r w:rsidRPr="008B2319">
        <w:rPr>
          <w:noProof/>
        </w:rPr>
        <w:t xml:space="preserve">the </w:t>
      </w:r>
      <w:r w:rsidR="006E2828" w:rsidRPr="008B2319">
        <w:rPr>
          <w:noProof/>
        </w:rPr>
        <w:t xml:space="preserve">same </w:t>
      </w:r>
      <w:r w:rsidR="00306911" w:rsidRPr="008B2319">
        <w:rPr>
          <w:noProof/>
        </w:rPr>
        <w:t xml:space="preserve">temperature of </w:t>
      </w:r>
      <w:r w:rsidR="006E2828" w:rsidRPr="008B2319">
        <w:rPr>
          <w:noProof/>
        </w:rPr>
        <w:t xml:space="preserve">cathode and anode </w:t>
      </w:r>
      <w:r w:rsidR="00306911" w:rsidRPr="008B2319">
        <w:rPr>
          <w:noProof/>
        </w:rPr>
        <w:t>outlet</w:t>
      </w:r>
      <w:r w:rsidR="006E2828" w:rsidRPr="008B2319">
        <w:rPr>
          <w:noProof/>
        </w:rPr>
        <w:t xml:space="preserve"> stream</w:t>
      </w:r>
      <w:r w:rsidR="00306911" w:rsidRPr="008B2319">
        <w:rPr>
          <w:noProof/>
        </w:rPr>
        <w:t>s</w:t>
      </w:r>
      <w:r w:rsidR="00A06451" w:rsidRPr="008B2319">
        <w:t>;</w:t>
      </w:r>
    </w:p>
    <w:p w14:paraId="0EC88590" w14:textId="77777777" w:rsidR="0068439F" w:rsidRPr="008B2319" w:rsidRDefault="006E2828" w:rsidP="00756D00">
      <w:pPr>
        <w:pStyle w:val="ListParagraph"/>
        <w:numPr>
          <w:ilvl w:val="0"/>
          <w:numId w:val="28"/>
        </w:numPr>
      </w:pPr>
      <w:r w:rsidRPr="008B2319">
        <w:t xml:space="preserve">anode </w:t>
      </w:r>
      <w:r w:rsidR="00124DE6" w:rsidRPr="008B2319">
        <w:t xml:space="preserve">inlet </w:t>
      </w:r>
      <w:r w:rsidRPr="008B2319">
        <w:t xml:space="preserve">stream composed of </w:t>
      </w:r>
      <w:r w:rsidR="00A06451" w:rsidRPr="008B2319">
        <w:t xml:space="preserve">a mixture of </w:t>
      </w:r>
      <w:r w:rsidRPr="008B2319">
        <w:t>CH</w:t>
      </w:r>
      <w:r w:rsidRPr="008B2319">
        <w:rPr>
          <w:vertAlign w:val="subscript"/>
        </w:rPr>
        <w:t>4</w:t>
      </w:r>
      <w:r w:rsidRPr="008B2319">
        <w:t>, CO, CO</w:t>
      </w:r>
      <w:r w:rsidRPr="008B2319">
        <w:rPr>
          <w:vertAlign w:val="subscript"/>
        </w:rPr>
        <w:t>2</w:t>
      </w:r>
      <w:r w:rsidRPr="008B2319">
        <w:t>, H</w:t>
      </w:r>
      <w:r w:rsidRPr="008B2319">
        <w:rPr>
          <w:vertAlign w:val="subscript"/>
        </w:rPr>
        <w:t>2</w:t>
      </w:r>
      <w:r w:rsidRPr="008B2319">
        <w:t>, H</w:t>
      </w:r>
      <w:r w:rsidRPr="008B2319">
        <w:rPr>
          <w:vertAlign w:val="subscript"/>
        </w:rPr>
        <w:t>2</w:t>
      </w:r>
      <w:r w:rsidRPr="008B2319">
        <w:t>O</w:t>
      </w:r>
      <w:r w:rsidR="00A06451" w:rsidRPr="008B2319">
        <w:t>;</w:t>
      </w:r>
    </w:p>
    <w:p w14:paraId="3DB8AFB7" w14:textId="77777777" w:rsidR="006E2828" w:rsidRPr="008B2319" w:rsidRDefault="00A06451" w:rsidP="00756D00">
      <w:pPr>
        <w:pStyle w:val="ListParagraph"/>
        <w:numPr>
          <w:ilvl w:val="0"/>
          <w:numId w:val="28"/>
        </w:numPr>
      </w:pPr>
      <w:r w:rsidRPr="008B2319">
        <w:t xml:space="preserve">stack </w:t>
      </w:r>
      <w:r w:rsidR="006E2828" w:rsidRPr="008B2319">
        <w:t>current density (A/</w:t>
      </w:r>
      <w:r w:rsidR="00E9012F" w:rsidRPr="008B2319">
        <w:t>c</w:t>
      </w:r>
      <w:r w:rsidR="006E2828" w:rsidRPr="008B2319">
        <w:t>m</w:t>
      </w:r>
      <w:r w:rsidR="006E2828" w:rsidRPr="008B2319">
        <w:rPr>
          <w:vertAlign w:val="superscript"/>
        </w:rPr>
        <w:t>2</w:t>
      </w:r>
      <w:r w:rsidRPr="008B2319">
        <w:t xml:space="preserve">) and </w:t>
      </w:r>
      <w:r w:rsidR="006E2828" w:rsidRPr="008B2319">
        <w:t xml:space="preserve">fuel utilization </w:t>
      </w:r>
      <w:r w:rsidRPr="008B2319">
        <w:t>are given</w:t>
      </w:r>
      <w:r w:rsidR="006E2828" w:rsidRPr="008B2319">
        <w:t xml:space="preserve"> as input values</w:t>
      </w:r>
      <w:r w:rsidRPr="008B2319">
        <w:t>.</w:t>
      </w:r>
    </w:p>
    <w:p w14:paraId="7139E77A" w14:textId="7C5F3F11" w:rsidR="006E2828" w:rsidRPr="008B2319" w:rsidRDefault="006E2828" w:rsidP="006E2828">
      <w:r w:rsidRPr="008B2319">
        <w:t xml:space="preserve">Reforming and shifting reactions </w:t>
      </w:r>
      <w:r w:rsidR="00A06451" w:rsidRPr="008B2319">
        <w:t>are taken</w:t>
      </w:r>
      <w:r w:rsidRPr="008B2319">
        <w:t xml:space="preserve"> at equilibrium </w:t>
      </w:r>
      <w:r w:rsidR="00A06451" w:rsidRPr="008B2319">
        <w:t xml:space="preserve">condition and </w:t>
      </w:r>
      <w:r w:rsidRPr="008B2319">
        <w:t xml:space="preserve">as a function of temperature, using the </w:t>
      </w:r>
      <w:r w:rsidR="00B31A39" w:rsidRPr="008B2319">
        <w:t>polynomial expression</w:t>
      </w:r>
      <w:r w:rsidRPr="008B2319">
        <w:t xml:space="preserve"> </w:t>
      </w:r>
      <w:r w:rsidR="00B31A39" w:rsidRPr="008B2319">
        <w:t>given below (</w:t>
      </w:r>
      <w:r w:rsidRPr="008B2319">
        <w:t>coefficient</w:t>
      </w:r>
      <w:r w:rsidR="00B31A39" w:rsidRPr="008B2319">
        <w:t>s of the polynomial were taken from Ref.</w:t>
      </w:r>
      <w:r w:rsidRPr="008B2319">
        <w:t xml:space="preserve"> </w:t>
      </w:r>
      <w:r w:rsidRPr="008B2319">
        <w:fldChar w:fldCharType="begin" w:fldLock="1"/>
      </w:r>
      <w:r w:rsidR="008A464B" w:rsidRPr="008B2319">
        <w:instrText>ADDIN CSL_CITATION { "citationItems" : [ { "id" : "ITEM-1", "itemData" : { "author" : [ { "dropping-particle" : "", "family" : "A.F. Massardo", "given" : "F. Lubelli", "non-dropping-particle" : "", "parse-names" : false, "suffix" : "" } ], "container-title" : "Journal of Engineering for Gas Turbines and Power", "id" : "ITEM-1", "issued" : { "date-parts" : [ [ "2000" ] ] }, "title" : "Internal Reforming Solid Oxide Fuel Cell- Gas Turbine Combined Cycles (IRSOFC-GT): PartA\u2014Cell Model and Cycle Thermodynamic Analysis", "type" : "article-journal", "volume" : "vol. 122/2" }, "uris" : [ "http://www.mendeley.com/documents/?uuid=ee20324e-048b-465d-9004-4ff03096213f", "http://www.mendeley.com/documents/?uuid=1228b554-3357-41c2-b91a-73099c5d8e4c", "http://www.mendeley.com/documents/?uuid=f6d57302-47fe-4f7e-91ed-d5405e9e70c5" ] } ], "mendeley" : { "formattedCitation" : "[35]", "plainTextFormattedCitation" : "[35]", "previouslyFormattedCitation" : "[35]" }, "properties" : { "noteIndex" : 0 }, "schema" : "https://github.com/citation-style-language/schema/raw/master/csl-citation.json" }</w:instrText>
      </w:r>
      <w:r w:rsidRPr="008B2319">
        <w:fldChar w:fldCharType="separate"/>
      </w:r>
      <w:r w:rsidR="002F59CE" w:rsidRPr="008B2319">
        <w:rPr>
          <w:noProof/>
        </w:rPr>
        <w:t>[35]</w:t>
      </w:r>
      <w:r w:rsidRPr="008B2319">
        <w:fldChar w:fldCharType="end"/>
      </w:r>
      <w:r w:rsidR="00B31A39" w:rsidRPr="008B2319">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2406A066" w14:textId="77777777" w:rsidTr="00DE45D1">
        <w:trPr>
          <w:jc w:val="center"/>
        </w:trPr>
        <w:tc>
          <w:tcPr>
            <w:tcW w:w="8504" w:type="dxa"/>
            <w:vAlign w:val="center"/>
          </w:tcPr>
          <w:p w14:paraId="55723804" w14:textId="77777777" w:rsidR="006E2828" w:rsidRPr="008B2319" w:rsidRDefault="00825D4F" w:rsidP="00DE45D1">
            <w:pPr>
              <w:spacing w:before="120"/>
              <w:jc w:val="center"/>
              <w:rPr>
                <w:rFonts w:ascii="Cambria Math" w:hAnsi="Cambria Math"/>
                <w:i/>
                <w:sz w:val="18"/>
                <w:lang w:val="en-US"/>
              </w:rPr>
            </w:pPr>
            <m:oMathPara>
              <m:oMath>
                <m:func>
                  <m:funcPr>
                    <m:ctrlPr>
                      <w:rPr>
                        <w:rFonts w:ascii="Cambria Math" w:hAnsi="Cambria Math"/>
                        <w:i/>
                        <w:sz w:val="18"/>
                        <w:lang w:val="en-US"/>
                      </w:rPr>
                    </m:ctrlPr>
                  </m:funcPr>
                  <m:fName>
                    <m:r>
                      <w:rPr>
                        <w:rFonts w:ascii="Cambria Math" w:hAnsi="Cambria Math"/>
                        <w:sz w:val="18"/>
                        <w:lang w:val="en-US"/>
                      </w:rPr>
                      <m:t>log</m:t>
                    </m:r>
                  </m:fName>
                  <m:e>
                    <m:sSub>
                      <m:sSubPr>
                        <m:ctrlPr>
                          <w:rPr>
                            <w:rFonts w:ascii="Cambria Math" w:hAnsi="Cambria Math"/>
                            <w:i/>
                            <w:sz w:val="18"/>
                            <w:lang w:val="en-US"/>
                          </w:rPr>
                        </m:ctrlPr>
                      </m:sSubPr>
                      <m:e>
                        <m:r>
                          <w:rPr>
                            <w:rFonts w:ascii="Cambria Math" w:hAnsi="Cambria Math"/>
                            <w:sz w:val="18"/>
                            <w:lang w:val="en-US"/>
                          </w:rPr>
                          <m:t>K</m:t>
                        </m:r>
                      </m:e>
                      <m:sub>
                        <m:r>
                          <w:rPr>
                            <w:rFonts w:ascii="Cambria Math" w:hAnsi="Cambria Math"/>
                            <w:sz w:val="18"/>
                            <w:lang w:val="en-US"/>
                          </w:rPr>
                          <m:t>p</m:t>
                        </m:r>
                      </m:sub>
                    </m:sSub>
                  </m:e>
                </m:func>
                <m:r>
                  <w:rPr>
                    <w:rFonts w:ascii="Cambria Math" w:hAnsi="Cambria Math"/>
                    <w:sz w:val="18"/>
                    <w:lang w:val="en-US"/>
                  </w:rPr>
                  <m:t>=A∙</m:t>
                </m:r>
                <m:sSub>
                  <m:sSubPr>
                    <m:ctrlPr>
                      <w:rPr>
                        <w:rFonts w:ascii="Cambria Math" w:hAnsi="Cambria Math"/>
                        <w:i/>
                        <w:sz w:val="18"/>
                        <w:lang w:val="en-US"/>
                      </w:rPr>
                    </m:ctrlPr>
                  </m:sSubPr>
                  <m:e>
                    <m:r>
                      <w:rPr>
                        <w:rFonts w:ascii="Cambria Math" w:hAnsi="Cambria Math"/>
                        <w:sz w:val="18"/>
                        <w:lang w:val="en-US"/>
                      </w:rPr>
                      <m:t>T</m:t>
                    </m:r>
                  </m:e>
                  <m:sub>
                    <m:r>
                      <w:rPr>
                        <w:rFonts w:ascii="Cambria Math" w:hAnsi="Cambria Math"/>
                        <w:sz w:val="18"/>
                        <w:lang w:val="en-US"/>
                      </w:rPr>
                      <m:t>SOFC,4</m:t>
                    </m:r>
                  </m:sub>
                </m:sSub>
                <m:r>
                  <w:rPr>
                    <w:rFonts w:ascii="Cambria Math" w:hAnsi="Cambria Math"/>
                    <w:sz w:val="18"/>
                    <w:lang w:val="en-US"/>
                  </w:rPr>
                  <m:t>+B∙</m:t>
                </m:r>
                <m:sSub>
                  <m:sSubPr>
                    <m:ctrlPr>
                      <w:rPr>
                        <w:rFonts w:ascii="Cambria Math" w:hAnsi="Cambria Math"/>
                        <w:i/>
                        <w:sz w:val="18"/>
                        <w:lang w:val="en-US"/>
                      </w:rPr>
                    </m:ctrlPr>
                  </m:sSubPr>
                  <m:e>
                    <m:r>
                      <w:rPr>
                        <w:rFonts w:ascii="Cambria Math" w:hAnsi="Cambria Math"/>
                        <w:sz w:val="18"/>
                        <w:lang w:val="en-US"/>
                      </w:rPr>
                      <m:t>T</m:t>
                    </m:r>
                  </m:e>
                  <m:sub>
                    <m:r>
                      <w:rPr>
                        <w:rFonts w:ascii="Cambria Math" w:hAnsi="Cambria Math"/>
                        <w:sz w:val="18"/>
                        <w:lang w:val="en-US"/>
                      </w:rPr>
                      <m:t>SOFC,3</m:t>
                    </m:r>
                  </m:sub>
                </m:sSub>
                <m:r>
                  <w:rPr>
                    <w:rFonts w:ascii="Cambria Math" w:hAnsi="Cambria Math"/>
                    <w:sz w:val="18"/>
                    <w:lang w:val="en-US"/>
                  </w:rPr>
                  <m:t>+C∙</m:t>
                </m:r>
                <m:sSub>
                  <m:sSubPr>
                    <m:ctrlPr>
                      <w:rPr>
                        <w:rFonts w:ascii="Cambria Math" w:hAnsi="Cambria Math"/>
                        <w:i/>
                        <w:sz w:val="18"/>
                        <w:lang w:val="en-US"/>
                      </w:rPr>
                    </m:ctrlPr>
                  </m:sSubPr>
                  <m:e>
                    <m:r>
                      <w:rPr>
                        <w:rFonts w:ascii="Cambria Math" w:hAnsi="Cambria Math"/>
                        <w:sz w:val="18"/>
                        <w:lang w:val="en-US"/>
                      </w:rPr>
                      <m:t>T</m:t>
                    </m:r>
                  </m:e>
                  <m:sub>
                    <m:r>
                      <w:rPr>
                        <w:rFonts w:ascii="Cambria Math" w:hAnsi="Cambria Math"/>
                        <w:sz w:val="18"/>
                        <w:lang w:val="en-US"/>
                      </w:rPr>
                      <m:t>SOFC,2</m:t>
                    </m:r>
                  </m:sub>
                </m:sSub>
                <m:r>
                  <w:rPr>
                    <w:rFonts w:ascii="Cambria Math" w:hAnsi="Cambria Math"/>
                    <w:sz w:val="18"/>
                    <w:lang w:val="en-US"/>
                  </w:rPr>
                  <m:t>+D∙</m:t>
                </m:r>
                <m:sSub>
                  <m:sSubPr>
                    <m:ctrlPr>
                      <w:rPr>
                        <w:rFonts w:ascii="Cambria Math" w:hAnsi="Cambria Math"/>
                        <w:i/>
                        <w:sz w:val="18"/>
                        <w:lang w:val="en-US"/>
                      </w:rPr>
                    </m:ctrlPr>
                  </m:sSubPr>
                  <m:e>
                    <m:r>
                      <w:rPr>
                        <w:rFonts w:ascii="Cambria Math" w:hAnsi="Cambria Math"/>
                        <w:sz w:val="18"/>
                        <w:lang w:val="en-US"/>
                      </w:rPr>
                      <m:t>T</m:t>
                    </m:r>
                  </m:e>
                  <m:sub>
                    <m:r>
                      <w:rPr>
                        <w:rFonts w:ascii="Cambria Math" w:hAnsi="Cambria Math"/>
                        <w:sz w:val="18"/>
                        <w:lang w:val="en-US"/>
                      </w:rPr>
                      <m:t>SOFC</m:t>
                    </m:r>
                  </m:sub>
                </m:sSub>
                <m:r>
                  <w:rPr>
                    <w:rFonts w:ascii="Cambria Math" w:hAnsi="Cambria Math"/>
                    <w:sz w:val="18"/>
                    <w:lang w:val="en-US"/>
                  </w:rPr>
                  <m:t>+E</m:t>
                </m:r>
              </m:oMath>
            </m:oMathPara>
          </w:p>
        </w:tc>
        <w:tc>
          <w:tcPr>
            <w:tcW w:w="850" w:type="dxa"/>
            <w:vAlign w:val="center"/>
          </w:tcPr>
          <w:p w14:paraId="19DBE5AB" w14:textId="77777777" w:rsidR="006E2828" w:rsidRPr="008B2319" w:rsidRDefault="0068439F" w:rsidP="00D015D3">
            <w:pPr>
              <w:jc w:val="center"/>
            </w:pPr>
            <w:r w:rsidRPr="008B2319">
              <w:t>(1)</w:t>
            </w:r>
          </w:p>
        </w:tc>
      </w:tr>
    </w:tbl>
    <w:p w14:paraId="2D442347" w14:textId="77777777" w:rsidR="0068439F" w:rsidRPr="008B2319" w:rsidRDefault="00761C58" w:rsidP="006E2828">
      <w:r w:rsidRPr="008B2319">
        <w:t>w</w:t>
      </w:r>
      <w:r w:rsidR="00615429" w:rsidRPr="008B2319">
        <w:t>here:</w:t>
      </w:r>
    </w:p>
    <w:p w14:paraId="2A0A1371" w14:textId="77777777" w:rsidR="0068439F" w:rsidRPr="008B2319" w:rsidRDefault="00825D4F" w:rsidP="002119C8">
      <w:pPr>
        <w:pStyle w:val="ListParagraph"/>
        <w:numPr>
          <w:ilvl w:val="0"/>
          <w:numId w:val="38"/>
        </w:numPr>
      </w:pPr>
      <m:oMath>
        <m:sSub>
          <m:sSubPr>
            <m:ctrlPr>
              <w:rPr>
                <w:rFonts w:ascii="Cambria Math" w:hAnsi="Cambria Math"/>
                <w:i/>
                <w:sz w:val="18"/>
                <w:lang w:val="en-US"/>
              </w:rPr>
            </m:ctrlPr>
          </m:sSubPr>
          <m:e>
            <m:r>
              <w:rPr>
                <w:rFonts w:ascii="Cambria Math" w:hAnsi="Cambria Math"/>
                <w:sz w:val="18"/>
                <w:lang w:val="en-US"/>
              </w:rPr>
              <m:t>K</m:t>
            </m:r>
          </m:e>
          <m:sub>
            <m:r>
              <w:rPr>
                <w:rFonts w:ascii="Cambria Math" w:hAnsi="Cambria Math"/>
                <w:sz w:val="18"/>
                <w:lang w:val="en-US"/>
              </w:rPr>
              <m:t>p</m:t>
            </m:r>
          </m:sub>
        </m:sSub>
      </m:oMath>
      <w:r w:rsidR="0068439F" w:rsidRPr="008B2319">
        <w:t xml:space="preserve"> is</w:t>
      </w:r>
      <w:r w:rsidR="00BA0513" w:rsidRPr="008B2319">
        <w:t xml:space="preserve"> the </w:t>
      </w:r>
      <w:r w:rsidR="002119C8" w:rsidRPr="008B2319">
        <w:t>equilibrium constant of</w:t>
      </w:r>
      <w:r w:rsidR="00A06451" w:rsidRPr="008B2319">
        <w:t xml:space="preserve"> the</w:t>
      </w:r>
      <w:r w:rsidR="002119C8" w:rsidRPr="008B2319">
        <w:t xml:space="preserve"> reaction;</w:t>
      </w:r>
    </w:p>
    <w:p w14:paraId="5F9895D0" w14:textId="77777777" w:rsidR="00C5500F" w:rsidRPr="008B2319" w:rsidRDefault="00825D4F" w:rsidP="00615429">
      <w:pPr>
        <w:pStyle w:val="ListParagraph"/>
        <w:numPr>
          <w:ilvl w:val="0"/>
          <w:numId w:val="38"/>
        </w:numPr>
      </w:pPr>
      <m:oMath>
        <m:sSub>
          <m:sSubPr>
            <m:ctrlPr>
              <w:rPr>
                <w:rFonts w:ascii="Cambria Math" w:hAnsi="Cambria Math"/>
                <w:i/>
                <w:sz w:val="18"/>
                <w:lang w:val="en-US"/>
              </w:rPr>
            </m:ctrlPr>
          </m:sSubPr>
          <m:e>
            <m:r>
              <w:rPr>
                <w:rFonts w:ascii="Cambria Math" w:hAnsi="Cambria Math"/>
                <w:sz w:val="18"/>
                <w:lang w:val="en-US"/>
              </w:rPr>
              <m:t>T</m:t>
            </m:r>
          </m:e>
          <m:sub>
            <m:r>
              <w:rPr>
                <w:rFonts w:ascii="Cambria Math" w:hAnsi="Cambria Math"/>
                <w:sz w:val="18"/>
                <w:lang w:val="en-US"/>
              </w:rPr>
              <m:t>SOFC,i</m:t>
            </m:r>
          </m:sub>
        </m:sSub>
      </m:oMath>
      <w:r w:rsidR="00C5500F" w:rsidRPr="008B2319">
        <w:t xml:space="preserve"> is</w:t>
      </w:r>
      <w:r w:rsidR="00BA0513" w:rsidRPr="008B2319">
        <w:t xml:space="preserve"> the </w:t>
      </w:r>
      <w:r w:rsidR="002119C8" w:rsidRPr="008B2319">
        <w:t>temperature at which chemical reactions occurs, in K;</w:t>
      </w:r>
    </w:p>
    <w:p w14:paraId="7BB83C81" w14:textId="663E52BB" w:rsidR="00BA0513" w:rsidRPr="008B2319" w:rsidRDefault="00BA0513" w:rsidP="00615429">
      <w:pPr>
        <w:pStyle w:val="ListParagraph"/>
        <w:numPr>
          <w:ilvl w:val="0"/>
          <w:numId w:val="38"/>
        </w:numPr>
      </w:pPr>
      <m:oMath>
        <m:r>
          <w:rPr>
            <w:rFonts w:ascii="Cambria Math" w:hAnsi="Cambria Math" w:cs="Times New Roman"/>
            <w:sz w:val="18"/>
            <w:lang w:val="en-US"/>
          </w:rPr>
          <m:t>A, B, C, D, E</m:t>
        </m:r>
      </m:oMath>
      <w:r w:rsidRPr="008B2319">
        <w:rPr>
          <w:rFonts w:ascii="Cambria Math" w:hAnsi="Cambria Math"/>
          <w:i/>
          <w:sz w:val="18"/>
          <w:lang w:val="en-US"/>
        </w:rPr>
        <w:t xml:space="preserve"> </w:t>
      </w:r>
      <w:r w:rsidR="002119C8" w:rsidRPr="008B2319">
        <w:t xml:space="preserve">are </w:t>
      </w:r>
      <w:r w:rsidR="00A06451" w:rsidRPr="008B2319">
        <w:t xml:space="preserve">polynomial </w:t>
      </w:r>
      <w:r w:rsidR="002119C8" w:rsidRPr="008B2319">
        <w:t xml:space="preserve"> coefficient</w:t>
      </w:r>
      <w:r w:rsidR="00A06451" w:rsidRPr="008B2319">
        <w:t>s taken from</w:t>
      </w:r>
      <w:r w:rsidR="002119C8" w:rsidRPr="008B2319">
        <w:t xml:space="preserve"> </w:t>
      </w:r>
      <w:r w:rsidR="002119C8" w:rsidRPr="008B2319">
        <w:fldChar w:fldCharType="begin" w:fldLock="1"/>
      </w:r>
      <w:r w:rsidR="008A464B" w:rsidRPr="008B2319">
        <w:instrText>ADDIN CSL_CITATION { "citationItems" : [ { "id" : "ITEM-1", "itemData" : { "author" : [ { "dropping-particle" : "", "family" : "A.F. Massardo", "given" : "F. Lubelli", "non-dropping-particle" : "", "parse-names" : false, "suffix" : "" } ], "container-title" : "Journal of Engineering for Gas Turbines and Power", "id" : "ITEM-1", "issued" : { "date-parts" : [ [ "2000" ] ] }, "title" : "Internal Reforming Solid Oxide Fuel Cell- Gas Turbine Combined Cycles (IRSOFC-GT): PartA\u2014Cell Model and Cycle Thermodynamic Analysis", "type" : "article-journal", "volume" : "vol. 122/2" }, "uris" : [ "http://www.mendeley.com/documents/?uuid=ee20324e-048b-465d-9004-4ff03096213f", "http://www.mendeley.com/documents/?uuid=1228b554-3357-41c2-b91a-73099c5d8e4c", "http://www.mendeley.com/documents/?uuid=f6d57302-47fe-4f7e-91ed-d5405e9e70c5" ] } ], "mendeley" : { "formattedCitation" : "[35]", "plainTextFormattedCitation" : "[35]", "previouslyFormattedCitation" : "[35]" }, "properties" : { "noteIndex" : 0 }, "schema" : "https://github.com/citation-style-language/schema/raw/master/csl-citation.json" }</w:instrText>
      </w:r>
      <w:r w:rsidR="002119C8" w:rsidRPr="008B2319">
        <w:fldChar w:fldCharType="separate"/>
      </w:r>
      <w:r w:rsidR="002F59CE" w:rsidRPr="008B2319">
        <w:rPr>
          <w:noProof/>
        </w:rPr>
        <w:t>[35]</w:t>
      </w:r>
      <w:r w:rsidR="002119C8" w:rsidRPr="008B2319">
        <w:fldChar w:fldCharType="end"/>
      </w:r>
      <w:r w:rsidR="002119C8" w:rsidRPr="008B2319">
        <w:t>;</w:t>
      </w:r>
    </w:p>
    <w:p w14:paraId="65F608F0" w14:textId="77777777" w:rsidR="006E2828" w:rsidRPr="008B2319" w:rsidRDefault="006E2828" w:rsidP="006E2828">
      <w:r w:rsidRPr="008B2319">
        <w:t>It was assumed that only H</w:t>
      </w:r>
      <w:r w:rsidRPr="008B2319">
        <w:rPr>
          <w:vertAlign w:val="subscript"/>
        </w:rPr>
        <w:t>2</w:t>
      </w:r>
      <w:r w:rsidRPr="008B2319">
        <w:t xml:space="preserve"> reactant mole</w:t>
      </w:r>
      <w:r w:rsidR="00306911" w:rsidRPr="008B2319">
        <w:t>s</w:t>
      </w:r>
      <w:r w:rsidRPr="008B2319">
        <w:t xml:space="preserve"> are responsible for the electric flow. A further simplification is the use of an overall </w:t>
      </w:r>
      <w:r w:rsidR="00306911" w:rsidRPr="008B2319">
        <w:t>area specific resistance (</w:t>
      </w:r>
      <w:r w:rsidRPr="008B2319">
        <w:t>ASR</w:t>
      </w:r>
      <w:r w:rsidR="00306911" w:rsidRPr="008B2319">
        <w:t>)</w:t>
      </w:r>
      <w:r w:rsidRPr="008B2319">
        <w:t xml:space="preserve"> parameter, provided by the manufacturer as</w:t>
      </w:r>
      <w:r w:rsidR="00640366" w:rsidRPr="008B2319">
        <w:t xml:space="preserve"> a</w:t>
      </w:r>
      <w:r w:rsidRPr="008B2319">
        <w:t xml:space="preserve"> </w:t>
      </w:r>
      <w:r w:rsidRPr="008B2319">
        <w:rPr>
          <w:noProof/>
        </w:rPr>
        <w:t>function</w:t>
      </w:r>
      <w:r w:rsidRPr="008B2319">
        <w:t xml:space="preserve"> of </w:t>
      </w:r>
      <w:r w:rsidR="00306911" w:rsidRPr="008B2319">
        <w:t xml:space="preserve">the </w:t>
      </w:r>
      <w:r w:rsidRPr="008B2319">
        <w:t>SOFC working temperature, instead of the polarization terms (</w:t>
      </w:r>
      <w:r w:rsidR="00306911" w:rsidRPr="008B2319">
        <w:t>o</w:t>
      </w:r>
      <w:r w:rsidRPr="008B2319">
        <w:t>hmic</w:t>
      </w:r>
      <w:r w:rsidR="0068439F" w:rsidRPr="008B2319">
        <w:t>, diffusion</w:t>
      </w:r>
      <w:r w:rsidRPr="008B2319">
        <w:t xml:space="preserve"> and activation losses).</w:t>
      </w:r>
    </w:p>
    <w:p w14:paraId="2AC1C491" w14:textId="77777777" w:rsidR="006E2828" w:rsidRPr="008B2319" w:rsidRDefault="006E2828" w:rsidP="0065464D">
      <w:pPr>
        <w:pStyle w:val="Heading2"/>
        <w:rPr>
          <w:sz w:val="24"/>
          <w:szCs w:val="24"/>
        </w:rPr>
      </w:pPr>
      <w:bookmarkStart w:id="7" w:name="_Toc444608474"/>
      <w:r w:rsidRPr="008B2319">
        <w:rPr>
          <w:sz w:val="24"/>
          <w:szCs w:val="24"/>
        </w:rPr>
        <w:t xml:space="preserve">Dynamic model </w:t>
      </w:r>
      <w:bookmarkEnd w:id="7"/>
      <w:r w:rsidR="00124DE6" w:rsidRPr="008B2319">
        <w:rPr>
          <w:sz w:val="24"/>
          <w:szCs w:val="24"/>
        </w:rPr>
        <w:t>of the integrated system</w:t>
      </w:r>
    </w:p>
    <w:p w14:paraId="669EBF4C" w14:textId="77777777" w:rsidR="00102266" w:rsidRPr="008B2319" w:rsidRDefault="00102266" w:rsidP="00102266">
      <w:pPr>
        <w:pStyle w:val="Heading3"/>
        <w:ind w:left="1276"/>
        <w:rPr>
          <w:color w:val="auto"/>
          <w:sz w:val="22"/>
          <w:szCs w:val="22"/>
        </w:rPr>
      </w:pPr>
      <w:r w:rsidRPr="008B2319">
        <w:rPr>
          <w:color w:val="auto"/>
          <w:sz w:val="22"/>
          <w:szCs w:val="22"/>
        </w:rPr>
        <w:t>Overall approach</w:t>
      </w:r>
    </w:p>
    <w:p w14:paraId="731DB187" w14:textId="77777777" w:rsidR="006E2828" w:rsidRPr="008B2319" w:rsidRDefault="006E2828" w:rsidP="006E2828">
      <w:pPr>
        <w:rPr>
          <w:lang w:val="en-US"/>
        </w:rPr>
      </w:pPr>
      <w:r w:rsidRPr="008B2319">
        <w:rPr>
          <w:lang w:val="en-US"/>
        </w:rPr>
        <w:t>The model reproduce</w:t>
      </w:r>
      <w:r w:rsidR="002857CC" w:rsidRPr="008B2319">
        <w:rPr>
          <w:lang w:val="en-US"/>
        </w:rPr>
        <w:t>s</w:t>
      </w:r>
      <w:r w:rsidRPr="008B2319">
        <w:rPr>
          <w:lang w:val="en-US"/>
        </w:rPr>
        <w:t xml:space="preserve"> the transient behavior of the </w:t>
      </w:r>
      <w:r w:rsidR="002857CC" w:rsidRPr="008B2319">
        <w:rPr>
          <w:lang w:val="en-US"/>
        </w:rPr>
        <w:t>integrated system:</w:t>
      </w:r>
      <w:r w:rsidRPr="008B2319">
        <w:rPr>
          <w:lang w:val="en-US"/>
        </w:rPr>
        <w:t xml:space="preserve"> </w:t>
      </w:r>
      <w:r w:rsidR="002857CC" w:rsidRPr="008B2319">
        <w:rPr>
          <w:lang w:val="en-US"/>
        </w:rPr>
        <w:t>a</w:t>
      </w:r>
      <w:r w:rsidRPr="008B2319">
        <w:rPr>
          <w:lang w:val="en-US"/>
        </w:rPr>
        <w:t xml:space="preserve"> schematic block diagram of the dynamic model is shown in</w:t>
      </w:r>
      <w:r w:rsidR="00C5500F" w:rsidRPr="008B2319">
        <w:rPr>
          <w:lang w:val="en-US"/>
        </w:rPr>
        <w:t xml:space="preserve"> </w:t>
      </w:r>
      <w:r w:rsidR="00C5500F" w:rsidRPr="008B2319">
        <w:rPr>
          <w:lang w:val="en-US"/>
        </w:rPr>
        <w:fldChar w:fldCharType="begin"/>
      </w:r>
      <w:r w:rsidR="00C5500F" w:rsidRPr="008B2319">
        <w:rPr>
          <w:lang w:val="en-US"/>
        </w:rPr>
        <w:instrText xml:space="preserve"> REF _Ref448238448 \h </w:instrText>
      </w:r>
      <w:r w:rsidR="00C5500F" w:rsidRPr="008B2319">
        <w:rPr>
          <w:lang w:val="en-US"/>
        </w:rPr>
      </w:r>
      <w:r w:rsidR="00C5500F" w:rsidRPr="008B2319">
        <w:rPr>
          <w:lang w:val="en-US"/>
        </w:rPr>
        <w:fldChar w:fldCharType="separate"/>
      </w:r>
      <w:r w:rsidR="00C5500F" w:rsidRPr="008B2319">
        <w:t>Figure 5</w:t>
      </w:r>
      <w:r w:rsidR="00C5500F" w:rsidRPr="008B2319">
        <w:rPr>
          <w:lang w:val="en-US"/>
        </w:rPr>
        <w:fldChar w:fldCharType="end"/>
      </w:r>
      <w:r w:rsidR="00C5500F" w:rsidRPr="008B2319">
        <w:rPr>
          <w:lang w:val="en-US"/>
        </w:rPr>
        <w:t>.</w:t>
      </w:r>
    </w:p>
    <w:p w14:paraId="55308FF6" w14:textId="77777777" w:rsidR="00C5500F" w:rsidRPr="008B2319" w:rsidRDefault="006E2828" w:rsidP="000F282B">
      <w:pPr>
        <w:keepNext/>
        <w:jc w:val="center"/>
      </w:pPr>
      <w:r w:rsidRPr="008B2319">
        <w:rPr>
          <w:noProof/>
          <w:lang w:val="it-IT" w:eastAsia="it-IT"/>
        </w:rPr>
        <w:drawing>
          <wp:inline distT="0" distB="0" distL="0" distR="0" wp14:anchorId="65ECA1E1" wp14:editId="262969FA">
            <wp:extent cx="6087593" cy="2127565"/>
            <wp:effectExtent l="0" t="0" r="8890" b="635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ynamic"/>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795"/>
                    <a:stretch/>
                  </pic:blipFill>
                  <pic:spPr bwMode="auto">
                    <a:xfrm>
                      <a:off x="0" y="0"/>
                      <a:ext cx="6093332" cy="2129571"/>
                    </a:xfrm>
                    <a:prstGeom prst="rect">
                      <a:avLst/>
                    </a:prstGeom>
                    <a:noFill/>
                    <a:ln>
                      <a:noFill/>
                    </a:ln>
                    <a:extLst>
                      <a:ext uri="{53640926-AAD7-44D8-BBD7-CCE9431645EC}">
                        <a14:shadowObscured xmlns:a14="http://schemas.microsoft.com/office/drawing/2010/main"/>
                      </a:ext>
                    </a:extLst>
                  </pic:spPr>
                </pic:pic>
              </a:graphicData>
            </a:graphic>
          </wp:inline>
        </w:drawing>
      </w:r>
    </w:p>
    <w:p w14:paraId="430FBD63" w14:textId="77777777" w:rsidR="006E2828" w:rsidRPr="008B2319" w:rsidRDefault="00C5500F" w:rsidP="00C5500F">
      <w:pPr>
        <w:pStyle w:val="Caption"/>
      </w:pPr>
      <w:bookmarkStart w:id="8" w:name="_Ref448238448"/>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B53F43" w:rsidRPr="008B2319">
        <w:rPr>
          <w:noProof/>
        </w:rPr>
        <w:t>5</w:t>
      </w:r>
      <w:r w:rsidR="00825D4F" w:rsidRPr="008B2319">
        <w:rPr>
          <w:noProof/>
        </w:rPr>
        <w:fldChar w:fldCharType="end"/>
      </w:r>
      <w:bookmarkEnd w:id="8"/>
      <w:r w:rsidRPr="008B2319">
        <w:t>.</w:t>
      </w:r>
      <w:r w:rsidR="00306911" w:rsidRPr="008B2319">
        <w:t xml:space="preserve"> </w:t>
      </w:r>
      <w:r w:rsidR="006E2828" w:rsidRPr="008B2319">
        <w:t>Conceptual map of</w:t>
      </w:r>
      <w:r w:rsidR="006B7FA5" w:rsidRPr="008B2319">
        <w:t xml:space="preserve"> the</w:t>
      </w:r>
      <w:r w:rsidR="006E2828" w:rsidRPr="008B2319">
        <w:t xml:space="preserve"> </w:t>
      </w:r>
      <w:r w:rsidR="006E2828" w:rsidRPr="008B2319">
        <w:rPr>
          <w:noProof/>
        </w:rPr>
        <w:t>dynamic</w:t>
      </w:r>
      <w:r w:rsidR="006E2828" w:rsidRPr="008B2319">
        <w:t xml:space="preserve"> model</w:t>
      </w:r>
      <w:r w:rsidRPr="008B2319">
        <w:t>.</w:t>
      </w:r>
    </w:p>
    <w:p w14:paraId="4DE163D1" w14:textId="77777777" w:rsidR="006E2828" w:rsidRPr="008B2319" w:rsidRDefault="002857CC" w:rsidP="002857CC">
      <w:pPr>
        <w:rPr>
          <w:lang w:val="en-US"/>
        </w:rPr>
      </w:pPr>
      <w:r w:rsidRPr="008B2319">
        <w:lastRenderedPageBreak/>
        <w:t>T</w:t>
      </w:r>
      <w:r w:rsidR="006E2828" w:rsidRPr="008B2319">
        <w:t xml:space="preserve">he main </w:t>
      </w:r>
      <w:r w:rsidR="00A45392" w:rsidRPr="008B2319">
        <w:t xml:space="preserve">material </w:t>
      </w:r>
      <w:r w:rsidR="00C5500F" w:rsidRPr="008B2319">
        <w:t xml:space="preserve">flows of the </w:t>
      </w:r>
      <w:r w:rsidR="00A45392" w:rsidRPr="008B2319">
        <w:t xml:space="preserve">system </w:t>
      </w:r>
      <w:r w:rsidR="006E2828" w:rsidRPr="008B2319">
        <w:t>are the anodic stream</w:t>
      </w:r>
      <w:r w:rsidR="00A45392" w:rsidRPr="008B2319">
        <w:t>s</w:t>
      </w:r>
      <w:r w:rsidR="006E2828" w:rsidRPr="008B2319">
        <w:t xml:space="preserve"> (</w:t>
      </w:r>
      <w:r w:rsidR="005D7509" w:rsidRPr="008B2319">
        <w:t>green lines, biogas</w:t>
      </w:r>
      <w:r w:rsidR="006E2828" w:rsidRPr="008B2319">
        <w:t>) and the cathodic stream</w:t>
      </w:r>
      <w:r w:rsidR="00A45392" w:rsidRPr="008B2319">
        <w:t>s</w:t>
      </w:r>
      <w:r w:rsidR="006E2828" w:rsidRPr="008B2319">
        <w:t xml:space="preserve"> (</w:t>
      </w:r>
      <w:r w:rsidR="005D7509" w:rsidRPr="008B2319">
        <w:t>orange lines, air</w:t>
      </w:r>
      <w:r w:rsidR="006E2828" w:rsidRPr="008B2319">
        <w:t>).</w:t>
      </w:r>
      <w:r w:rsidRPr="008B2319">
        <w:t xml:space="preserve"> </w:t>
      </w:r>
      <w:r w:rsidR="006E2828" w:rsidRPr="008B2319">
        <w:rPr>
          <w:lang w:val="en-US"/>
        </w:rPr>
        <w:t xml:space="preserve">The anode line deals with the pre-treatment of the fuel before </w:t>
      </w:r>
      <w:r w:rsidR="00A45392" w:rsidRPr="008B2319">
        <w:rPr>
          <w:lang w:val="en-US"/>
        </w:rPr>
        <w:t>feeding</w:t>
      </w:r>
      <w:r w:rsidR="006E2828" w:rsidRPr="008B2319">
        <w:rPr>
          <w:lang w:val="en-US"/>
        </w:rPr>
        <w:t xml:space="preserve"> the SOFC</w:t>
      </w:r>
      <w:r w:rsidR="00306911" w:rsidRPr="008B2319">
        <w:rPr>
          <w:lang w:val="en-US"/>
        </w:rPr>
        <w:t>;</w:t>
      </w:r>
      <w:r w:rsidR="006E2828" w:rsidRPr="008B2319">
        <w:rPr>
          <w:lang w:val="en-US"/>
        </w:rPr>
        <w:t xml:space="preserve"> </w:t>
      </w:r>
      <w:r w:rsidR="00306911" w:rsidRPr="008B2319">
        <w:rPr>
          <w:lang w:val="en-US"/>
        </w:rPr>
        <w:t>t</w:t>
      </w:r>
      <w:r w:rsidR="006E2828" w:rsidRPr="008B2319">
        <w:rPr>
          <w:lang w:val="en-US"/>
        </w:rPr>
        <w:t>he three main components</w:t>
      </w:r>
      <w:r w:rsidR="00C5500F" w:rsidRPr="008B2319">
        <w:rPr>
          <w:lang w:val="en-US"/>
        </w:rPr>
        <w:t xml:space="preserve"> are,</w:t>
      </w:r>
      <w:r w:rsidR="006E2828" w:rsidRPr="008B2319">
        <w:rPr>
          <w:lang w:val="en-US"/>
        </w:rPr>
        <w:t xml:space="preserve"> from left to right</w:t>
      </w:r>
      <w:r w:rsidR="00C5500F" w:rsidRPr="008B2319">
        <w:rPr>
          <w:lang w:val="en-US"/>
        </w:rPr>
        <w:t xml:space="preserve">: </w:t>
      </w:r>
      <w:r w:rsidR="00A45392" w:rsidRPr="008B2319">
        <w:rPr>
          <w:lang w:val="en-US"/>
        </w:rPr>
        <w:t>e</w:t>
      </w:r>
      <w:r w:rsidR="006E2828" w:rsidRPr="008B2319">
        <w:rPr>
          <w:lang w:val="en-US"/>
        </w:rPr>
        <w:t xml:space="preserve">vaporator, </w:t>
      </w:r>
      <w:r w:rsidR="00A45392" w:rsidRPr="008B2319">
        <w:rPr>
          <w:noProof/>
          <w:lang w:val="en-US"/>
        </w:rPr>
        <w:t>r</w:t>
      </w:r>
      <w:r w:rsidR="006E2828" w:rsidRPr="008B2319">
        <w:rPr>
          <w:noProof/>
          <w:lang w:val="en-US"/>
        </w:rPr>
        <w:t>eformer</w:t>
      </w:r>
      <w:r w:rsidR="006B7FA5" w:rsidRPr="008B2319">
        <w:rPr>
          <w:noProof/>
          <w:lang w:val="en-US"/>
        </w:rPr>
        <w:t>,</w:t>
      </w:r>
      <w:r w:rsidR="006E2828" w:rsidRPr="008B2319">
        <w:rPr>
          <w:lang w:val="en-US"/>
        </w:rPr>
        <w:t xml:space="preserve"> and </w:t>
      </w:r>
      <w:r w:rsidR="00A45392" w:rsidRPr="008B2319">
        <w:rPr>
          <w:lang w:val="en-US"/>
        </w:rPr>
        <w:t>e</w:t>
      </w:r>
      <w:r w:rsidR="006E2828" w:rsidRPr="008B2319">
        <w:rPr>
          <w:lang w:val="en-US"/>
        </w:rPr>
        <w:t xml:space="preserve">lectric heater. The flow rate of fuel is determined according to the electric load applied and the molar composition of the biogas. </w:t>
      </w:r>
      <w:r w:rsidR="00A45392" w:rsidRPr="008B2319">
        <w:rPr>
          <w:lang w:val="en-US"/>
        </w:rPr>
        <w:t>Biogas and liquid water are mixed in the evaporator component to reach the desired</w:t>
      </w:r>
      <w:r w:rsidR="006E2828" w:rsidRPr="008B2319">
        <w:rPr>
          <w:lang w:val="en-US"/>
        </w:rPr>
        <w:t xml:space="preserve"> </w:t>
      </w:r>
      <w:r w:rsidR="00C5500F" w:rsidRPr="008B2319">
        <w:rPr>
          <w:lang w:val="en-US"/>
        </w:rPr>
        <w:t>S/C</w:t>
      </w:r>
      <w:r w:rsidR="006E2828" w:rsidRPr="008B2319">
        <w:rPr>
          <w:lang w:val="en-US"/>
        </w:rPr>
        <w:t xml:space="preserve"> ratio. </w:t>
      </w:r>
      <w:r w:rsidR="00A45392" w:rsidRPr="008B2319">
        <w:rPr>
          <w:lang w:val="en-US"/>
        </w:rPr>
        <w:t xml:space="preserve">In the evaporator, water is first </w:t>
      </w:r>
      <w:r w:rsidR="006E2828" w:rsidRPr="008B2319">
        <w:rPr>
          <w:lang w:val="en-US"/>
        </w:rPr>
        <w:t>vaporiz</w:t>
      </w:r>
      <w:r w:rsidR="00A45392" w:rsidRPr="008B2319">
        <w:rPr>
          <w:lang w:val="en-US"/>
        </w:rPr>
        <w:t xml:space="preserve">ed before mixing the biogas. The mixed humid gas is finally </w:t>
      </w:r>
      <w:r w:rsidR="00A45392" w:rsidRPr="008B2319">
        <w:rPr>
          <w:noProof/>
          <w:lang w:val="en-US"/>
        </w:rPr>
        <w:t>preheated</w:t>
      </w:r>
      <w:r w:rsidR="006E2828" w:rsidRPr="008B2319">
        <w:rPr>
          <w:lang w:val="en-US"/>
        </w:rPr>
        <w:t xml:space="preserve"> </w:t>
      </w:r>
      <w:r w:rsidR="00A45392" w:rsidRPr="008B2319">
        <w:rPr>
          <w:lang w:val="en-US"/>
        </w:rPr>
        <w:t>to reach</w:t>
      </w:r>
      <w:r w:rsidR="006E2828" w:rsidRPr="008B2319">
        <w:rPr>
          <w:lang w:val="en-US"/>
        </w:rPr>
        <w:t xml:space="preserve"> </w:t>
      </w:r>
      <w:r w:rsidR="00C5500F" w:rsidRPr="008B2319">
        <w:rPr>
          <w:lang w:val="en-US"/>
        </w:rPr>
        <w:t xml:space="preserve">a </w:t>
      </w:r>
      <w:r w:rsidR="006E2828" w:rsidRPr="008B2319">
        <w:rPr>
          <w:lang w:val="en-US"/>
        </w:rPr>
        <w:t xml:space="preserve">temperature </w:t>
      </w:r>
      <w:r w:rsidR="00A45392" w:rsidRPr="008B2319">
        <w:rPr>
          <w:lang w:val="en-US"/>
        </w:rPr>
        <w:t>of</w:t>
      </w:r>
      <w:r w:rsidR="006E2828" w:rsidRPr="008B2319">
        <w:rPr>
          <w:lang w:val="en-US"/>
        </w:rPr>
        <w:t xml:space="preserve"> </w:t>
      </w:r>
      <w:r w:rsidR="00A45392" w:rsidRPr="008B2319">
        <w:rPr>
          <w:lang w:val="en-US"/>
        </w:rPr>
        <w:t xml:space="preserve">about </w:t>
      </w:r>
      <w:r w:rsidR="006E2828" w:rsidRPr="008B2319">
        <w:rPr>
          <w:lang w:val="en-US"/>
        </w:rPr>
        <w:t>650°C.</w:t>
      </w:r>
    </w:p>
    <w:p w14:paraId="5ABF357F" w14:textId="702B444C" w:rsidR="006E2828" w:rsidRPr="008B2319" w:rsidRDefault="00A45392" w:rsidP="002857CC">
      <w:pPr>
        <w:rPr>
          <w:lang w:val="en-US"/>
        </w:rPr>
      </w:pPr>
      <w:r w:rsidRPr="008B2319">
        <w:rPr>
          <w:lang w:val="en-US"/>
        </w:rPr>
        <w:t>T</w:t>
      </w:r>
      <w:r w:rsidR="00C5500F" w:rsidRPr="008B2319">
        <w:rPr>
          <w:lang w:val="en-US"/>
        </w:rPr>
        <w:t>he</w:t>
      </w:r>
      <w:r w:rsidR="006E2828" w:rsidRPr="008B2319">
        <w:rPr>
          <w:lang w:val="en-US"/>
        </w:rPr>
        <w:t xml:space="preserve"> </w:t>
      </w:r>
      <w:r w:rsidRPr="008B2319">
        <w:rPr>
          <w:lang w:val="en-US"/>
        </w:rPr>
        <w:t xml:space="preserve">pre-heated </w:t>
      </w:r>
      <w:r w:rsidR="006E2828" w:rsidRPr="008B2319">
        <w:rPr>
          <w:lang w:val="en-US"/>
        </w:rPr>
        <w:t xml:space="preserve">fuel </w:t>
      </w:r>
      <w:r w:rsidRPr="008B2319">
        <w:rPr>
          <w:lang w:val="en-US"/>
        </w:rPr>
        <w:t xml:space="preserve">stream feeds </w:t>
      </w:r>
      <w:r w:rsidR="006E2828" w:rsidRPr="008B2319">
        <w:rPr>
          <w:lang w:val="en-US"/>
        </w:rPr>
        <w:t xml:space="preserve">the reformer where </w:t>
      </w:r>
      <w:r w:rsidRPr="008B2319">
        <w:rPr>
          <w:lang w:val="en-US"/>
        </w:rPr>
        <w:t>both</w:t>
      </w:r>
      <w:r w:rsidR="006E2828" w:rsidRPr="008B2319">
        <w:rPr>
          <w:lang w:val="en-US"/>
        </w:rPr>
        <w:t xml:space="preserve"> SMR and WGS reactions occur. The methane is almost completely converted </w:t>
      </w:r>
      <w:r w:rsidRPr="008B2319">
        <w:rPr>
          <w:lang w:val="en-US"/>
        </w:rPr>
        <w:t>to produce a</w:t>
      </w:r>
      <w:r w:rsidR="006E2828" w:rsidRPr="008B2319">
        <w:rPr>
          <w:lang w:val="en-US"/>
        </w:rPr>
        <w:t xml:space="preserve"> hydrogen and carbon monoxide</w:t>
      </w:r>
      <w:r w:rsidR="00C5500F" w:rsidRPr="008B2319">
        <w:rPr>
          <w:lang w:val="en-US"/>
        </w:rPr>
        <w:t xml:space="preserve"> </w:t>
      </w:r>
      <w:r w:rsidRPr="008B2319">
        <w:rPr>
          <w:lang w:val="en-US"/>
        </w:rPr>
        <w:t>rich reformate gas</w:t>
      </w:r>
      <w:r w:rsidR="006E2828" w:rsidRPr="008B2319">
        <w:rPr>
          <w:lang w:val="en-US"/>
        </w:rPr>
        <w:t xml:space="preserve">. </w:t>
      </w:r>
      <w:r w:rsidR="00BF0972" w:rsidRPr="008B2319">
        <w:rPr>
          <w:lang w:val="en-US"/>
        </w:rPr>
        <w:t>T</w:t>
      </w:r>
      <w:r w:rsidR="006E2828" w:rsidRPr="008B2319">
        <w:rPr>
          <w:lang w:val="en-US"/>
        </w:rPr>
        <w:t xml:space="preserve">he </w:t>
      </w:r>
      <w:r w:rsidRPr="008B2319">
        <w:rPr>
          <w:lang w:val="en-US"/>
        </w:rPr>
        <w:t>required</w:t>
      </w:r>
      <w:r w:rsidR="006E2828" w:rsidRPr="008B2319">
        <w:rPr>
          <w:lang w:val="en-US"/>
        </w:rPr>
        <w:t xml:space="preserve"> </w:t>
      </w:r>
      <w:r w:rsidR="00BF0972" w:rsidRPr="008B2319">
        <w:rPr>
          <w:lang w:val="en-US"/>
        </w:rPr>
        <w:t>thermal power for the endothermic reformer</w:t>
      </w:r>
      <w:r w:rsidRPr="008B2319">
        <w:rPr>
          <w:lang w:val="en-US"/>
        </w:rPr>
        <w:t xml:space="preserve"> </w:t>
      </w:r>
      <w:r w:rsidR="00BF0972" w:rsidRPr="008B2319">
        <w:rPr>
          <w:lang w:val="en-US"/>
        </w:rPr>
        <w:t xml:space="preserve">reactions (SMR) was supplied by electrical heaters, located around the reactor. </w:t>
      </w:r>
      <w:r w:rsidR="0062154B" w:rsidRPr="008B2319">
        <w:rPr>
          <w:lang w:val="en-US"/>
        </w:rPr>
        <w:t>I</w:t>
      </w:r>
      <w:r w:rsidR="00BE3060" w:rsidRPr="008B2319">
        <w:rPr>
          <w:lang w:val="en-US"/>
        </w:rPr>
        <w:t>n a</w:t>
      </w:r>
      <w:r w:rsidR="00BF0972" w:rsidRPr="008B2319">
        <w:rPr>
          <w:lang w:val="en-US"/>
        </w:rPr>
        <w:t xml:space="preserve"> real-size plant, the reformer would be </w:t>
      </w:r>
      <w:r w:rsidR="00BE3060" w:rsidRPr="008B2319">
        <w:rPr>
          <w:lang w:val="en-US"/>
        </w:rPr>
        <w:t>either thermally integrated with the exothermic SOFC stack, or heated externally by the fuel cell exhaust</w:t>
      </w:r>
      <w:r w:rsidR="0062154B" w:rsidRPr="008B2319">
        <w:rPr>
          <w:lang w:val="en-US"/>
        </w:rPr>
        <w:t xml:space="preserve"> </w:t>
      </w:r>
      <w:r w:rsidR="0062154B" w:rsidRPr="008B2319">
        <w:rPr>
          <w:lang w:val="en-US"/>
        </w:rPr>
        <w:fldChar w:fldCharType="begin" w:fldLock="1"/>
      </w:r>
      <w:r w:rsidR="008A464B" w:rsidRPr="008B2319">
        <w:rPr>
          <w:lang w:val="en-US"/>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0062154B" w:rsidRPr="008B2319">
        <w:rPr>
          <w:lang w:val="en-US"/>
        </w:rPr>
        <w:fldChar w:fldCharType="separate"/>
      </w:r>
      <w:r w:rsidR="002F59CE" w:rsidRPr="008B2319">
        <w:rPr>
          <w:noProof/>
          <w:lang w:val="en-US"/>
        </w:rPr>
        <w:t>[36]</w:t>
      </w:r>
      <w:r w:rsidR="0062154B" w:rsidRPr="008B2319">
        <w:rPr>
          <w:lang w:val="en-US"/>
        </w:rPr>
        <w:fldChar w:fldCharType="end"/>
      </w:r>
      <w:r w:rsidR="006E2828" w:rsidRPr="008B2319">
        <w:rPr>
          <w:lang w:val="en-US"/>
        </w:rPr>
        <w:t xml:space="preserve">. Furthermore, an additional electrical heater was inserted between the reformer and the SOFC in order to provide the thermal power required to </w:t>
      </w:r>
      <w:r w:rsidR="00BE3060" w:rsidRPr="008B2319">
        <w:rPr>
          <w:lang w:val="en-US"/>
        </w:rPr>
        <w:t xml:space="preserve">compensate for heat losses along the piping and thus maintain </w:t>
      </w:r>
      <w:r w:rsidR="006E2828" w:rsidRPr="008B2319">
        <w:rPr>
          <w:lang w:val="en-US"/>
        </w:rPr>
        <w:t xml:space="preserve">the </w:t>
      </w:r>
      <w:r w:rsidRPr="008B2319">
        <w:rPr>
          <w:lang w:val="en-US"/>
        </w:rPr>
        <w:t>required</w:t>
      </w:r>
      <w:r w:rsidR="006E2828" w:rsidRPr="008B2319">
        <w:rPr>
          <w:lang w:val="en-US"/>
        </w:rPr>
        <w:t xml:space="preserve"> </w:t>
      </w:r>
      <w:r w:rsidR="00C5500F" w:rsidRPr="008B2319">
        <w:rPr>
          <w:lang w:val="en-US"/>
        </w:rPr>
        <w:t xml:space="preserve">inlet </w:t>
      </w:r>
      <w:r w:rsidRPr="008B2319">
        <w:rPr>
          <w:lang w:val="en-US"/>
        </w:rPr>
        <w:t>temperature at the SOFC anode inlet</w:t>
      </w:r>
      <w:r w:rsidR="006E2828" w:rsidRPr="008B2319">
        <w:rPr>
          <w:lang w:val="en-US"/>
        </w:rPr>
        <w:t>.</w:t>
      </w:r>
    </w:p>
    <w:p w14:paraId="74742A8A" w14:textId="13CBAAC6" w:rsidR="00CB7CBC" w:rsidRPr="008B2319" w:rsidRDefault="006E2828" w:rsidP="002857CC">
      <w:pPr>
        <w:rPr>
          <w:lang w:val="en-US"/>
        </w:rPr>
      </w:pPr>
      <w:r w:rsidRPr="008B2319">
        <w:rPr>
          <w:lang w:val="en-US"/>
        </w:rPr>
        <w:t xml:space="preserve">The cathode line provides air (oxygen) </w:t>
      </w:r>
      <w:r w:rsidR="003938C3" w:rsidRPr="008B2319">
        <w:rPr>
          <w:lang w:val="en-US"/>
        </w:rPr>
        <w:t xml:space="preserve">to the </w:t>
      </w:r>
      <w:r w:rsidR="003938C3" w:rsidRPr="008B2319">
        <w:rPr>
          <w:noProof/>
          <w:lang w:val="en-US"/>
        </w:rPr>
        <w:t>stack</w:t>
      </w:r>
      <w:r w:rsidR="003938C3" w:rsidRPr="008B2319">
        <w:rPr>
          <w:lang w:val="en-US"/>
        </w:rPr>
        <w:t xml:space="preserve"> that is required both </w:t>
      </w:r>
      <w:r w:rsidR="00306911" w:rsidRPr="008B2319">
        <w:rPr>
          <w:lang w:val="en-US"/>
        </w:rPr>
        <w:t xml:space="preserve">as a reactant and </w:t>
      </w:r>
      <w:r w:rsidR="003938C3" w:rsidRPr="008B2319">
        <w:rPr>
          <w:lang w:val="en-US"/>
        </w:rPr>
        <w:t>for the internal stack cooling</w:t>
      </w:r>
      <w:r w:rsidR="00333AC6" w:rsidRPr="008B2319">
        <w:rPr>
          <w:lang w:val="en-US"/>
        </w:rPr>
        <w:t>.</w:t>
      </w:r>
      <w:r w:rsidRPr="008B2319">
        <w:rPr>
          <w:lang w:val="en-US"/>
        </w:rPr>
        <w:t xml:space="preserve"> </w:t>
      </w:r>
      <w:r w:rsidR="003938C3" w:rsidRPr="008B2319">
        <w:rPr>
          <w:lang w:val="en-US"/>
        </w:rPr>
        <w:t xml:space="preserve">An air blower is used to </w:t>
      </w:r>
      <w:r w:rsidR="00CB7CBC" w:rsidRPr="008B2319">
        <w:rPr>
          <w:lang w:val="en-US"/>
        </w:rPr>
        <w:t xml:space="preserve">flow </w:t>
      </w:r>
      <w:r w:rsidR="003938C3" w:rsidRPr="008B2319">
        <w:rPr>
          <w:lang w:val="en-US"/>
        </w:rPr>
        <w:t xml:space="preserve">ambient </w:t>
      </w:r>
      <w:r w:rsidRPr="008B2319">
        <w:rPr>
          <w:lang w:val="en-US"/>
        </w:rPr>
        <w:t>air</w:t>
      </w:r>
      <w:r w:rsidR="00CB7CBC" w:rsidRPr="008B2319">
        <w:rPr>
          <w:lang w:val="en-US"/>
        </w:rPr>
        <w:t xml:space="preserve"> </w:t>
      </w:r>
      <w:r w:rsidR="003938C3" w:rsidRPr="008B2319">
        <w:rPr>
          <w:lang w:val="en-US"/>
        </w:rPr>
        <w:t>through</w:t>
      </w:r>
      <w:r w:rsidRPr="008B2319">
        <w:rPr>
          <w:lang w:val="en-US"/>
        </w:rPr>
        <w:t xml:space="preserve"> </w:t>
      </w:r>
      <w:r w:rsidR="00306911" w:rsidRPr="008B2319">
        <w:rPr>
          <w:lang w:val="en-US"/>
        </w:rPr>
        <w:t xml:space="preserve">the </w:t>
      </w:r>
      <w:r w:rsidR="00333AC6" w:rsidRPr="008B2319">
        <w:rPr>
          <w:lang w:val="en-US"/>
        </w:rPr>
        <w:t>pre-heater</w:t>
      </w:r>
      <w:r w:rsidR="00CB7CBC" w:rsidRPr="008B2319">
        <w:rPr>
          <w:lang w:val="en-US"/>
        </w:rPr>
        <w:t xml:space="preserve"> section</w:t>
      </w:r>
      <w:r w:rsidR="003938C3" w:rsidRPr="008B2319">
        <w:rPr>
          <w:lang w:val="en-US"/>
        </w:rPr>
        <w:t xml:space="preserve">. The blower speed is controlled by an inverter, while the flow rate is measured by </w:t>
      </w:r>
      <w:r w:rsidR="00CB7CBC" w:rsidRPr="008B2319">
        <w:rPr>
          <w:lang w:val="en-US"/>
        </w:rPr>
        <w:t xml:space="preserve">a </w:t>
      </w:r>
      <w:r w:rsidRPr="008B2319">
        <w:rPr>
          <w:lang w:val="en-US"/>
        </w:rPr>
        <w:t xml:space="preserve">rotameter. In the dynamic model, the air blower is </w:t>
      </w:r>
      <w:r w:rsidRPr="008B2319">
        <w:rPr>
          <w:noProof/>
          <w:lang w:val="en-US"/>
        </w:rPr>
        <w:t>assumed to</w:t>
      </w:r>
      <w:r w:rsidRPr="008B2319">
        <w:rPr>
          <w:lang w:val="en-US"/>
        </w:rPr>
        <w:t xml:space="preserve"> follow </w:t>
      </w:r>
      <w:r w:rsidR="00832878" w:rsidRPr="008B2319">
        <w:rPr>
          <w:noProof/>
          <w:lang w:val="en-US"/>
        </w:rPr>
        <w:t>the load quickly</w:t>
      </w:r>
      <w:r w:rsidRPr="008B2319">
        <w:rPr>
          <w:lang w:val="en-US"/>
        </w:rPr>
        <w:t xml:space="preserve">, so its dynamics </w:t>
      </w:r>
      <w:r w:rsidR="00CB7CBC" w:rsidRPr="008B2319">
        <w:rPr>
          <w:lang w:val="en-US"/>
        </w:rPr>
        <w:t>has been</w:t>
      </w:r>
      <w:r w:rsidRPr="008B2319">
        <w:rPr>
          <w:lang w:val="en-US"/>
        </w:rPr>
        <w:t xml:space="preserve"> neglected. </w:t>
      </w:r>
      <w:r w:rsidR="00CB7CBC" w:rsidRPr="008B2319">
        <w:rPr>
          <w:lang w:val="en-US"/>
        </w:rPr>
        <w:t>Then</w:t>
      </w:r>
      <w:r w:rsidRPr="008B2319">
        <w:rPr>
          <w:lang w:val="en-US"/>
        </w:rPr>
        <w:t xml:space="preserve"> a heat exchanger heats up the inlet air</w:t>
      </w:r>
      <w:r w:rsidR="00333AC6" w:rsidRPr="008B2319">
        <w:rPr>
          <w:lang w:val="en-US"/>
        </w:rPr>
        <w:t xml:space="preserve"> (45</w:t>
      </w:r>
      <w:r w:rsidR="00903159" w:rsidRPr="008B2319">
        <w:rPr>
          <w:lang w:val="en-US"/>
        </w:rPr>
        <w:t>0-600°C</w:t>
      </w:r>
      <w:r w:rsidR="006968DA" w:rsidRPr="008B2319">
        <w:rPr>
          <w:lang w:val="en-US"/>
        </w:rPr>
        <w:t>) recovering</w:t>
      </w:r>
      <w:r w:rsidRPr="008B2319">
        <w:rPr>
          <w:lang w:val="en-US"/>
        </w:rPr>
        <w:t xml:space="preserve"> heat from </w:t>
      </w:r>
      <w:r w:rsidR="00306911" w:rsidRPr="008B2319">
        <w:rPr>
          <w:lang w:val="en-US"/>
        </w:rPr>
        <w:t xml:space="preserve">the </w:t>
      </w:r>
      <w:r w:rsidRPr="008B2319">
        <w:rPr>
          <w:lang w:val="en-US"/>
        </w:rPr>
        <w:t xml:space="preserve">cathode exhaust, released out at a high temperature (850°C). </w:t>
      </w:r>
    </w:p>
    <w:p w14:paraId="2790F56F" w14:textId="77777777" w:rsidR="006E2828" w:rsidRPr="008B2319" w:rsidRDefault="00306911" w:rsidP="002857CC">
      <w:pPr>
        <w:rPr>
          <w:lang w:val="en-US"/>
        </w:rPr>
      </w:pPr>
      <w:r w:rsidRPr="008B2319">
        <w:rPr>
          <w:lang w:val="en-US"/>
        </w:rPr>
        <w:t>T</w:t>
      </w:r>
      <w:r w:rsidR="006E2828" w:rsidRPr="008B2319">
        <w:rPr>
          <w:lang w:val="en-US"/>
        </w:rPr>
        <w:t>he nominal inlet</w:t>
      </w:r>
      <w:r w:rsidR="00CB7CBC" w:rsidRPr="008B2319">
        <w:rPr>
          <w:lang w:val="en-US"/>
        </w:rPr>
        <w:t xml:space="preserve"> temperature </w:t>
      </w:r>
      <w:r w:rsidR="006B7FA5" w:rsidRPr="008B2319">
        <w:rPr>
          <w:noProof/>
          <w:lang w:val="en-US"/>
        </w:rPr>
        <w:t>of</w:t>
      </w:r>
      <w:r w:rsidR="00CB7CBC" w:rsidRPr="008B2319">
        <w:rPr>
          <w:lang w:val="en-US"/>
        </w:rPr>
        <w:t xml:space="preserve"> the </w:t>
      </w:r>
      <w:r w:rsidR="006E2828" w:rsidRPr="008B2319">
        <w:rPr>
          <w:lang w:val="en-US"/>
        </w:rPr>
        <w:t xml:space="preserve">air is 650°C. In order to reach this set-point, an electrical heater is installed (again, a not optimized solution, useful only in case of a proof-of-concept), </w:t>
      </w:r>
      <w:r w:rsidR="00CB7CBC" w:rsidRPr="008B2319">
        <w:rPr>
          <w:lang w:val="en-US"/>
        </w:rPr>
        <w:t xml:space="preserve">to provide </w:t>
      </w:r>
      <w:r w:rsidR="005E77D6" w:rsidRPr="008B2319">
        <w:rPr>
          <w:lang w:val="en-US"/>
        </w:rPr>
        <w:t>the extra thermal power needed. T</w:t>
      </w:r>
      <w:r w:rsidR="006E2828" w:rsidRPr="008B2319">
        <w:rPr>
          <w:lang w:val="en-US"/>
        </w:rPr>
        <w:t xml:space="preserve">he stack core temperature should never go above 860°C. The thermal control is </w:t>
      </w:r>
      <w:r w:rsidR="005E77D6" w:rsidRPr="008B2319">
        <w:rPr>
          <w:lang w:val="en-US"/>
        </w:rPr>
        <w:t xml:space="preserve">carried out by regulating the amount of cathode air fed through </w:t>
      </w:r>
      <w:r w:rsidRPr="008B2319">
        <w:rPr>
          <w:lang w:val="en-US"/>
        </w:rPr>
        <w:t>the</w:t>
      </w:r>
      <w:r w:rsidR="002857CC" w:rsidRPr="008B2319">
        <w:rPr>
          <w:lang w:val="en-US"/>
        </w:rPr>
        <w:t xml:space="preserve"> </w:t>
      </w:r>
      <w:r w:rsidR="006E2828" w:rsidRPr="008B2319">
        <w:rPr>
          <w:lang w:val="en-US"/>
        </w:rPr>
        <w:t xml:space="preserve">air blower: a </w:t>
      </w:r>
      <w:r w:rsidR="005E77D6" w:rsidRPr="008B2319">
        <w:rPr>
          <w:lang w:val="en-US"/>
        </w:rPr>
        <w:t>retroactive</w:t>
      </w:r>
      <w:r w:rsidR="006E2828" w:rsidRPr="008B2319">
        <w:rPr>
          <w:lang w:val="en-US"/>
        </w:rPr>
        <w:t xml:space="preserve"> feedback control calculate</w:t>
      </w:r>
      <w:r w:rsidR="002857CC" w:rsidRPr="008B2319">
        <w:rPr>
          <w:lang w:val="en-US"/>
        </w:rPr>
        <w:t>s</w:t>
      </w:r>
      <w:r w:rsidR="006E2828" w:rsidRPr="008B2319">
        <w:rPr>
          <w:lang w:val="en-US"/>
        </w:rPr>
        <w:t xml:space="preserve"> and impose</w:t>
      </w:r>
      <w:r w:rsidR="002857CC" w:rsidRPr="008B2319">
        <w:rPr>
          <w:lang w:val="en-US"/>
        </w:rPr>
        <w:t>s</w:t>
      </w:r>
      <w:r w:rsidR="006E2828" w:rsidRPr="008B2319">
        <w:rPr>
          <w:lang w:val="en-US"/>
        </w:rPr>
        <w:t xml:space="preserve"> the mass flow rate </w:t>
      </w:r>
      <w:r w:rsidR="002857CC" w:rsidRPr="008B2319">
        <w:rPr>
          <w:lang w:val="en-US"/>
        </w:rPr>
        <w:t xml:space="preserve">needed </w:t>
      </w:r>
      <w:r w:rsidR="006E2828" w:rsidRPr="008B2319">
        <w:rPr>
          <w:lang w:val="en-US"/>
        </w:rPr>
        <w:t xml:space="preserve">to keep the core temperature below </w:t>
      </w:r>
      <w:r w:rsidRPr="008B2319">
        <w:rPr>
          <w:lang w:val="en-US"/>
        </w:rPr>
        <w:t>this</w:t>
      </w:r>
      <w:r w:rsidR="006E2828" w:rsidRPr="008B2319">
        <w:rPr>
          <w:lang w:val="en-US"/>
        </w:rPr>
        <w:t xml:space="preserve"> critical level.</w:t>
      </w:r>
    </w:p>
    <w:p w14:paraId="7F245C31" w14:textId="77777777" w:rsidR="0061069F" w:rsidRPr="008B2319" w:rsidRDefault="00761C58" w:rsidP="0061069F">
      <w:pPr>
        <w:rPr>
          <w:lang w:val="en-US"/>
        </w:rPr>
      </w:pPr>
      <w:r w:rsidRPr="008B2319">
        <w:rPr>
          <w:lang w:val="en-US"/>
        </w:rPr>
        <w:t xml:space="preserve">Tables 1 to 4 </w:t>
      </w:r>
      <w:r w:rsidR="005E77D6" w:rsidRPr="008B2319">
        <w:rPr>
          <w:lang w:val="en-US"/>
        </w:rPr>
        <w:t>give</w:t>
      </w:r>
      <w:r w:rsidR="0061069F" w:rsidRPr="008B2319">
        <w:rPr>
          <w:lang w:val="en-US"/>
        </w:rPr>
        <w:t xml:space="preserve"> the </w:t>
      </w:r>
      <w:r w:rsidR="0062154B" w:rsidRPr="008B2319">
        <w:rPr>
          <w:lang w:val="en-US"/>
        </w:rPr>
        <w:t>input</w:t>
      </w:r>
      <w:r w:rsidR="0061069F" w:rsidRPr="008B2319">
        <w:rPr>
          <w:lang w:val="en-US"/>
        </w:rPr>
        <w:t xml:space="preserve"> parameters</w:t>
      </w:r>
      <w:r w:rsidR="005E77D6" w:rsidRPr="008B2319">
        <w:rPr>
          <w:lang w:val="en-US"/>
        </w:rPr>
        <w:t xml:space="preserve"> to the model</w:t>
      </w:r>
      <w:r w:rsidR="0061069F" w:rsidRPr="008B2319">
        <w:rPr>
          <w:lang w:val="en-US"/>
        </w:rPr>
        <w:t xml:space="preserve"> for each</w:t>
      </w:r>
      <w:r w:rsidR="00B30D8A" w:rsidRPr="008B2319">
        <w:rPr>
          <w:lang w:val="en-US"/>
        </w:rPr>
        <w:t xml:space="preserve"> </w:t>
      </w:r>
      <w:r w:rsidR="0061069F" w:rsidRPr="008B2319">
        <w:rPr>
          <w:lang w:val="en-US"/>
        </w:rPr>
        <w:t xml:space="preserve">component. </w:t>
      </w:r>
    </w:p>
    <w:p w14:paraId="30F1BED6" w14:textId="77777777" w:rsidR="00CB7CBC" w:rsidRPr="008B2319" w:rsidRDefault="00CB7CBC" w:rsidP="00CB7CBC">
      <w:pPr>
        <w:pStyle w:val="Caption"/>
        <w:keepNext/>
      </w:pPr>
      <w:r w:rsidRPr="008B2319">
        <w:t xml:space="preserve">Table </w:t>
      </w:r>
      <w:r w:rsidR="00825D4F" w:rsidRPr="008B2319">
        <w:fldChar w:fldCharType="begin"/>
      </w:r>
      <w:r w:rsidR="00825D4F" w:rsidRPr="008B2319">
        <w:instrText xml:space="preserve"> SEQ Table \* ARABIC </w:instrText>
      </w:r>
      <w:r w:rsidR="00825D4F" w:rsidRPr="008B2319">
        <w:fldChar w:fldCharType="separate"/>
      </w:r>
      <w:r w:rsidR="00B53F43" w:rsidRPr="008B2319">
        <w:rPr>
          <w:noProof/>
        </w:rPr>
        <w:t>1</w:t>
      </w:r>
      <w:r w:rsidR="00825D4F" w:rsidRPr="008B2319">
        <w:rPr>
          <w:noProof/>
        </w:rPr>
        <w:fldChar w:fldCharType="end"/>
      </w:r>
      <w:r w:rsidRPr="008B2319">
        <w:t xml:space="preserve">. </w:t>
      </w:r>
      <w:r w:rsidR="00BA00A1" w:rsidRPr="008B2319">
        <w:t>SOFC stack input parameters.</w:t>
      </w:r>
    </w:p>
    <w:tbl>
      <w:tblPr>
        <w:tblStyle w:val="GridTable1Light1"/>
        <w:tblW w:w="8561" w:type="dxa"/>
        <w:jc w:val="center"/>
        <w:tblLook w:val="04A0" w:firstRow="1" w:lastRow="0" w:firstColumn="1" w:lastColumn="0" w:noHBand="0" w:noVBand="1"/>
      </w:tblPr>
      <w:tblGrid>
        <w:gridCol w:w="2268"/>
        <w:gridCol w:w="2041"/>
        <w:gridCol w:w="2207"/>
        <w:gridCol w:w="911"/>
        <w:gridCol w:w="1134"/>
      </w:tblGrid>
      <w:tr w:rsidR="008B2319" w:rsidRPr="008B2319" w14:paraId="6769B77F" w14:textId="77777777" w:rsidTr="00EA30B9">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268" w:type="dxa"/>
            <w:noWrap/>
            <w:vAlign w:val="center"/>
            <w:hideMark/>
          </w:tcPr>
          <w:p w14:paraId="4532D51C" w14:textId="77777777" w:rsidR="00ED6AC7" w:rsidRPr="008B2319" w:rsidRDefault="00ED6AC7" w:rsidP="000F282B">
            <w:pPr>
              <w:spacing w:before="20" w:after="20" w:line="240" w:lineRule="auto"/>
              <w:jc w:val="center"/>
              <w:rPr>
                <w:rFonts w:eastAsia="Times New Roman" w:cs="Times New Roman"/>
                <w:iCs/>
                <w:sz w:val="20"/>
                <w:szCs w:val="20"/>
                <w:lang w:eastAsia="en-GB"/>
              </w:rPr>
            </w:pPr>
            <w:r w:rsidRPr="008B2319">
              <w:rPr>
                <w:rFonts w:eastAsia="Times New Roman" w:cs="Times New Roman"/>
                <w:iCs/>
                <w:sz w:val="20"/>
                <w:szCs w:val="20"/>
                <w:lang w:eastAsia="en-GB"/>
              </w:rPr>
              <w:t>SOFC STACK</w:t>
            </w:r>
          </w:p>
        </w:tc>
        <w:tc>
          <w:tcPr>
            <w:tcW w:w="2041" w:type="dxa"/>
            <w:noWrap/>
            <w:vAlign w:val="center"/>
            <w:hideMark/>
          </w:tcPr>
          <w:p w14:paraId="4A2663F2" w14:textId="77777777" w:rsidR="00ED6AC7" w:rsidRPr="008B2319" w:rsidRDefault="00ED6AC7"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Parameter</w:t>
            </w:r>
          </w:p>
        </w:tc>
        <w:tc>
          <w:tcPr>
            <w:tcW w:w="2207" w:type="dxa"/>
            <w:noWrap/>
            <w:vAlign w:val="center"/>
            <w:hideMark/>
          </w:tcPr>
          <w:p w14:paraId="3DD50D69" w14:textId="77777777" w:rsidR="00ED6AC7" w:rsidRPr="008B2319" w:rsidRDefault="00ED6AC7" w:rsidP="000F282B">
            <w:pPr>
              <w:spacing w:before="20" w:after="20" w:line="240" w:lineRule="auto"/>
              <w:ind w:left="563"/>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Value</w:t>
            </w:r>
          </w:p>
        </w:tc>
        <w:tc>
          <w:tcPr>
            <w:tcW w:w="911" w:type="dxa"/>
            <w:noWrap/>
            <w:vAlign w:val="center"/>
            <w:hideMark/>
          </w:tcPr>
          <w:p w14:paraId="31704E76" w14:textId="77777777" w:rsidR="00ED6AC7" w:rsidRPr="008B2319" w:rsidRDefault="00ED6AC7"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Unit</w:t>
            </w:r>
          </w:p>
        </w:tc>
        <w:tc>
          <w:tcPr>
            <w:tcW w:w="1134" w:type="dxa"/>
          </w:tcPr>
          <w:p w14:paraId="3C7ECC20" w14:textId="77777777" w:rsidR="00ED6AC7" w:rsidRPr="008B2319" w:rsidRDefault="00ED6AC7"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Ref</w:t>
            </w:r>
            <w:r w:rsidR="006C3BF1" w:rsidRPr="008B2319">
              <w:rPr>
                <w:rFonts w:eastAsia="Times New Roman" w:cs="Times New Roman"/>
                <w:iCs/>
                <w:sz w:val="20"/>
                <w:szCs w:val="20"/>
                <w:lang w:eastAsia="en-GB"/>
              </w:rPr>
              <w:t>.</w:t>
            </w:r>
          </w:p>
        </w:tc>
      </w:tr>
      <w:tr w:rsidR="008B2319" w:rsidRPr="008B2319" w14:paraId="05A93238"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5DB1751A" w14:textId="77777777" w:rsidR="00ED6AC7" w:rsidRPr="008B2319" w:rsidRDefault="00321209" w:rsidP="006968DA">
            <w:pPr>
              <w:spacing w:before="20" w:after="20" w:line="240" w:lineRule="auto"/>
              <w:jc w:val="left"/>
              <w:rPr>
                <w:rFonts w:eastAsia="Times New Roman" w:cs="Times New Roman"/>
                <w:bCs w:val="0"/>
                <w:sz w:val="20"/>
                <w:szCs w:val="20"/>
                <w:lang w:val="it-IT" w:eastAsia="en-GB"/>
              </w:rPr>
            </w:pPr>
            <w:r w:rsidRPr="008B2319">
              <w:rPr>
                <w:rFonts w:eastAsia="Times New Roman" w:cs="Times New Roman"/>
                <w:sz w:val="20"/>
                <w:szCs w:val="20"/>
                <w:lang w:eastAsia="en-GB"/>
              </w:rPr>
              <w:t>MEA</w:t>
            </w:r>
            <w:r w:rsidR="00ED6AC7" w:rsidRPr="008B2319">
              <w:rPr>
                <w:rFonts w:eastAsia="Times New Roman" w:cs="Times New Roman"/>
                <w:bCs w:val="0"/>
                <w:sz w:val="20"/>
                <w:szCs w:val="20"/>
                <w:lang w:val="it-IT" w:eastAsia="en-GB"/>
              </w:rPr>
              <w:t xml:space="preserve"> properties</w:t>
            </w:r>
          </w:p>
        </w:tc>
        <w:tc>
          <w:tcPr>
            <w:tcW w:w="2041" w:type="dxa"/>
            <w:noWrap/>
            <w:hideMark/>
          </w:tcPr>
          <w:p w14:paraId="7BE64AD9" w14:textId="77777777" w:rsidR="00ED6AC7" w:rsidRPr="008B2319" w:rsidRDefault="00ED6AC7" w:rsidP="0032120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λ </w:t>
            </w:r>
            <w:r w:rsidR="00321209" w:rsidRPr="008B2319">
              <w:rPr>
                <w:rFonts w:eastAsia="Times New Roman" w:cs="Times New Roman"/>
                <w:sz w:val="20"/>
                <w:szCs w:val="20"/>
                <w:vertAlign w:val="subscript"/>
                <w:lang w:eastAsia="en-GB"/>
              </w:rPr>
              <w:t>MEA</w:t>
            </w:r>
          </w:p>
        </w:tc>
        <w:tc>
          <w:tcPr>
            <w:tcW w:w="2207" w:type="dxa"/>
            <w:noWrap/>
            <w:hideMark/>
          </w:tcPr>
          <w:p w14:paraId="4CD24FF5"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2</w:t>
            </w:r>
          </w:p>
        </w:tc>
        <w:tc>
          <w:tcPr>
            <w:tcW w:w="911" w:type="dxa"/>
            <w:noWrap/>
            <w:hideMark/>
          </w:tcPr>
          <w:p w14:paraId="3B523DD9"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W/m K</w:t>
            </w:r>
          </w:p>
        </w:tc>
        <w:tc>
          <w:tcPr>
            <w:tcW w:w="1134" w:type="dxa"/>
          </w:tcPr>
          <w:p w14:paraId="5D1B917C" w14:textId="0B93D338" w:rsidR="00ED6AC7" w:rsidRPr="008B2319" w:rsidRDefault="003765D4" w:rsidP="00ED6AC7">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"10.1016/j.applthermaleng.2009.10.007", "ISSN" : "13594311", "abstract" : "Solid oxide fuel cell (SOFC) stacks are at the core of complex and efficient energy conversion systems for distributed power generation. Such systems are currently in various stages of development. These power plants of the future feature complicated configurations, because the fuel cell demands for a complex balance of plant. Moreover, proposed SOFC-based systems for stationary applications are often connected to additional components and subsystems, such as a gasifier with its gas-cleaning section, a gas turbine, and a heat recovery system for thermal cogeneration or additional power production. For the simplest SOFC configurations, and more so for complex integrated systems, the dynamic operation of the power plant is challenging, especially because the fluctuating electrical load of distributed energy systems demand for reliable transient operation. Issues related to dynamic operation must be studied in the early design stage and simulation results can be used to optimize the system configuration, taking into account transient behavior. This paper presents the development and the validation of a non-linear dynamic lumped-parameters model of a SOFC stack suitable for integration into models of complex power plants. Particular emphasis is placed on the systematic approach to model development. The model is implemented using the open-source Modelica language, which allows for a high degree of flexibility and modularity, the main features of the model herein presented. The SOFC stack model will be incorporated into ThermoPower, a freely distributed library of reusable software components for the modeling of thermo-hydraulic processes and power plants. ?? 2009 Elsevier Ltd. All rights reserved.", "author" : [ { "dropping-particle" : "", "family" : "Salogni", "given" : "A.", "non-dropping-particle" : "", "parse-names" : false, "suffix" : "" }, { "dropping-particle" : "", "family" : "Colonna", "given" : "P.", "non-dropping-particle" : "", "parse-names" : false, "suffix" : "" } ], "container-title" : "Applied Thermal Engineering", "id" : "ITEM-1", "issued" : { "date-parts" : [ [ "2010" ] ] }, "page" : "464-477", "title" : "Modeling of solid oxide fuel cells for dynamic simulations of integrated systems", "type" : "article-journal", "volume" : "30" }, "uris" : [ "http://www.mendeley.com/documents/?uuid=05c1aa9c-ee74-4fbb-ab21-47eb4e89a352", "http://www.mendeley.com/documents/?uuid=09199a89-a007-4fad-88c8-28aa7362238a", "http://www.mendeley.com/documents/?uuid=4f158df3-08f8-4e84-99d8-0f749f4ee8ef" ] }, { "id" : "ITEM-2", "itemData" : { "DOI" : "10.1016/j.ijhydene.2013.07.052", "ISBN" : "0360-3199", "ISSN" : "03603199", "abstract" : "This research attempts to ensure system safety while to maximize system efficiency by addressing steady state analysis and optimization for solid oxide fuel cell (SOFC) systems. Firstly, a thermal management oriented kW scale SOFC stand-alone system (primarily comprising a planar SOFC stack, a burner, and two heat exchangers) is developed, in which a special consideration for stack spatial temperature management is conducted by introducing an air bypass manifold around heat exchangers. The dynamic model of the system is performed using transient energy, species, and mass conservation equations. Secondly, based on the system model, the effects of operating parameters including fuel utilization (FU), air excess ratio (AE), bypass ratio (BR), and stack voltage (SV) on the system steady-state performances (e.g. system efficiency, stack inlet, stack outlet, and burner temperatures) are revealed. Particularly, an optimal relationship between the system efficiency and the operating parameters is proposed; the maximum system efficiency can certainly be obtained at the inlet outlet temperature critical point of the BR-AE or FU-AE planes for all SV operating points. Finally, according to the optimal relationship, a traverse optimization process is designed, and the maximum system efficiency and safe operating parameters at any efficient SV operating point are calculated. The results provide an optimal reference trajectory for control design, where the system is safe and efficiency optimization. Moreover, the results reveal two important system characteristics: (1) the burner operates within safe temperature zone as long as the temperature of the upstream stack is well controlled; (2) the control design for the system is a nonlinear optimal control with switching structure, which is a challenging control issue. Copyright \u00a9 2012, Hydrogen Energy Publications, LLC. Published by Elsevier Ltd. All rights reserved.", "author" : [ { "dropping-particle" : "", "family" : "Cao", "given" : "Hongliang", "non-dropping-particle" : "", "parse-names" : false, "suffix" : "" }, { "dropping-particle" : "", "family" : "Li", "given" : "Xi", "non-dropping-particle" : "", "parse-names" : false, "suffix" : "" }, { "dropping-particle" : "", "family" : "Deng", "given" : "Zhonghua", "non-dropping-particle" : "", "parse-names" : false, "suffix" : "" }, { "dropping-particle" : "", "family" : "Li", "given" : "Jian", "non-dropping-particle" : "", "parse-names" : false, "suffix" : "" }, { "dropping-particle" : "", "family" : "Qin", "given" : "Yi", "non-dropping-particle" : "", "parse-names" : false, "suffix" : "" } ], "container-title" : "International Journal of Hydrogen Energy", "id" : "ITEM-2", "issue" : "28", "issued" : { "date-parts" : [ [ "2013" ] ] }, "page" : "12404-12417", "title" : "Thermal management oriented steady state analysis and optimization of a kW scale solid oxide fuel cell stand-alone system for maximum system efficiency", "type" : "article-journal", "volume" : "38" }, "uris" : [ "http://www.mendeley.com/documents/?uuid=a2040003-786f-42a1-821a-1fab73285062", "http://www.mendeley.com/documents/?uuid=d1441354-efbc-4a0b-8014-fbd1dc1f63c8", "http://www.mendeley.com/documents/?uuid=85b23d80-f026-4d26-ae89-18a03110f81f" ] } ], "mendeley" : { "formattedCitation" : "[37], [38]", "plainTextFormattedCitation" : "[37], [38]", "previouslyFormattedCitation" : "[37], [38]"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[37], [38]</w:t>
            </w:r>
            <w:r w:rsidRPr="008B2319">
              <w:rPr>
                <w:rFonts w:eastAsia="Times New Roman" w:cs="Times New Roman"/>
                <w:sz w:val="20"/>
                <w:szCs w:val="20"/>
                <w:lang w:eastAsia="en-GB"/>
              </w:rPr>
              <w:fldChar w:fldCharType="end"/>
            </w:r>
          </w:p>
        </w:tc>
      </w:tr>
      <w:tr w:rsidR="008B2319" w:rsidRPr="008B2319" w14:paraId="4715DF71"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46F83E99"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hideMark/>
          </w:tcPr>
          <w:p w14:paraId="3C864C86" w14:textId="77777777" w:rsidR="00ED6AC7" w:rsidRPr="008B2319" w:rsidRDefault="00306911" w:rsidP="0032120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r w:rsidR="00ED6AC7" w:rsidRPr="008B2319">
              <w:rPr>
                <w:rFonts w:eastAsia="Times New Roman" w:cs="Times New Roman"/>
                <w:sz w:val="20"/>
                <w:szCs w:val="20"/>
                <w:vertAlign w:val="subscript"/>
                <w:lang w:eastAsia="en-GB"/>
              </w:rPr>
              <w:t xml:space="preserve">p </w:t>
            </w:r>
            <w:r w:rsidR="00321209" w:rsidRPr="008B2319">
              <w:rPr>
                <w:rFonts w:eastAsia="Times New Roman" w:cs="Times New Roman"/>
                <w:sz w:val="20"/>
                <w:szCs w:val="20"/>
                <w:vertAlign w:val="subscript"/>
                <w:lang w:eastAsia="en-GB"/>
              </w:rPr>
              <w:t>MEA</w:t>
            </w:r>
          </w:p>
        </w:tc>
        <w:tc>
          <w:tcPr>
            <w:tcW w:w="2207" w:type="dxa"/>
            <w:noWrap/>
            <w:hideMark/>
          </w:tcPr>
          <w:p w14:paraId="07327B76"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600</w:t>
            </w:r>
          </w:p>
        </w:tc>
        <w:tc>
          <w:tcPr>
            <w:tcW w:w="911" w:type="dxa"/>
            <w:noWrap/>
            <w:hideMark/>
          </w:tcPr>
          <w:p w14:paraId="36B71BFC"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J/kg K</w:t>
            </w:r>
          </w:p>
        </w:tc>
        <w:tc>
          <w:tcPr>
            <w:tcW w:w="1134" w:type="dxa"/>
          </w:tcPr>
          <w:p w14:paraId="29B95C47" w14:textId="6F17EB03"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"10.1016/j.applthermaleng.2009.10.007", "ISSN" : "13594311", "abstract" : "Solid oxide fuel cell (SOFC) stacks are at the core of complex and efficient energy conversion systems for distributed power generation. Such systems are currently in various stages of development. These power plants of the future feature complicated configurations, because the fuel cell demands for a complex balance of plant. Moreover, proposed SOFC-based systems for stationary applications are often connected to additional components and subsystems, such as a gasifier with its gas-cleaning section, a gas turbine, and a heat recovery system for thermal cogeneration or additional power production. For the simplest SOFC configurations, and more so for complex integrated systems, the dynamic operation of the power plant is challenging, especially because the fluctuating electrical load of distributed energy systems demand for reliable transient operation. Issues related to dynamic operation must be studied in the early design stage and simulation results can be used to optimize the system configuration, taking into account transient behavior. This paper presents the development and the validation of a non-linear dynamic lumped-parameters model of a SOFC stack suitable for integration into models of complex power plants. Particular emphasis is placed on the systematic approach to model development. The model is implemented using the open-source Modelica language, which allows for a high degree of flexibility and modularity, the main features of the model herein presented. The SOFC stack model will be incorporated into ThermoPower, a freely distributed library of reusable software components for the modeling of thermo-hydraulic processes and power plants. ?? 2009 Elsevier Ltd. All rights reserved.", "author" : [ { "dropping-particle" : "", "family" : "Salogni", "given" : "A.", "non-dropping-particle" : "", "parse-names" : false, "suffix" : "" }, { "dropping-particle" : "", "family" : "Colonna", "given" : "P.", "non-dropping-particle" : "", "parse-names" : false, "suffix" : "" } ], "container-title" : "Applied Thermal Engineering", "id" : "ITEM-1", "issued" : { "date-parts" : [ [ "2010" ] ] }, "page" : "464-477", "title" : "Modeling of solid oxide fuel cells for dynamic simulations of integrated systems", "type" : "article-journal", "volume" : "30" }, "uris" : [ "http://www.mendeley.com/documents/?uuid=4f158df3-08f8-4e84-99d8-0f749f4ee8ef", "http://www.mendeley.com/documents/?uuid=09199a89-a007-4fad-88c8-28aa7362238a", "http://www.mendeley.com/documents/?uuid=05c1aa9c-ee74-4fbb-ab21-47eb4e89a352" ] }, { "id" : "ITEM-2", "itemData" : { "DOI" : "10.1016/j.ijhydene.2013.07.052", "ISBN" : "0360-3199", "ISSN" : "03603199", "abstract" : "This research attempts to ensure system safety while to maximize system efficiency by addressing steady state analysis and optimization for solid oxide fuel cell (SOFC) systems. Firstly, a thermal management oriented kW scale SOFC stand-alone system (primarily comprising a planar SOFC stack, a burner, and two heat exchangers) is developed, in which a special consideration for stack spatial temperature management is conducted by introducing an air bypass manifold around heat exchangers. The dynamic model of the system is performed using transient energy, species, and mass conservation equations. Secondly, based on the system model, the effects of operating parameters including fuel utilization (FU), air excess ratio (AE), bypass ratio (BR), and stack voltage (SV) on the system steady-state performances (e.g. system efficiency, stack inlet, stack outlet, and burner temperatures) are revealed. Particularly, an optimal relationship between the system efficiency and the operating parameters is proposed; the maximum system efficiency can certainly be obtained at the inlet outlet temperature critical point of the BR-AE or FU-AE planes for all SV operating points. Finally, according to the optimal relationship, a traverse optimization process is designed, and the maximum system efficiency and safe operating parameters at any efficient SV operating point are calculated. The results provide an optimal reference trajectory for control design, where the system is safe and efficiency optimization. Moreover, the results reveal two important system characteristics: (1) the burner operates within safe temperature zone as long as the temperature of the upstream stack is well controlled; (2) the control design for the system is a nonlinear optimal control with switching structure, which is a challenging control issue. Copyright \u00a9 2012, Hydrogen Energy Publications, LLC. Published by Elsevier Ltd. All rights reserved.", "author" : [ { "dropping-particle" : "", "family" : "Cao", "given" : "Hongliang", "non-dropping-particle" : "", "parse-names" : false, "suffix" : "" }, { "dropping-particle" : "", "family" : "Li", "given" : "Xi", "non-dropping-particle" : "", "parse-names" : false, "suffix" : "" }, { "dropping-particle" : "", "family" : "Deng", "given" : "Zhonghua", "non-dropping-particle" : "", "parse-names" : false, "suffix" : "" }, { "dropping-particle" : "", "family" : "Li", "given" : "Jian", "non-dropping-particle" : "", "parse-names" : false, "suffix" : "" }, { "dropping-particle" : "", "family" : "Qin", "given" : "Yi", "non-dropping-particle" : "", "parse-names" : false, "suffix" : "" } ], "container-title" : "International Journal of Hydrogen Energy", "id" : "ITEM-2", "issue" : "28", "issued" : { "date-parts" : [ [ "2013" ] ] }, "page" : "12404-12417", "title" : "Thermal management oriented steady state analysis and optimization of a kW scale solid oxide fuel cell stand-alone system for maximum system efficiency", "type" : "article-journal", "volume" : "38" }, "uris" : [ "http://www.mendeley.com/documents/?uuid=85b23d80-f026-4d26-ae89-18a03110f81f", "http://www.mendeley.com/documents/?uuid=d1441354-efbc-4a0b-8014-fbd1dc1f63c8", "http://www.mendeley.com/documents/?uuid=a2040003-786f-42a1-821a-1fab73285062", "http://www.mendeley.com/documents/?uuid=ac5d9ffb-0fa0-4ae1-b3d5-e1776dc31804", "http://www.mendeley.com/documents/?uuid=0f5f0682-58fb-412c-9e81-b53e821215c1" ] } ], "mendeley" : { "formattedCitation" : "[37], [38]", "plainTextFormattedCitation" : "[37], [38]", "previouslyFormattedCitation" : "[37], [38]"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[37], [38]</w:t>
            </w:r>
            <w:r w:rsidRPr="008B2319">
              <w:rPr>
                <w:rFonts w:eastAsia="Times New Roman" w:cs="Times New Roman"/>
                <w:sz w:val="20"/>
                <w:szCs w:val="20"/>
                <w:lang w:eastAsia="en-GB"/>
              </w:rPr>
              <w:fldChar w:fldCharType="end"/>
            </w:r>
          </w:p>
        </w:tc>
      </w:tr>
      <w:tr w:rsidR="008B2319" w:rsidRPr="008B2319" w14:paraId="00EE6410"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2D29CF1D"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hideMark/>
          </w:tcPr>
          <w:p w14:paraId="37FB55F1" w14:textId="77777777" w:rsidR="00ED6AC7" w:rsidRPr="008B2319" w:rsidRDefault="00ED6AC7"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ρ </w:t>
            </w:r>
            <w:r w:rsidR="00321209" w:rsidRPr="008B2319">
              <w:rPr>
                <w:rFonts w:eastAsia="Times New Roman" w:cs="Times New Roman"/>
                <w:sz w:val="20"/>
                <w:szCs w:val="20"/>
                <w:vertAlign w:val="subscript"/>
                <w:lang w:eastAsia="en-GB"/>
              </w:rPr>
              <w:t>MEA</w:t>
            </w:r>
          </w:p>
        </w:tc>
        <w:tc>
          <w:tcPr>
            <w:tcW w:w="2207" w:type="dxa"/>
            <w:noWrap/>
            <w:hideMark/>
          </w:tcPr>
          <w:p w14:paraId="401CC030"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7500</w:t>
            </w:r>
          </w:p>
        </w:tc>
        <w:tc>
          <w:tcPr>
            <w:tcW w:w="911" w:type="dxa"/>
            <w:noWrap/>
            <w:hideMark/>
          </w:tcPr>
          <w:p w14:paraId="2A05CFC6"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134" w:type="dxa"/>
          </w:tcPr>
          <w:p w14:paraId="3C00ACB5" w14:textId="0E2488CC"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"10.1016/j.applthermaleng.2009.10.007", "ISSN" : "13594311", "abstract" : "Solid oxide fuel cell (SOFC) stacks are at the core of complex and efficient energy conversion systems for distributed power generation. Such systems are currently in various stages of development. These power plants of the future feature complicated configurations, because the fuel cell demands for a complex balance of plant. Moreover, proposed SOFC-based systems for stationary applications are often connected to additional components and subsystems, such as a gasifier with its gas-cleaning section, a gas turbine, and a heat recovery system for thermal cogeneration or additional power production. For the simplest SOFC configurations, and more so for complex integrated systems, the dynamic operation of the power plant is challenging, especially because the fluctuating electrical load of distributed energy systems demand for reliable transient operation. Issues related to dynamic operation must be studied in the early design stage and simulation results can be used to optimize the system configuration, taking into account transient behavior. This paper presents the development and the validation of a non-linear dynamic lumped-parameters model of a SOFC stack suitable for integration into models of complex power plants. Particular emphasis is placed on the systematic approach to model development. The model is implemented using the open-source Modelica language, which allows for a high degree of flexibility and modularity, the main features of the model herein presented. The SOFC stack model will be incorporated into ThermoPower, a freely distributed library of reusable software components for the modeling of thermo-hydraulic processes and power plants. ?? 2009 Elsevier Ltd. All rights reserved.", "author" : [ { "dropping-particle" : "", "family" : "Salogni", "given" : "A.", "non-dropping-particle" : "", "parse-names" : false, "suffix" : "" }, { "dropping-particle" : "", "family" : "Colonna", "given" : "P.", "non-dropping-particle" : "", "parse-names" : false, "suffix" : "" } ], "container-title" : "Applied Thermal Engineering", "id" : "ITEM-1", "issued" : { "date-parts" : [ [ "2010" ] ] }, "page" : "464-477", "title" : "Modeling of solid oxide fuel cells for dynamic simulations of integrated systems", "type" : "article-journal", "volume" : "30" }, "uris" : [ "http://www.mendeley.com/documents/?uuid=4f158df3-08f8-4e84-99d8-0f749f4ee8ef", "http://www.mendeley.com/documents/?uuid=09199a89-a007-4fad-88c8-28aa7362238a", "http://www.mendeley.com/documents/?uuid=05c1aa9c-ee74-4fbb-ab21-47eb4e89a352" ] }, { "id" : "ITEM-2", "itemData" : { "DOI" : "10.1016/j.ijhydene.2013.07.052", "ISBN" : "0360-3199", "ISSN" : "03603199", "abstract" : "This research attempts to ensure system safety while to maximize system efficiency by addressing steady state analysis and optimization for solid oxide fuel cell (SOFC) systems. Firstly, a thermal management oriented kW scale SOFC stand-alone system (primarily comprising a planar SOFC stack, a burner, and two heat exchangers) is developed, in which a special consideration for stack spatial temperature management is conducted by introducing an air bypass manifold around heat exchangers. The dynamic model of the system is performed using transient energy, species, and mass conservation equations. Secondly, based on the system model, the effects of operating parameters including fuel utilization (FU), air excess ratio (AE), bypass ratio (BR), and stack voltage (SV) on the system steady-state performances (e.g. system efficiency, stack inlet, stack outlet, and burner temperatures) are revealed. Particularly, an optimal relationship between the system efficiency and the operating parameters is proposed; the maximum system efficiency can certainly be obtained at the inlet outlet temperature critical point of the BR-AE or FU-AE planes for all SV operating points. Finally, according to the optimal relationship, a traverse optimization process is designed, and the maximum system efficiency and safe operating parameters at any efficient SV operating point are calculated. The results provide an optimal reference trajectory for control design, where the system is safe and efficiency optimization. Moreover, the results reveal two important system characteristics: (1) the burner operates within safe temperature zone as long as the temperature of the upstream stack is well controlled; (2) the control design for the system is a nonlinear optimal control with switching structure, which is a challenging control issue. Copyright \u00a9 2012, Hydrogen Energy Publications, LLC. Published by Elsevier Ltd. All rights reserved.", "author" : [ { "dropping-particle" : "", "family" : "Cao", "given" : "Hongliang", "non-dropping-particle" : "", "parse-names" : false, "suffix" : "" }, { "dropping-particle" : "", "family" : "Li", "given" : "Xi", "non-dropping-particle" : "", "parse-names" : false, "suffix" : "" }, { "dropping-particle" : "", "family" : "Deng", "given" : "Zhonghua", "non-dropping-particle" : "", "parse-names" : false, "suffix" : "" }, { "dropping-particle" : "", "family" : "Li", "given" : "Jian", "non-dropping-particle" : "", "parse-names" : false, "suffix" : "" }, { "dropping-particle" : "", "family" : "Qin", "given" : "Yi", "non-dropping-particle" : "", "parse-names" : false, "suffix" : "" } ], "container-title" : "International Journal of Hydrogen Energy", "id" : "ITEM-2", "issue" : "28", "issued" : { "date-parts" : [ [ "2013" ] ] }, "page" : "12404-12417", "title" : "Thermal management oriented steady state analysis and optimization of a kW scale solid oxide fuel cell stand-alone system for maximum system efficiency", "type" : "article-journal", "volume" : "38" }, "uris" : [ "http://www.mendeley.com/documents/?uuid=85b23d80-f026-4d26-ae89-18a03110f81f", "http://www.mendeley.com/documents/?uuid=d1441354-efbc-4a0b-8014-fbd1dc1f63c8", "http://www.mendeley.com/documents/?uuid=a2040003-786f-42a1-821a-1fab73285062", "http://www.mendeley.com/documents/?uuid=b4f75dc4-0ae4-47e4-b4e8-fb016ae229de", "http://www.mendeley.com/documents/?uuid=3c679d42-d6fe-4eff-a9a2-453945c07f0f" ] } ], "mendeley" : { "formattedCitation" : "[37], [38]", "plainTextFormattedCitation" : "[37], [38]", "previouslyFormattedCitation" : "[37], [38]"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[37], [38]</w:t>
            </w:r>
            <w:r w:rsidRPr="008B2319">
              <w:rPr>
                <w:rFonts w:eastAsia="Times New Roman" w:cs="Times New Roman"/>
                <w:sz w:val="20"/>
                <w:szCs w:val="20"/>
                <w:lang w:eastAsia="en-GB"/>
              </w:rPr>
              <w:fldChar w:fldCharType="end"/>
            </w:r>
          </w:p>
        </w:tc>
      </w:tr>
      <w:tr w:rsidR="008B2319" w:rsidRPr="008B2319" w14:paraId="32444EF9"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54817827" w14:textId="77777777" w:rsidR="00ED6AC7" w:rsidRPr="008B2319" w:rsidRDefault="00ED6AC7" w:rsidP="000F282B">
            <w:pPr>
              <w:spacing w:before="20" w:after="20" w:line="240" w:lineRule="auto"/>
              <w:jc w:val="left"/>
              <w:rPr>
                <w:rFonts w:eastAsia="Times New Roman" w:cs="Times New Roman"/>
                <w:sz w:val="20"/>
                <w:szCs w:val="20"/>
                <w:lang w:eastAsia="en-GB"/>
              </w:rPr>
            </w:pPr>
            <w:r w:rsidRPr="008B2319">
              <w:rPr>
                <w:rFonts w:eastAsia="Times New Roman" w:cs="Times New Roman"/>
                <w:sz w:val="20"/>
                <w:szCs w:val="20"/>
                <w:lang w:eastAsia="en-GB"/>
              </w:rPr>
              <w:t>Interconnector Properties</w:t>
            </w:r>
          </w:p>
        </w:tc>
        <w:tc>
          <w:tcPr>
            <w:tcW w:w="2041" w:type="dxa"/>
            <w:noWrap/>
            <w:hideMark/>
          </w:tcPr>
          <w:p w14:paraId="05EB4ECF" w14:textId="77777777" w:rsidR="00ED6AC7" w:rsidRPr="008B2319" w:rsidRDefault="00ED6AC7"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λ </w:t>
            </w:r>
            <w:r w:rsidRPr="008B2319">
              <w:rPr>
                <w:rFonts w:eastAsia="Times New Roman" w:cs="Times New Roman"/>
                <w:sz w:val="20"/>
                <w:szCs w:val="20"/>
                <w:vertAlign w:val="subscript"/>
                <w:lang w:eastAsia="en-GB"/>
              </w:rPr>
              <w:t>INTER</w:t>
            </w:r>
          </w:p>
        </w:tc>
        <w:tc>
          <w:tcPr>
            <w:tcW w:w="2207" w:type="dxa"/>
            <w:noWrap/>
            <w:hideMark/>
          </w:tcPr>
          <w:p w14:paraId="2F3B0396"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25</w:t>
            </w:r>
          </w:p>
        </w:tc>
        <w:tc>
          <w:tcPr>
            <w:tcW w:w="911" w:type="dxa"/>
            <w:noWrap/>
            <w:hideMark/>
          </w:tcPr>
          <w:p w14:paraId="060567AA"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W/m K</w:t>
            </w:r>
          </w:p>
        </w:tc>
        <w:tc>
          <w:tcPr>
            <w:tcW w:w="1134" w:type="dxa"/>
          </w:tcPr>
          <w:p w14:paraId="186693E4" w14:textId="5C502714"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"Vdm", "given" : "Thyssenkrupp", "non-dropping-particle" : "", "parse-names" : false, "suffix" : "" } ], "id" : "ITEM-1", "issue" : "4050", "issued" : { "date-parts" : [ [ "2008" ] ] }, "title" : "Crofer22H Material Data Sheet No. 4050", "type" : "article-journal" }, "uris" : [ "http://www.mendeley.com/documents/?uuid=814f7b4c-9335-40a0-bfd0-23e9f30ac0cd", "http://www.mendeley.com/documents/?uuid=60e20f0f-e7e2-4a8f-ae42-db250dd0d5b7", "http://www.mendeley.com/documents/?uuid=d0a709a5-bbeb-42f2-b434-8989bd68a0dd" ] } ], "mendeley" : { "formattedCitation" : "[39]", "plainTextFormattedCitation" : "[39]", "previouslyFormattedCitation" : "[39]"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[39]</w:t>
            </w:r>
            <w:r w:rsidRPr="008B2319">
              <w:rPr>
                <w:rFonts w:eastAsia="Times New Roman" w:cs="Times New Roman"/>
                <w:sz w:val="20"/>
                <w:szCs w:val="20"/>
                <w:lang w:eastAsia="en-GB"/>
              </w:rPr>
              <w:fldChar w:fldCharType="end"/>
            </w:r>
          </w:p>
        </w:tc>
      </w:tr>
      <w:tr w:rsidR="008B2319" w:rsidRPr="008B2319" w14:paraId="578E06B5"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01966254"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hideMark/>
          </w:tcPr>
          <w:p w14:paraId="0146E904" w14:textId="77777777" w:rsidR="00ED6AC7" w:rsidRPr="008B2319" w:rsidRDefault="00306911" w:rsidP="001B3270">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r w:rsidR="00ED6AC7" w:rsidRPr="008B2319">
              <w:rPr>
                <w:rFonts w:eastAsia="Times New Roman" w:cs="Times New Roman"/>
                <w:sz w:val="20"/>
                <w:szCs w:val="20"/>
                <w:vertAlign w:val="subscript"/>
                <w:lang w:eastAsia="en-GB"/>
              </w:rPr>
              <w:t>p INTER</w:t>
            </w:r>
          </w:p>
        </w:tc>
        <w:tc>
          <w:tcPr>
            <w:tcW w:w="2207" w:type="dxa"/>
            <w:noWrap/>
            <w:hideMark/>
          </w:tcPr>
          <w:p w14:paraId="1865F049"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627</w:t>
            </w:r>
          </w:p>
        </w:tc>
        <w:tc>
          <w:tcPr>
            <w:tcW w:w="911" w:type="dxa"/>
            <w:noWrap/>
            <w:hideMark/>
          </w:tcPr>
          <w:p w14:paraId="19BFD77B"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J/kg K</w:t>
            </w:r>
          </w:p>
        </w:tc>
        <w:tc>
          <w:tcPr>
            <w:tcW w:w="1134" w:type="dxa"/>
          </w:tcPr>
          <w:p w14:paraId="6FBA424A" w14:textId="148403A0"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"Vdm", "given" : "Thyssenkrupp", "non-dropping-particle" : "", "parse-names" : false, "suffix" : "" } ], "id" : "ITEM-1", "issue" : "4050", "issued" : { "date-parts" : [ [ "2008" ] ] }, "title" : "Crofer22H Material Data Sheet No. 4050", "type" : "article-journal" }, "uris" : [ "http://www.mendeley.com/documents/?uuid=d0a709a5-bbeb-42f2-b434-8989bd68a0dd", "http://www.mendeley.com/documents/?uuid=60e20f0f-e7e2-4a8f-ae42-db250dd0d5b7", "http://www.mendeley.com/documents/?uuid=814f7b4c-9335-40a0-bfd0-23e9f30ac0cd" ] } ], "mendeley" : { "formattedCitation" : "[39]", "plainTextFormattedCitation" : "[39]", "previouslyFormattedCitation" : "[39]"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[39]</w:t>
            </w:r>
            <w:r w:rsidRPr="008B2319">
              <w:rPr>
                <w:rFonts w:eastAsia="Times New Roman" w:cs="Times New Roman"/>
                <w:sz w:val="20"/>
                <w:szCs w:val="20"/>
                <w:lang w:eastAsia="en-GB"/>
              </w:rPr>
              <w:fldChar w:fldCharType="end"/>
            </w:r>
          </w:p>
        </w:tc>
      </w:tr>
      <w:tr w:rsidR="008B2319" w:rsidRPr="008B2319" w14:paraId="59C10CA8"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7EA42CAF"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hideMark/>
          </w:tcPr>
          <w:p w14:paraId="7B533B18" w14:textId="77777777" w:rsidR="00ED6AC7" w:rsidRPr="008B2319" w:rsidRDefault="00ED6AC7"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ρ </w:t>
            </w:r>
            <w:r w:rsidRPr="008B2319">
              <w:rPr>
                <w:rFonts w:eastAsia="Times New Roman" w:cs="Times New Roman"/>
                <w:sz w:val="20"/>
                <w:szCs w:val="20"/>
                <w:vertAlign w:val="subscript"/>
                <w:lang w:eastAsia="en-GB"/>
              </w:rPr>
              <w:t>INTER</w:t>
            </w:r>
          </w:p>
        </w:tc>
        <w:tc>
          <w:tcPr>
            <w:tcW w:w="2207" w:type="dxa"/>
            <w:noWrap/>
            <w:hideMark/>
          </w:tcPr>
          <w:p w14:paraId="430EFBEF"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7500</w:t>
            </w:r>
          </w:p>
        </w:tc>
        <w:tc>
          <w:tcPr>
            <w:tcW w:w="911" w:type="dxa"/>
            <w:noWrap/>
            <w:hideMark/>
          </w:tcPr>
          <w:p w14:paraId="30E3CF2D"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134" w:type="dxa"/>
          </w:tcPr>
          <w:p w14:paraId="2E8FB289" w14:textId="7E2DCB66"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"Vdm", "given" : "Thyssenkrupp", "non-dropping-particle" : "", "parse-names" : false, "suffix" : "" } ], "id" : "ITEM-1", "issue" : "4050", "issued" : { "date-parts" : [ [ "2008" ] ] }, "title" : "Crofer22H Material Data Sheet No. 4050", "type" : "article-journal" }, "uris" : [ "http://www.mendeley.com/documents/?uuid=d0a709a5-bbeb-42f2-b434-8989bd68a0dd", "http://www.mendeley.com/documents/?uuid=60e20f0f-e7e2-4a8f-ae42-db250dd0d5b7", "http://www.mendeley.com/documents/?uuid=814f7b4c-9335-40a0-bfd0-23e9f30ac0cd" ] } ], "mendeley" : { "formattedCitation" : "[39]", "plainTextFormattedCitation" : "[39]", "previouslyFormattedCitation" : "[39]"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[39]</w:t>
            </w:r>
            <w:r w:rsidRPr="008B2319">
              <w:rPr>
                <w:rFonts w:eastAsia="Times New Roman" w:cs="Times New Roman"/>
                <w:sz w:val="20"/>
                <w:szCs w:val="20"/>
                <w:lang w:eastAsia="en-GB"/>
              </w:rPr>
              <w:fldChar w:fldCharType="end"/>
            </w:r>
          </w:p>
        </w:tc>
      </w:tr>
      <w:tr w:rsidR="008B2319" w:rsidRPr="008B2319" w14:paraId="5C4D4C83"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5E0F6F88" w14:textId="77777777" w:rsidR="00ED6AC7" w:rsidRPr="008B2319" w:rsidRDefault="00ED6AC7" w:rsidP="000F282B">
            <w:pPr>
              <w:spacing w:before="20" w:after="20" w:line="240" w:lineRule="auto"/>
              <w:jc w:val="left"/>
              <w:rPr>
                <w:rFonts w:eastAsia="Times New Roman" w:cs="Times New Roman"/>
                <w:sz w:val="20"/>
                <w:szCs w:val="20"/>
                <w:lang w:eastAsia="en-GB"/>
              </w:rPr>
            </w:pPr>
            <w:r w:rsidRPr="008B2319">
              <w:rPr>
                <w:rFonts w:eastAsia="Times New Roman" w:cs="Times New Roman"/>
                <w:sz w:val="20"/>
                <w:szCs w:val="20"/>
                <w:lang w:eastAsia="en-GB"/>
              </w:rPr>
              <w:t>Insulation Properties</w:t>
            </w:r>
          </w:p>
        </w:tc>
        <w:tc>
          <w:tcPr>
            <w:tcW w:w="2041" w:type="dxa"/>
            <w:noWrap/>
            <w:hideMark/>
          </w:tcPr>
          <w:p w14:paraId="1136A0D5" w14:textId="77777777" w:rsidR="00ED6AC7" w:rsidRPr="008B2319" w:rsidRDefault="00306911" w:rsidP="001B3270">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r w:rsidR="00ED6AC7" w:rsidRPr="008B2319">
              <w:rPr>
                <w:rFonts w:eastAsia="Times New Roman" w:cs="Times New Roman"/>
                <w:sz w:val="20"/>
                <w:szCs w:val="20"/>
                <w:lang w:eastAsia="en-GB"/>
              </w:rPr>
              <w:t xml:space="preserve">p </w:t>
            </w:r>
            <w:r w:rsidR="00ED6AC7" w:rsidRPr="008B2319">
              <w:rPr>
                <w:rFonts w:eastAsia="Times New Roman" w:cs="Times New Roman"/>
                <w:sz w:val="20"/>
                <w:szCs w:val="20"/>
                <w:vertAlign w:val="subscript"/>
                <w:lang w:eastAsia="en-GB"/>
              </w:rPr>
              <w:t>INSUL</w:t>
            </w:r>
          </w:p>
        </w:tc>
        <w:tc>
          <w:tcPr>
            <w:tcW w:w="2207" w:type="dxa"/>
            <w:noWrap/>
            <w:hideMark/>
          </w:tcPr>
          <w:p w14:paraId="77C4B87C"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1130</w:t>
            </w:r>
          </w:p>
        </w:tc>
        <w:tc>
          <w:tcPr>
            <w:tcW w:w="911" w:type="dxa"/>
            <w:noWrap/>
            <w:hideMark/>
          </w:tcPr>
          <w:p w14:paraId="50E65439"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J/kg K</w:t>
            </w:r>
          </w:p>
        </w:tc>
        <w:tc>
          <w:tcPr>
            <w:tcW w:w="1134" w:type="dxa"/>
          </w:tcPr>
          <w:p w14:paraId="2F39ED31" w14:textId="5095EE96"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"Microtherm", "given" : "", "non-dropping-particle" : "", "parse-names" : false, "suffix" : "" } ], "id" : "ITEM-1", "issued" : { "date-parts" : [ [ "0" ] ] }, "title" : "FREEFLOW-Free pouring granules of high temperature insulation 1000\u00b0C", "type" : "article-journal" }, "uris" : [ "http://www.mendeley.com/documents/?uuid=d0692483-634b-4e76-9653-0ddb148f3233", "http://www.mendeley.com/documents/?uuid=fa405b43-ae29-4657-abf8-5ffcddefe00b", "http://www.mendeley.com/documents/?uuid=6883f6bb-f180-4554-8f6e-439f891bce38" ] } ], "mendeley" : { "formattedCitation" : "[40]", "plainTextFormattedCitation" : "[40]", "previouslyFormattedCitation" : "[40]"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[40]</w:t>
            </w:r>
            <w:r w:rsidRPr="008B2319">
              <w:rPr>
                <w:rFonts w:eastAsia="Times New Roman" w:cs="Times New Roman"/>
                <w:sz w:val="20"/>
                <w:szCs w:val="20"/>
                <w:lang w:eastAsia="en-GB"/>
              </w:rPr>
              <w:fldChar w:fldCharType="end"/>
            </w:r>
          </w:p>
        </w:tc>
      </w:tr>
      <w:tr w:rsidR="008B2319" w:rsidRPr="008B2319" w14:paraId="783F561F" w14:textId="77777777" w:rsidTr="00EA30B9">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1C7D2405"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hideMark/>
          </w:tcPr>
          <w:p w14:paraId="07DB92E9" w14:textId="77777777" w:rsidR="00ED6AC7" w:rsidRPr="008B2319" w:rsidRDefault="00ED6AC7"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ρ </w:t>
            </w:r>
            <w:r w:rsidRPr="008B2319">
              <w:rPr>
                <w:rFonts w:eastAsia="Times New Roman" w:cs="Times New Roman"/>
                <w:sz w:val="20"/>
                <w:szCs w:val="20"/>
                <w:vertAlign w:val="subscript"/>
                <w:lang w:eastAsia="en-GB"/>
              </w:rPr>
              <w:t>INSUL</w:t>
            </w:r>
          </w:p>
        </w:tc>
        <w:tc>
          <w:tcPr>
            <w:tcW w:w="2207" w:type="dxa"/>
            <w:noWrap/>
            <w:hideMark/>
          </w:tcPr>
          <w:p w14:paraId="0D9FA5E0"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125</w:t>
            </w:r>
          </w:p>
        </w:tc>
        <w:tc>
          <w:tcPr>
            <w:tcW w:w="911" w:type="dxa"/>
            <w:noWrap/>
            <w:hideMark/>
          </w:tcPr>
          <w:p w14:paraId="40AB42D0"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134" w:type="dxa"/>
          </w:tcPr>
          <w:p w14:paraId="052F077F" w14:textId="56698DAF" w:rsidR="00ED6AC7" w:rsidRPr="008B2319" w:rsidRDefault="003765D4"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"Microtherm", "given" : "", "non-dropping-particle" : "", "parse-names" : false, "suffix" : "" } ], "id" : "ITEM-1", "issued" : { "date-parts" : [ [ "0" ] ] }, "title" : "FREEFLOW-Free pouring granules of high temperature insulation 1000\u00b0C", "type" : "article-journal" }, "uris" : [ "http://www.mendeley.com/documents/?uuid=6883f6bb-f180-4554-8f6e-439f891bce38", "http://www.mendeley.com/documents/?uuid=fa405b43-ae29-4657-abf8-5ffcddefe00b", "http://www.mendeley.com/documents/?uuid=d0692483-634b-4e76-9653-0ddb148f3233" ] } ], "mendeley" : { "formattedCitation" : "[40]", "plainTextFormattedCitation" : "[40]", "previouslyFormattedCitation" : "[40]"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[40]</w:t>
            </w:r>
            <w:r w:rsidRPr="008B2319">
              <w:rPr>
                <w:rFonts w:eastAsia="Times New Roman" w:cs="Times New Roman"/>
                <w:sz w:val="20"/>
                <w:szCs w:val="20"/>
                <w:lang w:eastAsia="en-GB"/>
              </w:rPr>
              <w:fldChar w:fldCharType="end"/>
            </w:r>
          </w:p>
        </w:tc>
      </w:tr>
      <w:tr w:rsidR="008B2319" w:rsidRPr="008B2319" w14:paraId="2B59B4EC"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tcPr>
          <w:p w14:paraId="30D7CBF0" w14:textId="77777777" w:rsidR="00ED6AC7" w:rsidRPr="008B2319" w:rsidRDefault="00ED6AC7" w:rsidP="000F282B">
            <w:pPr>
              <w:spacing w:before="20" w:after="20" w:line="240" w:lineRule="auto"/>
              <w:jc w:val="left"/>
              <w:rPr>
                <w:rFonts w:eastAsia="Times New Roman" w:cs="Times New Roman"/>
                <w:sz w:val="20"/>
                <w:szCs w:val="20"/>
                <w:lang w:eastAsia="en-GB"/>
              </w:rPr>
            </w:pPr>
          </w:p>
        </w:tc>
        <w:tc>
          <w:tcPr>
            <w:tcW w:w="2041" w:type="dxa"/>
            <w:noWrap/>
          </w:tcPr>
          <w:p w14:paraId="61B78695" w14:textId="77777777" w:rsidR="00ED6AC7" w:rsidRPr="008B2319" w:rsidRDefault="00ED6AC7"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Vol </w:t>
            </w:r>
            <w:r w:rsidRPr="008B2319">
              <w:rPr>
                <w:rFonts w:eastAsia="Times New Roman" w:cs="Times New Roman"/>
                <w:sz w:val="20"/>
                <w:szCs w:val="20"/>
                <w:vertAlign w:val="subscript"/>
                <w:lang w:eastAsia="en-GB"/>
              </w:rPr>
              <w:t>INSUL</w:t>
            </w:r>
          </w:p>
        </w:tc>
        <w:tc>
          <w:tcPr>
            <w:tcW w:w="2207" w:type="dxa"/>
            <w:noWrap/>
          </w:tcPr>
          <w:p w14:paraId="58B2FE82" w14:textId="77777777" w:rsidR="00ED6AC7" w:rsidRPr="008B2319" w:rsidRDefault="00306911"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w:t>
            </w:r>
            <w:r w:rsidR="00ED6AC7" w:rsidRPr="008B2319">
              <w:rPr>
                <w:rFonts w:eastAsia="Times New Roman" w:cs="Times New Roman"/>
                <w:sz w:val="20"/>
                <w:szCs w:val="20"/>
                <w:lang w:eastAsia="en-GB"/>
              </w:rPr>
              <w:t>104</w:t>
            </w:r>
          </w:p>
        </w:tc>
        <w:tc>
          <w:tcPr>
            <w:tcW w:w="911" w:type="dxa"/>
            <w:noWrap/>
          </w:tcPr>
          <w:p w14:paraId="65DAAF25" w14:textId="77777777" w:rsidR="00ED6AC7" w:rsidRPr="008B2319" w:rsidRDefault="00ED6AC7"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134" w:type="dxa"/>
            <w:shd w:val="clear" w:color="auto" w:fill="auto"/>
          </w:tcPr>
          <w:p w14:paraId="117E0A31" w14:textId="77777777" w:rsidR="00ED6AC7" w:rsidRPr="008B2319" w:rsidRDefault="003765D4"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S</w:t>
            </w:r>
            <w:r w:rsidR="00EA30B9" w:rsidRPr="008B2319">
              <w:rPr>
                <w:rFonts w:eastAsia="Times New Roman" w:cs="Times New Roman"/>
                <w:sz w:val="20"/>
                <w:szCs w:val="20"/>
                <w:lang w:eastAsia="en-GB"/>
              </w:rPr>
              <w:t>unfire</w:t>
            </w:r>
            <w:r w:rsidRPr="008B2319">
              <w:rPr>
                <w:rFonts w:eastAsia="Times New Roman" w:cs="Times New Roman"/>
                <w:sz w:val="20"/>
                <w:szCs w:val="20"/>
                <w:lang w:eastAsia="en-GB"/>
              </w:rPr>
              <w:t xml:space="preserve"> </w:t>
            </w:r>
          </w:p>
        </w:tc>
      </w:tr>
      <w:tr w:rsidR="008B2319" w:rsidRPr="008B2319" w14:paraId="688633EE"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tcPr>
          <w:p w14:paraId="2B7E8146" w14:textId="77777777" w:rsidR="00EA30B9" w:rsidRPr="008B2319" w:rsidRDefault="00EA30B9" w:rsidP="00EA30B9">
            <w:pPr>
              <w:spacing w:before="20" w:after="20" w:line="240" w:lineRule="auto"/>
              <w:jc w:val="left"/>
              <w:rPr>
                <w:rFonts w:eastAsia="Times New Roman" w:cs="Times New Roman"/>
                <w:sz w:val="20"/>
                <w:szCs w:val="20"/>
                <w:lang w:eastAsia="en-GB"/>
              </w:rPr>
            </w:pPr>
            <w:r w:rsidRPr="008B2319">
              <w:rPr>
                <w:rFonts w:eastAsia="Times New Roman" w:cs="Times New Roman"/>
                <w:sz w:val="20"/>
                <w:szCs w:val="20"/>
                <w:lang w:eastAsia="en-GB"/>
              </w:rPr>
              <w:lastRenderedPageBreak/>
              <w:t>Technical data</w:t>
            </w:r>
          </w:p>
        </w:tc>
        <w:tc>
          <w:tcPr>
            <w:tcW w:w="2041" w:type="dxa"/>
            <w:noWrap/>
          </w:tcPr>
          <w:p w14:paraId="2F323578"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Rated Power</w:t>
            </w:r>
          </w:p>
        </w:tc>
        <w:tc>
          <w:tcPr>
            <w:tcW w:w="2207" w:type="dxa"/>
            <w:noWrap/>
          </w:tcPr>
          <w:p w14:paraId="343A0AAC"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1.9</w:t>
            </w:r>
          </w:p>
        </w:tc>
        <w:tc>
          <w:tcPr>
            <w:tcW w:w="911" w:type="dxa"/>
            <w:noWrap/>
          </w:tcPr>
          <w:p w14:paraId="31B8264D"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kW</w:t>
            </w:r>
          </w:p>
        </w:tc>
        <w:tc>
          <w:tcPr>
            <w:tcW w:w="1134" w:type="dxa"/>
            <w:shd w:val="clear" w:color="auto" w:fill="auto"/>
          </w:tcPr>
          <w:p w14:paraId="00A22C32"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2BBF222D"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7F833362"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675740EB"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Rated voltage output</w:t>
            </w:r>
          </w:p>
        </w:tc>
        <w:tc>
          <w:tcPr>
            <w:tcW w:w="2207" w:type="dxa"/>
            <w:noWrap/>
          </w:tcPr>
          <w:p w14:paraId="19625D34"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58.5</w:t>
            </w:r>
          </w:p>
        </w:tc>
        <w:tc>
          <w:tcPr>
            <w:tcW w:w="911" w:type="dxa"/>
            <w:noWrap/>
          </w:tcPr>
          <w:p w14:paraId="6D9E4198"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V</w:t>
            </w:r>
          </w:p>
        </w:tc>
        <w:tc>
          <w:tcPr>
            <w:tcW w:w="1134" w:type="dxa"/>
            <w:shd w:val="clear" w:color="auto" w:fill="auto"/>
          </w:tcPr>
          <w:p w14:paraId="6B475CC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0C04DB3F"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5E8ED0C4"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27EBE6CA" w14:textId="77777777" w:rsidR="00EA30B9" w:rsidRPr="008B2319" w:rsidRDefault="005E77D6"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Number of cells</w:t>
            </w:r>
          </w:p>
        </w:tc>
        <w:tc>
          <w:tcPr>
            <w:tcW w:w="2207" w:type="dxa"/>
            <w:noWrap/>
          </w:tcPr>
          <w:p w14:paraId="2001A954"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90 ESC</w:t>
            </w:r>
          </w:p>
        </w:tc>
        <w:tc>
          <w:tcPr>
            <w:tcW w:w="911" w:type="dxa"/>
            <w:noWrap/>
          </w:tcPr>
          <w:p w14:paraId="7AC9BC1A"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t>
            </w:r>
          </w:p>
        </w:tc>
        <w:tc>
          <w:tcPr>
            <w:tcW w:w="1134" w:type="dxa"/>
            <w:shd w:val="clear" w:color="auto" w:fill="auto"/>
          </w:tcPr>
          <w:p w14:paraId="2842215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0D6BF8F2"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315BC9EB"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295E0188"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Weight</w:t>
            </w:r>
          </w:p>
        </w:tc>
        <w:tc>
          <w:tcPr>
            <w:tcW w:w="2207" w:type="dxa"/>
            <w:noWrap/>
          </w:tcPr>
          <w:p w14:paraId="166D8AFC"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~80</w:t>
            </w:r>
          </w:p>
        </w:tc>
        <w:tc>
          <w:tcPr>
            <w:tcW w:w="911" w:type="dxa"/>
            <w:noWrap/>
          </w:tcPr>
          <w:p w14:paraId="0379B174"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134" w:type="dxa"/>
            <w:shd w:val="clear" w:color="auto" w:fill="auto"/>
          </w:tcPr>
          <w:p w14:paraId="6E9962B0"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23122568"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023A0AE6"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07C0C8C3"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Size</w:t>
            </w:r>
          </w:p>
        </w:tc>
        <w:tc>
          <w:tcPr>
            <w:tcW w:w="2207" w:type="dxa"/>
            <w:noWrap/>
          </w:tcPr>
          <w:p w14:paraId="09E2A4F5"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709 x 436 x 426</w:t>
            </w:r>
          </w:p>
        </w:tc>
        <w:tc>
          <w:tcPr>
            <w:tcW w:w="911" w:type="dxa"/>
            <w:noWrap/>
          </w:tcPr>
          <w:p w14:paraId="56DEF36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mm</w:t>
            </w:r>
            <w:r w:rsidRPr="008B2319">
              <w:rPr>
                <w:rFonts w:eastAsia="Times New Roman" w:cs="Times New Roman"/>
                <w:sz w:val="20"/>
                <w:szCs w:val="20"/>
                <w:vertAlign w:val="superscript"/>
                <w:lang w:eastAsia="en-GB"/>
              </w:rPr>
              <w:t>2</w:t>
            </w:r>
          </w:p>
        </w:tc>
        <w:tc>
          <w:tcPr>
            <w:tcW w:w="1134" w:type="dxa"/>
            <w:shd w:val="clear" w:color="auto" w:fill="auto"/>
          </w:tcPr>
          <w:p w14:paraId="422BBD83"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2B65B912"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0A31BFF5"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319DBDD2"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Temperature</w:t>
            </w:r>
          </w:p>
        </w:tc>
        <w:tc>
          <w:tcPr>
            <w:tcW w:w="2207" w:type="dxa"/>
            <w:noWrap/>
          </w:tcPr>
          <w:p w14:paraId="0B87F463"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860</w:t>
            </w:r>
          </w:p>
        </w:tc>
        <w:tc>
          <w:tcPr>
            <w:tcW w:w="911" w:type="dxa"/>
            <w:noWrap/>
          </w:tcPr>
          <w:p w14:paraId="79B73E4C"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p>
        </w:tc>
        <w:tc>
          <w:tcPr>
            <w:tcW w:w="1134" w:type="dxa"/>
            <w:shd w:val="clear" w:color="auto" w:fill="auto"/>
          </w:tcPr>
          <w:p w14:paraId="05DDDCA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5A2C2340"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7879C44C"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726C92DD"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Fuel utilization</w:t>
            </w:r>
          </w:p>
        </w:tc>
        <w:tc>
          <w:tcPr>
            <w:tcW w:w="2207" w:type="dxa"/>
            <w:noWrap/>
          </w:tcPr>
          <w:p w14:paraId="4A4B20D8"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75%</w:t>
            </w:r>
          </w:p>
        </w:tc>
        <w:tc>
          <w:tcPr>
            <w:tcW w:w="911" w:type="dxa"/>
            <w:noWrap/>
          </w:tcPr>
          <w:p w14:paraId="3F37E259"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t>
            </w:r>
          </w:p>
        </w:tc>
        <w:tc>
          <w:tcPr>
            <w:tcW w:w="1134" w:type="dxa"/>
            <w:shd w:val="clear" w:color="auto" w:fill="auto"/>
          </w:tcPr>
          <w:p w14:paraId="5DF34F0A"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53C3BF2A" w14:textId="77777777" w:rsidTr="0045368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tcPr>
          <w:p w14:paraId="6A512850"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tcPr>
          <w:p w14:paraId="46846BA4"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Fuel composition</w:t>
            </w:r>
          </w:p>
        </w:tc>
        <w:tc>
          <w:tcPr>
            <w:tcW w:w="2207" w:type="dxa"/>
            <w:noWrap/>
          </w:tcPr>
          <w:p w14:paraId="61223F9A"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Reformed NG or Biogas</w:t>
            </w:r>
          </w:p>
        </w:tc>
        <w:tc>
          <w:tcPr>
            <w:tcW w:w="911" w:type="dxa"/>
            <w:noWrap/>
          </w:tcPr>
          <w:p w14:paraId="79EEECA8"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w:t>
            </w:r>
          </w:p>
        </w:tc>
        <w:tc>
          <w:tcPr>
            <w:tcW w:w="1134" w:type="dxa"/>
            <w:shd w:val="clear" w:color="auto" w:fill="auto"/>
          </w:tcPr>
          <w:p w14:paraId="5DF9D095"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bl>
    <w:p w14:paraId="1789A2B3" w14:textId="77777777" w:rsidR="005911E6" w:rsidRPr="008B2319" w:rsidRDefault="005911E6" w:rsidP="00092BEF">
      <w:pPr>
        <w:pStyle w:val="Caption"/>
        <w:keepNext/>
      </w:pPr>
    </w:p>
    <w:p w14:paraId="16336AD9" w14:textId="77777777" w:rsidR="00CB7CBC" w:rsidRPr="008B2319" w:rsidRDefault="00CB7CBC" w:rsidP="00092BEF">
      <w:pPr>
        <w:pStyle w:val="Caption"/>
        <w:keepNext/>
      </w:pPr>
      <w:r w:rsidRPr="008B2319">
        <w:t xml:space="preserve">Table </w:t>
      </w:r>
      <w:r w:rsidR="00825D4F" w:rsidRPr="008B2319">
        <w:fldChar w:fldCharType="begin"/>
      </w:r>
      <w:r w:rsidR="00825D4F" w:rsidRPr="008B2319">
        <w:instrText xml:space="preserve"> SEQ Table \* ARABIC </w:instrText>
      </w:r>
      <w:r w:rsidR="00825D4F" w:rsidRPr="008B2319">
        <w:fldChar w:fldCharType="separate"/>
      </w:r>
      <w:r w:rsidR="00B53F43" w:rsidRPr="008B2319">
        <w:rPr>
          <w:noProof/>
        </w:rPr>
        <w:t>2</w:t>
      </w:r>
      <w:r w:rsidR="00825D4F" w:rsidRPr="008B2319">
        <w:rPr>
          <w:noProof/>
        </w:rPr>
        <w:fldChar w:fldCharType="end"/>
      </w:r>
      <w:r w:rsidRPr="008B2319">
        <w:t>.</w:t>
      </w:r>
      <w:r w:rsidR="00BA00A1" w:rsidRPr="008B2319">
        <w:t xml:space="preserve">  Evaporator section input parameters.</w:t>
      </w:r>
    </w:p>
    <w:tbl>
      <w:tblPr>
        <w:tblStyle w:val="GridTable1Light1"/>
        <w:tblW w:w="8221" w:type="dxa"/>
        <w:jc w:val="center"/>
        <w:tblLook w:val="04A0" w:firstRow="1" w:lastRow="0" w:firstColumn="1" w:lastColumn="0" w:noHBand="0" w:noVBand="1"/>
      </w:tblPr>
      <w:tblGrid>
        <w:gridCol w:w="2268"/>
        <w:gridCol w:w="2041"/>
        <w:gridCol w:w="1701"/>
        <w:gridCol w:w="1134"/>
        <w:gridCol w:w="1077"/>
      </w:tblGrid>
      <w:tr w:rsidR="008B2319" w:rsidRPr="008B2319" w14:paraId="5D74DA28" w14:textId="77777777" w:rsidTr="00EA30B9">
        <w:trPr>
          <w:cnfStyle w:val="100000000000" w:firstRow="1" w:lastRow="0" w:firstColumn="0" w:lastColumn="0" w:oddVBand="0" w:evenVBand="0" w:oddHBand="0"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2268" w:type="dxa"/>
            <w:noWrap/>
            <w:vAlign w:val="center"/>
            <w:hideMark/>
          </w:tcPr>
          <w:p w14:paraId="4D96B4B0" w14:textId="77777777" w:rsidR="006C3BF1" w:rsidRPr="008B2319" w:rsidRDefault="006C3BF1" w:rsidP="000F282B">
            <w:pPr>
              <w:spacing w:before="20" w:after="20" w:line="240" w:lineRule="auto"/>
              <w:jc w:val="center"/>
              <w:rPr>
                <w:rFonts w:eastAsia="Times New Roman" w:cs="Times New Roman"/>
                <w:iCs/>
                <w:sz w:val="20"/>
                <w:szCs w:val="20"/>
                <w:lang w:eastAsia="en-GB"/>
              </w:rPr>
            </w:pPr>
            <w:r w:rsidRPr="008B2319">
              <w:rPr>
                <w:rFonts w:eastAsia="Times New Roman" w:cs="Times New Roman"/>
                <w:bCs w:val="0"/>
                <w:iCs/>
                <w:sz w:val="20"/>
                <w:szCs w:val="20"/>
                <w:lang w:eastAsia="en-GB"/>
              </w:rPr>
              <w:t>EVAPORATOR</w:t>
            </w:r>
          </w:p>
        </w:tc>
        <w:tc>
          <w:tcPr>
            <w:tcW w:w="2041" w:type="dxa"/>
            <w:noWrap/>
            <w:vAlign w:val="center"/>
            <w:hideMark/>
          </w:tcPr>
          <w:p w14:paraId="299EA412"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Parameter</w:t>
            </w:r>
          </w:p>
        </w:tc>
        <w:tc>
          <w:tcPr>
            <w:tcW w:w="1701" w:type="dxa"/>
            <w:noWrap/>
            <w:vAlign w:val="center"/>
            <w:hideMark/>
          </w:tcPr>
          <w:p w14:paraId="4609221A"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Value</w:t>
            </w:r>
          </w:p>
        </w:tc>
        <w:tc>
          <w:tcPr>
            <w:tcW w:w="1134" w:type="dxa"/>
            <w:noWrap/>
            <w:vAlign w:val="center"/>
            <w:hideMark/>
          </w:tcPr>
          <w:p w14:paraId="676E17EF"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Unit</w:t>
            </w:r>
          </w:p>
        </w:tc>
        <w:tc>
          <w:tcPr>
            <w:tcW w:w="1077" w:type="dxa"/>
          </w:tcPr>
          <w:p w14:paraId="05991986"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Ref.</w:t>
            </w:r>
          </w:p>
        </w:tc>
      </w:tr>
      <w:tr w:rsidR="008B2319" w:rsidRPr="008B2319" w14:paraId="4A771AF9" w14:textId="77777777" w:rsidTr="00EA30B9">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66E21E60" w14:textId="77777777" w:rsidR="006C3BF1" w:rsidRPr="008B2319" w:rsidRDefault="006C3BF1" w:rsidP="000F282B">
            <w:pPr>
              <w:spacing w:before="20" w:after="20" w:line="240" w:lineRule="auto"/>
              <w:jc w:val="left"/>
              <w:rPr>
                <w:rFonts w:eastAsia="Times New Roman" w:cs="Times New Roman"/>
                <w:bCs w:val="0"/>
                <w:sz w:val="20"/>
                <w:szCs w:val="20"/>
                <w:lang w:eastAsia="en-GB"/>
              </w:rPr>
            </w:pPr>
            <w:r w:rsidRPr="008B2319">
              <w:rPr>
                <w:rFonts w:eastAsia="Times New Roman" w:cs="Times New Roman"/>
                <w:bCs w:val="0"/>
                <w:sz w:val="20"/>
                <w:szCs w:val="20"/>
                <w:lang w:eastAsia="en-GB"/>
              </w:rPr>
              <w:t>Evaporator</w:t>
            </w:r>
          </w:p>
        </w:tc>
        <w:tc>
          <w:tcPr>
            <w:tcW w:w="2041" w:type="dxa"/>
            <w:noWrap/>
            <w:hideMark/>
          </w:tcPr>
          <w:p w14:paraId="0BB42DA8" w14:textId="77777777" w:rsidR="006C3BF1" w:rsidRPr="008B2319" w:rsidRDefault="006C3BF1"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Length</w:t>
            </w:r>
          </w:p>
        </w:tc>
        <w:tc>
          <w:tcPr>
            <w:tcW w:w="1701" w:type="dxa"/>
            <w:noWrap/>
            <w:hideMark/>
          </w:tcPr>
          <w:p w14:paraId="1A484546" w14:textId="77777777" w:rsidR="006C3BF1" w:rsidRPr="008B2319" w:rsidRDefault="006C3BF1"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0.260</w:t>
            </w:r>
          </w:p>
        </w:tc>
        <w:tc>
          <w:tcPr>
            <w:tcW w:w="1134" w:type="dxa"/>
            <w:noWrap/>
            <w:hideMark/>
          </w:tcPr>
          <w:p w14:paraId="61964D98" w14:textId="77777777" w:rsidR="006C3BF1" w:rsidRPr="008B2319" w:rsidRDefault="006C3BF1"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p>
        </w:tc>
        <w:tc>
          <w:tcPr>
            <w:tcW w:w="1077" w:type="dxa"/>
          </w:tcPr>
          <w:p w14:paraId="5E2B9EC7" w14:textId="1B9AB199" w:rsidR="006C3BF1"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6F69FFCA" w14:textId="77777777" w:rsidTr="00EA30B9">
        <w:trPr>
          <w:trHeight w:val="23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652A4C3" w14:textId="77777777" w:rsidR="00EA30B9" w:rsidRPr="008B2319" w:rsidRDefault="00EA30B9" w:rsidP="00EA30B9">
            <w:pPr>
              <w:spacing w:before="20" w:after="20" w:line="240" w:lineRule="auto"/>
              <w:jc w:val="left"/>
              <w:rPr>
                <w:rFonts w:eastAsia="Times New Roman" w:cs="Times New Roman"/>
                <w:sz w:val="20"/>
                <w:szCs w:val="20"/>
                <w:lang w:eastAsia="en-GB"/>
              </w:rPr>
            </w:pPr>
          </w:p>
        </w:tc>
        <w:tc>
          <w:tcPr>
            <w:tcW w:w="2041" w:type="dxa"/>
            <w:noWrap/>
            <w:hideMark/>
          </w:tcPr>
          <w:p w14:paraId="3B87B2AB"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Volume </w:t>
            </w:r>
          </w:p>
        </w:tc>
        <w:tc>
          <w:tcPr>
            <w:tcW w:w="1701" w:type="dxa"/>
            <w:noWrap/>
            <w:hideMark/>
          </w:tcPr>
          <w:p w14:paraId="5FDE1E30"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0.00093</w:t>
            </w:r>
          </w:p>
        </w:tc>
        <w:tc>
          <w:tcPr>
            <w:tcW w:w="1134" w:type="dxa"/>
            <w:noWrap/>
            <w:hideMark/>
          </w:tcPr>
          <w:p w14:paraId="67390FFF"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077" w:type="dxa"/>
          </w:tcPr>
          <w:p w14:paraId="13278D72" w14:textId="2FAA5E7E"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712721EC" w14:textId="77777777" w:rsidTr="00EA30B9">
        <w:trPr>
          <w:trHeight w:val="24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086DD1F" w14:textId="77777777" w:rsidR="00EA30B9" w:rsidRPr="008B2319" w:rsidRDefault="00EA30B9" w:rsidP="00EA30B9">
            <w:pPr>
              <w:spacing w:before="20" w:after="20" w:line="240" w:lineRule="auto"/>
              <w:jc w:val="left"/>
              <w:rPr>
                <w:rFonts w:eastAsia="Times New Roman" w:cs="Times New Roman"/>
                <w:sz w:val="20"/>
                <w:szCs w:val="20"/>
                <w:lang w:eastAsia="en-GB"/>
              </w:rPr>
            </w:pPr>
          </w:p>
        </w:tc>
        <w:tc>
          <w:tcPr>
            <w:tcW w:w="2041" w:type="dxa"/>
            <w:noWrap/>
            <w:hideMark/>
          </w:tcPr>
          <w:p w14:paraId="60DDC819"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Density</w:t>
            </w:r>
          </w:p>
        </w:tc>
        <w:tc>
          <w:tcPr>
            <w:tcW w:w="1701" w:type="dxa"/>
            <w:noWrap/>
            <w:hideMark/>
          </w:tcPr>
          <w:p w14:paraId="37525F1E"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8000</w:t>
            </w:r>
          </w:p>
        </w:tc>
        <w:tc>
          <w:tcPr>
            <w:tcW w:w="1134" w:type="dxa"/>
            <w:noWrap/>
            <w:hideMark/>
          </w:tcPr>
          <w:p w14:paraId="6E17DB49"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077" w:type="dxa"/>
          </w:tcPr>
          <w:p w14:paraId="2444741C" w14:textId="39B1836C"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10FA4632" w14:textId="77777777" w:rsidTr="00EA30B9">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054D4D14" w14:textId="77777777" w:rsidR="00EA30B9" w:rsidRPr="008B2319" w:rsidRDefault="00EA30B9" w:rsidP="00EA30B9">
            <w:pPr>
              <w:spacing w:before="20" w:after="20" w:line="240" w:lineRule="auto"/>
              <w:jc w:val="left"/>
              <w:rPr>
                <w:rFonts w:eastAsia="Times New Roman" w:cs="Times New Roman"/>
                <w:sz w:val="20"/>
                <w:szCs w:val="20"/>
                <w:lang w:eastAsia="en-GB"/>
              </w:rPr>
            </w:pPr>
          </w:p>
        </w:tc>
        <w:tc>
          <w:tcPr>
            <w:tcW w:w="2041" w:type="dxa"/>
            <w:noWrap/>
            <w:hideMark/>
          </w:tcPr>
          <w:p w14:paraId="0192B2F0"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w:t>
            </w:r>
          </w:p>
        </w:tc>
        <w:tc>
          <w:tcPr>
            <w:tcW w:w="1701" w:type="dxa"/>
            <w:noWrap/>
            <w:hideMark/>
          </w:tcPr>
          <w:p w14:paraId="73E75D4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7.48</w:t>
            </w:r>
          </w:p>
        </w:tc>
        <w:tc>
          <w:tcPr>
            <w:tcW w:w="1134" w:type="dxa"/>
            <w:noWrap/>
            <w:hideMark/>
          </w:tcPr>
          <w:p w14:paraId="0DF26090"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77" w:type="dxa"/>
          </w:tcPr>
          <w:p w14:paraId="266F2564" w14:textId="7EE161D6"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2B602970" w14:textId="77777777" w:rsidTr="00EA30B9">
        <w:trPr>
          <w:trHeight w:val="24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6C63AFF9" w14:textId="77777777" w:rsidR="00EA30B9" w:rsidRPr="008B2319" w:rsidRDefault="00EA30B9" w:rsidP="00EA30B9">
            <w:pPr>
              <w:spacing w:before="20" w:after="20" w:line="240" w:lineRule="auto"/>
              <w:jc w:val="left"/>
              <w:rPr>
                <w:rFonts w:eastAsia="Times New Roman" w:cs="Times New Roman"/>
                <w:sz w:val="20"/>
                <w:szCs w:val="20"/>
                <w:lang w:eastAsia="en-GB"/>
              </w:rPr>
            </w:pPr>
          </w:p>
        </w:tc>
        <w:tc>
          <w:tcPr>
            <w:tcW w:w="2041" w:type="dxa"/>
            <w:noWrap/>
            <w:hideMark/>
          </w:tcPr>
          <w:p w14:paraId="4762CC0F"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Heat capacity</w:t>
            </w:r>
          </w:p>
        </w:tc>
        <w:tc>
          <w:tcPr>
            <w:tcW w:w="1701" w:type="dxa"/>
            <w:noWrap/>
            <w:hideMark/>
          </w:tcPr>
          <w:p w14:paraId="343B24CE"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0.502</w:t>
            </w:r>
          </w:p>
        </w:tc>
        <w:tc>
          <w:tcPr>
            <w:tcW w:w="1134" w:type="dxa"/>
            <w:noWrap/>
            <w:hideMark/>
          </w:tcPr>
          <w:p w14:paraId="5BFFC60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77" w:type="dxa"/>
          </w:tcPr>
          <w:p w14:paraId="7E5C0607" w14:textId="727A60DB"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2FBBFB1C" w14:textId="77777777" w:rsidTr="00EA30B9">
        <w:trPr>
          <w:trHeight w:val="258"/>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232280EF" w14:textId="77777777" w:rsidR="00EA30B9" w:rsidRPr="008B2319" w:rsidRDefault="00EA30B9" w:rsidP="00EA30B9">
            <w:pPr>
              <w:spacing w:before="20" w:after="20" w:line="240" w:lineRule="auto"/>
              <w:jc w:val="left"/>
              <w:rPr>
                <w:rFonts w:eastAsia="Times New Roman" w:cs="Times New Roman"/>
                <w:sz w:val="20"/>
                <w:szCs w:val="20"/>
                <w:lang w:eastAsia="en-GB"/>
              </w:rPr>
            </w:pPr>
            <w:r w:rsidRPr="008B2319">
              <w:rPr>
                <w:rFonts w:eastAsia="Times New Roman" w:cs="Times New Roman"/>
                <w:sz w:val="20"/>
                <w:szCs w:val="20"/>
                <w:lang w:eastAsia="en-GB"/>
              </w:rPr>
              <w:t>Heater Evaporator</w:t>
            </w:r>
          </w:p>
        </w:tc>
        <w:tc>
          <w:tcPr>
            <w:tcW w:w="2041" w:type="dxa"/>
            <w:noWrap/>
            <w:hideMark/>
          </w:tcPr>
          <w:p w14:paraId="7DB92318"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Length</w:t>
            </w:r>
          </w:p>
        </w:tc>
        <w:tc>
          <w:tcPr>
            <w:tcW w:w="1701" w:type="dxa"/>
            <w:noWrap/>
            <w:hideMark/>
          </w:tcPr>
          <w:p w14:paraId="42843A7E"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0.390</w:t>
            </w:r>
          </w:p>
        </w:tc>
        <w:tc>
          <w:tcPr>
            <w:tcW w:w="1134" w:type="dxa"/>
            <w:noWrap/>
            <w:hideMark/>
          </w:tcPr>
          <w:p w14:paraId="65C4C77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p>
        </w:tc>
        <w:tc>
          <w:tcPr>
            <w:tcW w:w="1077" w:type="dxa"/>
          </w:tcPr>
          <w:p w14:paraId="49251C50" w14:textId="4B9790AE"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2D1FF0BE" w14:textId="77777777" w:rsidTr="00EA30B9">
        <w:trPr>
          <w:trHeight w:val="247"/>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599D370A"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hideMark/>
          </w:tcPr>
          <w:p w14:paraId="7F555A9D"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Volume </w:t>
            </w:r>
          </w:p>
        </w:tc>
        <w:tc>
          <w:tcPr>
            <w:tcW w:w="1701" w:type="dxa"/>
            <w:noWrap/>
            <w:hideMark/>
          </w:tcPr>
          <w:p w14:paraId="08822D0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0.00452</w:t>
            </w:r>
          </w:p>
        </w:tc>
        <w:tc>
          <w:tcPr>
            <w:tcW w:w="1134" w:type="dxa"/>
            <w:noWrap/>
            <w:hideMark/>
          </w:tcPr>
          <w:p w14:paraId="05061FEB"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077" w:type="dxa"/>
          </w:tcPr>
          <w:p w14:paraId="57031A97" w14:textId="40601F7E"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4B1C4DF8" w14:textId="77777777" w:rsidTr="00EA30B9">
        <w:trPr>
          <w:trHeight w:val="258"/>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D63735A"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hideMark/>
          </w:tcPr>
          <w:p w14:paraId="2B4D24BB"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Density</w:t>
            </w:r>
          </w:p>
        </w:tc>
        <w:tc>
          <w:tcPr>
            <w:tcW w:w="1701" w:type="dxa"/>
            <w:noWrap/>
            <w:hideMark/>
          </w:tcPr>
          <w:p w14:paraId="4986D60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8000</w:t>
            </w:r>
          </w:p>
        </w:tc>
        <w:tc>
          <w:tcPr>
            <w:tcW w:w="1134" w:type="dxa"/>
            <w:noWrap/>
            <w:hideMark/>
          </w:tcPr>
          <w:p w14:paraId="54CD97F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077" w:type="dxa"/>
          </w:tcPr>
          <w:p w14:paraId="6E4AEABD" w14:textId="04C2E1E8"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464D1686" w14:textId="77777777" w:rsidTr="00EA30B9">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7E7FFEF" w14:textId="77777777" w:rsidR="00EA30B9" w:rsidRPr="008B2319" w:rsidRDefault="00EA30B9" w:rsidP="00EA30B9">
            <w:pPr>
              <w:spacing w:before="20" w:after="20" w:line="240" w:lineRule="auto"/>
              <w:rPr>
                <w:rFonts w:eastAsia="Times New Roman" w:cs="Times New Roman"/>
                <w:sz w:val="20"/>
                <w:szCs w:val="20"/>
                <w:lang w:eastAsia="en-GB"/>
              </w:rPr>
            </w:pPr>
          </w:p>
        </w:tc>
        <w:tc>
          <w:tcPr>
            <w:tcW w:w="2041" w:type="dxa"/>
            <w:noWrap/>
            <w:hideMark/>
          </w:tcPr>
          <w:p w14:paraId="3A522953"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w:t>
            </w:r>
          </w:p>
        </w:tc>
        <w:tc>
          <w:tcPr>
            <w:tcW w:w="1701" w:type="dxa"/>
            <w:noWrap/>
            <w:hideMark/>
          </w:tcPr>
          <w:p w14:paraId="7D082326"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36.13</w:t>
            </w:r>
          </w:p>
        </w:tc>
        <w:tc>
          <w:tcPr>
            <w:tcW w:w="1134" w:type="dxa"/>
            <w:noWrap/>
            <w:hideMark/>
          </w:tcPr>
          <w:p w14:paraId="3C396C6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77" w:type="dxa"/>
          </w:tcPr>
          <w:p w14:paraId="01FF9D95" w14:textId="20B15060"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39A829DE" w14:textId="77777777" w:rsidTr="00EA30B9">
        <w:trPr>
          <w:trHeight w:val="237"/>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665F1C5" w14:textId="77777777" w:rsidR="006C3BF1" w:rsidRPr="008B2319" w:rsidRDefault="006C3BF1" w:rsidP="000F282B">
            <w:pPr>
              <w:spacing w:before="20" w:after="20" w:line="240" w:lineRule="auto"/>
              <w:rPr>
                <w:rFonts w:eastAsia="Times New Roman" w:cs="Times New Roman"/>
                <w:sz w:val="20"/>
                <w:szCs w:val="20"/>
                <w:lang w:eastAsia="en-GB"/>
              </w:rPr>
            </w:pPr>
          </w:p>
        </w:tc>
        <w:tc>
          <w:tcPr>
            <w:tcW w:w="2041" w:type="dxa"/>
            <w:noWrap/>
            <w:hideMark/>
          </w:tcPr>
          <w:p w14:paraId="5FF8C9F0" w14:textId="77777777" w:rsidR="006C3BF1" w:rsidRPr="008B2319" w:rsidRDefault="006C3BF1" w:rsidP="000F282B">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Heat Capacity</w:t>
            </w:r>
          </w:p>
        </w:tc>
        <w:tc>
          <w:tcPr>
            <w:tcW w:w="1701" w:type="dxa"/>
            <w:noWrap/>
            <w:hideMark/>
          </w:tcPr>
          <w:p w14:paraId="6667DEF1" w14:textId="77777777" w:rsidR="006C3BF1" w:rsidRPr="008B2319" w:rsidRDefault="006C3BF1"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0.502</w:t>
            </w:r>
          </w:p>
        </w:tc>
        <w:tc>
          <w:tcPr>
            <w:tcW w:w="1134" w:type="dxa"/>
            <w:noWrap/>
            <w:hideMark/>
          </w:tcPr>
          <w:p w14:paraId="39E0ACD3" w14:textId="77777777" w:rsidR="006C3BF1" w:rsidRPr="008B2319" w:rsidRDefault="006C3BF1"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77" w:type="dxa"/>
          </w:tcPr>
          <w:p w14:paraId="7B52FC5B" w14:textId="476FC81D" w:rsidR="006C3BF1" w:rsidRPr="008B2319" w:rsidRDefault="00EA30B9" w:rsidP="000F282B">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bl>
    <w:p w14:paraId="035AF867" w14:textId="77777777" w:rsidR="00CB7CBC" w:rsidRPr="008B2319" w:rsidRDefault="00CB7CBC" w:rsidP="006E2828">
      <w:pPr>
        <w:rPr>
          <w:b/>
        </w:rPr>
      </w:pPr>
    </w:p>
    <w:p w14:paraId="53F83739" w14:textId="77777777" w:rsidR="00CB7CBC" w:rsidRPr="008B2319" w:rsidRDefault="00CB7CBC" w:rsidP="00092BEF">
      <w:pPr>
        <w:pStyle w:val="Caption"/>
        <w:keepNext/>
      </w:pPr>
      <w:r w:rsidRPr="008B2319">
        <w:t xml:space="preserve">Table </w:t>
      </w:r>
      <w:r w:rsidR="00825D4F" w:rsidRPr="008B2319">
        <w:fldChar w:fldCharType="begin"/>
      </w:r>
      <w:r w:rsidR="00825D4F" w:rsidRPr="008B2319">
        <w:instrText xml:space="preserve"> SEQ Table \* ARABIC </w:instrText>
      </w:r>
      <w:r w:rsidR="00825D4F" w:rsidRPr="008B2319">
        <w:fldChar w:fldCharType="separate"/>
      </w:r>
      <w:r w:rsidR="00B53F43" w:rsidRPr="008B2319">
        <w:rPr>
          <w:noProof/>
        </w:rPr>
        <w:t>3</w:t>
      </w:r>
      <w:r w:rsidR="00825D4F" w:rsidRPr="008B2319">
        <w:rPr>
          <w:noProof/>
        </w:rPr>
        <w:fldChar w:fldCharType="end"/>
      </w:r>
      <w:r w:rsidRPr="008B2319">
        <w:t>.</w:t>
      </w:r>
      <w:r w:rsidR="00BA00A1" w:rsidRPr="008B2319">
        <w:t xml:space="preserve"> Air </w:t>
      </w:r>
      <w:r w:rsidR="00306911" w:rsidRPr="008B2319">
        <w:t>pre-</w:t>
      </w:r>
      <w:r w:rsidR="00BA00A1" w:rsidRPr="008B2319">
        <w:t>heater section input parameters.</w:t>
      </w:r>
    </w:p>
    <w:tbl>
      <w:tblPr>
        <w:tblStyle w:val="GridTable1Light1"/>
        <w:tblW w:w="8278" w:type="dxa"/>
        <w:jc w:val="center"/>
        <w:tblLook w:val="04A0" w:firstRow="1" w:lastRow="0" w:firstColumn="1" w:lastColumn="0" w:noHBand="0" w:noVBand="1"/>
      </w:tblPr>
      <w:tblGrid>
        <w:gridCol w:w="2268"/>
        <w:gridCol w:w="2041"/>
        <w:gridCol w:w="1701"/>
        <w:gridCol w:w="1134"/>
        <w:gridCol w:w="1134"/>
      </w:tblGrid>
      <w:tr w:rsidR="008B2319" w:rsidRPr="008B2319" w14:paraId="14EB110B" w14:textId="77777777" w:rsidTr="006C3BF1">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268" w:type="dxa"/>
            <w:noWrap/>
            <w:vAlign w:val="center"/>
            <w:hideMark/>
          </w:tcPr>
          <w:p w14:paraId="746B5B33" w14:textId="77777777" w:rsidR="006C3BF1" w:rsidRPr="008B2319" w:rsidRDefault="006C3BF1" w:rsidP="000F282B">
            <w:pPr>
              <w:spacing w:before="20" w:after="20" w:line="240" w:lineRule="auto"/>
              <w:jc w:val="center"/>
              <w:rPr>
                <w:rFonts w:eastAsia="Times New Roman" w:cs="Times New Roman"/>
                <w:iCs/>
                <w:sz w:val="20"/>
                <w:szCs w:val="20"/>
                <w:lang w:eastAsia="en-GB"/>
              </w:rPr>
            </w:pPr>
            <w:r w:rsidRPr="008B2319">
              <w:rPr>
                <w:rFonts w:eastAsia="Times New Roman" w:cs="Times New Roman"/>
                <w:bCs w:val="0"/>
                <w:iCs/>
                <w:sz w:val="20"/>
                <w:szCs w:val="20"/>
                <w:lang w:eastAsia="en-GB"/>
              </w:rPr>
              <w:t xml:space="preserve">HEAT </w:t>
            </w:r>
            <w:r w:rsidRPr="008B2319">
              <w:rPr>
                <w:rFonts w:eastAsia="Times New Roman" w:cs="Times New Roman"/>
                <w:iCs/>
                <w:sz w:val="20"/>
                <w:szCs w:val="20"/>
                <w:lang w:eastAsia="en-GB"/>
              </w:rPr>
              <w:t>EXCHANGER</w:t>
            </w:r>
          </w:p>
        </w:tc>
        <w:tc>
          <w:tcPr>
            <w:tcW w:w="2041" w:type="dxa"/>
            <w:noWrap/>
            <w:vAlign w:val="center"/>
            <w:hideMark/>
          </w:tcPr>
          <w:p w14:paraId="55969708"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Parameter</w:t>
            </w:r>
          </w:p>
        </w:tc>
        <w:tc>
          <w:tcPr>
            <w:tcW w:w="1701" w:type="dxa"/>
            <w:noWrap/>
            <w:vAlign w:val="center"/>
            <w:hideMark/>
          </w:tcPr>
          <w:p w14:paraId="0D2CF024"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Value</w:t>
            </w:r>
          </w:p>
        </w:tc>
        <w:tc>
          <w:tcPr>
            <w:tcW w:w="1134" w:type="dxa"/>
            <w:noWrap/>
            <w:vAlign w:val="center"/>
            <w:hideMark/>
          </w:tcPr>
          <w:p w14:paraId="10054D94" w14:textId="77777777" w:rsidR="006C3BF1" w:rsidRPr="008B2319" w:rsidRDefault="006C3BF1"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Unit</w:t>
            </w:r>
          </w:p>
        </w:tc>
        <w:tc>
          <w:tcPr>
            <w:tcW w:w="1134" w:type="dxa"/>
          </w:tcPr>
          <w:p w14:paraId="367DD898" w14:textId="77777777" w:rsidR="006C3BF1" w:rsidRPr="008B2319" w:rsidRDefault="00D45674"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Ref.</w:t>
            </w:r>
          </w:p>
        </w:tc>
      </w:tr>
      <w:tr w:rsidR="008B2319" w:rsidRPr="008B2319" w14:paraId="42435A2F"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18F993F6"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r w:rsidRPr="008B2319">
              <w:rPr>
                <w:rFonts w:eastAsia="Times New Roman" w:cs="Times New Roman"/>
                <w:sz w:val="20"/>
                <w:szCs w:val="20"/>
                <w:lang w:eastAsia="en-GB"/>
              </w:rPr>
              <w:t xml:space="preserve">Heat exchanger Air </w:t>
            </w:r>
            <w:r w:rsidRPr="008B2319">
              <w:rPr>
                <w:rFonts w:eastAsia="Times New Roman" w:cs="Times New Roman"/>
                <w:bCs w:val="0"/>
                <w:sz w:val="20"/>
                <w:szCs w:val="20"/>
                <w:lang w:eastAsia="en-GB"/>
              </w:rPr>
              <w:t>Preheater</w:t>
            </w:r>
          </w:p>
        </w:tc>
        <w:tc>
          <w:tcPr>
            <w:tcW w:w="2041" w:type="dxa"/>
            <w:noWrap/>
            <w:hideMark/>
          </w:tcPr>
          <w:p w14:paraId="39AE0A5A"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flow rate</w:t>
            </w:r>
          </w:p>
        </w:tc>
        <w:tc>
          <w:tcPr>
            <w:tcW w:w="1701" w:type="dxa"/>
            <w:noWrap/>
            <w:hideMark/>
          </w:tcPr>
          <w:p w14:paraId="64CFEB32"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300</w:t>
            </w:r>
          </w:p>
        </w:tc>
        <w:tc>
          <w:tcPr>
            <w:tcW w:w="1134" w:type="dxa"/>
            <w:noWrap/>
            <w:hideMark/>
          </w:tcPr>
          <w:p w14:paraId="177EC87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Nl/min</w:t>
            </w:r>
          </w:p>
        </w:tc>
        <w:tc>
          <w:tcPr>
            <w:tcW w:w="1134" w:type="dxa"/>
          </w:tcPr>
          <w:p w14:paraId="75DD34E6"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1AD760C3"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2CE79604"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p>
        </w:tc>
        <w:tc>
          <w:tcPr>
            <w:tcW w:w="2041" w:type="dxa"/>
            <w:noWrap/>
            <w:hideMark/>
          </w:tcPr>
          <w:p w14:paraId="4B72E23B"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Min. flow rate</w:t>
            </w:r>
          </w:p>
        </w:tc>
        <w:tc>
          <w:tcPr>
            <w:tcW w:w="1701" w:type="dxa"/>
            <w:noWrap/>
            <w:hideMark/>
          </w:tcPr>
          <w:p w14:paraId="115DD5EA"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130</w:t>
            </w:r>
          </w:p>
        </w:tc>
        <w:tc>
          <w:tcPr>
            <w:tcW w:w="1134" w:type="dxa"/>
            <w:noWrap/>
            <w:hideMark/>
          </w:tcPr>
          <w:p w14:paraId="57E43BBC"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Nl/min</w:t>
            </w:r>
          </w:p>
        </w:tc>
        <w:tc>
          <w:tcPr>
            <w:tcW w:w="1134" w:type="dxa"/>
          </w:tcPr>
          <w:p w14:paraId="69D4914F"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724FFB40"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3A7E33E"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p>
        </w:tc>
        <w:tc>
          <w:tcPr>
            <w:tcW w:w="2041" w:type="dxa"/>
            <w:noWrap/>
            <w:hideMark/>
          </w:tcPr>
          <w:p w14:paraId="6AC5A986"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Exchange heat flow</w:t>
            </w:r>
          </w:p>
        </w:tc>
        <w:tc>
          <w:tcPr>
            <w:tcW w:w="1701" w:type="dxa"/>
            <w:noWrap/>
            <w:hideMark/>
          </w:tcPr>
          <w:p w14:paraId="3C055804"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4.4</w:t>
            </w:r>
          </w:p>
        </w:tc>
        <w:tc>
          <w:tcPr>
            <w:tcW w:w="1134" w:type="dxa"/>
            <w:noWrap/>
            <w:hideMark/>
          </w:tcPr>
          <w:p w14:paraId="340E5F4E"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kW</w:t>
            </w:r>
          </w:p>
        </w:tc>
        <w:tc>
          <w:tcPr>
            <w:tcW w:w="1134" w:type="dxa"/>
          </w:tcPr>
          <w:p w14:paraId="266B029D"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65BC3036"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0166CBA0"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p>
        </w:tc>
        <w:tc>
          <w:tcPr>
            <w:tcW w:w="2041" w:type="dxa"/>
            <w:noWrap/>
            <w:hideMark/>
          </w:tcPr>
          <w:p w14:paraId="5F9E78E3"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inlet temp.</w:t>
            </w:r>
          </w:p>
        </w:tc>
        <w:tc>
          <w:tcPr>
            <w:tcW w:w="1701" w:type="dxa"/>
            <w:noWrap/>
            <w:hideMark/>
          </w:tcPr>
          <w:p w14:paraId="5D908C68"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830</w:t>
            </w:r>
          </w:p>
        </w:tc>
        <w:tc>
          <w:tcPr>
            <w:tcW w:w="1134" w:type="dxa"/>
            <w:noWrap/>
            <w:hideMark/>
          </w:tcPr>
          <w:p w14:paraId="0D676553"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p>
        </w:tc>
        <w:tc>
          <w:tcPr>
            <w:tcW w:w="1134" w:type="dxa"/>
          </w:tcPr>
          <w:p w14:paraId="52A6D813"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3A27007B"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7F926340"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p>
        </w:tc>
        <w:tc>
          <w:tcPr>
            <w:tcW w:w="2041" w:type="dxa"/>
            <w:noWrap/>
            <w:hideMark/>
          </w:tcPr>
          <w:p w14:paraId="2DF69413"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outlet temp.</w:t>
            </w:r>
          </w:p>
        </w:tc>
        <w:tc>
          <w:tcPr>
            <w:tcW w:w="1701" w:type="dxa"/>
            <w:noWrap/>
            <w:hideMark/>
          </w:tcPr>
          <w:p w14:paraId="679B6043"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650</w:t>
            </w:r>
          </w:p>
        </w:tc>
        <w:tc>
          <w:tcPr>
            <w:tcW w:w="1134" w:type="dxa"/>
            <w:noWrap/>
            <w:hideMark/>
          </w:tcPr>
          <w:p w14:paraId="4EC8CF7E"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p>
        </w:tc>
        <w:tc>
          <w:tcPr>
            <w:tcW w:w="1134" w:type="dxa"/>
          </w:tcPr>
          <w:p w14:paraId="08CCF6DC"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049E80D4"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054A4F1F" w14:textId="77777777" w:rsidR="00EA30B9" w:rsidRPr="008B2319" w:rsidRDefault="00EA30B9" w:rsidP="00EA30B9">
            <w:pPr>
              <w:spacing w:before="20" w:after="20" w:line="240" w:lineRule="auto"/>
              <w:jc w:val="left"/>
              <w:rPr>
                <w:rFonts w:eastAsia="Times New Roman" w:cs="Times New Roman"/>
                <w:bCs w:val="0"/>
                <w:sz w:val="20"/>
                <w:szCs w:val="20"/>
                <w:lang w:eastAsia="en-GB"/>
              </w:rPr>
            </w:pPr>
            <w:r w:rsidRPr="008B2319">
              <w:rPr>
                <w:rFonts w:eastAsia="Times New Roman" w:cs="Times New Roman"/>
                <w:bCs w:val="0"/>
                <w:sz w:val="20"/>
                <w:szCs w:val="20"/>
                <w:lang w:eastAsia="en-GB"/>
              </w:rPr>
              <w:t>Electrical Air Preheater</w:t>
            </w:r>
          </w:p>
        </w:tc>
        <w:tc>
          <w:tcPr>
            <w:tcW w:w="2041" w:type="dxa"/>
            <w:noWrap/>
            <w:hideMark/>
          </w:tcPr>
          <w:p w14:paraId="0ECA02F9"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Power </w:t>
            </w:r>
          </w:p>
        </w:tc>
        <w:tc>
          <w:tcPr>
            <w:tcW w:w="1701" w:type="dxa"/>
            <w:noWrap/>
            <w:hideMark/>
          </w:tcPr>
          <w:p w14:paraId="76E0D276"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3.5</w:t>
            </w:r>
          </w:p>
        </w:tc>
        <w:tc>
          <w:tcPr>
            <w:tcW w:w="1134" w:type="dxa"/>
            <w:noWrap/>
            <w:hideMark/>
          </w:tcPr>
          <w:p w14:paraId="29F6E810"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kW</w:t>
            </w:r>
          </w:p>
        </w:tc>
        <w:tc>
          <w:tcPr>
            <w:tcW w:w="1134" w:type="dxa"/>
          </w:tcPr>
          <w:p w14:paraId="00317692"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203B9632"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FC10AED" w14:textId="77777777" w:rsidR="00EA30B9" w:rsidRPr="008B2319" w:rsidRDefault="00EA30B9" w:rsidP="00EA30B9">
            <w:pPr>
              <w:spacing w:before="20" w:after="20" w:line="240" w:lineRule="auto"/>
              <w:rPr>
                <w:rFonts w:eastAsia="Times New Roman" w:cs="Times New Roman"/>
                <w:b w:val="0"/>
                <w:bCs w:val="0"/>
                <w:sz w:val="20"/>
                <w:szCs w:val="20"/>
                <w:lang w:eastAsia="en-GB"/>
              </w:rPr>
            </w:pPr>
          </w:p>
        </w:tc>
        <w:tc>
          <w:tcPr>
            <w:tcW w:w="2041" w:type="dxa"/>
            <w:noWrap/>
            <w:hideMark/>
          </w:tcPr>
          <w:p w14:paraId="3BCCFA01"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inlet temp.</w:t>
            </w:r>
          </w:p>
        </w:tc>
        <w:tc>
          <w:tcPr>
            <w:tcW w:w="1701" w:type="dxa"/>
            <w:noWrap/>
            <w:hideMark/>
          </w:tcPr>
          <w:p w14:paraId="419FCC22"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650</w:t>
            </w:r>
          </w:p>
        </w:tc>
        <w:tc>
          <w:tcPr>
            <w:tcW w:w="1134" w:type="dxa"/>
            <w:noWrap/>
            <w:hideMark/>
          </w:tcPr>
          <w:p w14:paraId="2A67110A"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p>
        </w:tc>
        <w:tc>
          <w:tcPr>
            <w:tcW w:w="1134" w:type="dxa"/>
          </w:tcPr>
          <w:p w14:paraId="4F057A8F"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r w:rsidR="008B2319" w:rsidRPr="008B2319" w14:paraId="08A72590" w14:textId="77777777" w:rsidTr="006C3BF1">
        <w:trPr>
          <w:trHeight w:val="2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8FDB244" w14:textId="77777777" w:rsidR="00EA30B9" w:rsidRPr="008B2319" w:rsidRDefault="00EA30B9" w:rsidP="00EA30B9">
            <w:pPr>
              <w:spacing w:before="20" w:after="20" w:line="240" w:lineRule="auto"/>
              <w:rPr>
                <w:rFonts w:eastAsia="Times New Roman" w:cs="Times New Roman"/>
                <w:b w:val="0"/>
                <w:bCs w:val="0"/>
                <w:sz w:val="20"/>
                <w:szCs w:val="20"/>
                <w:lang w:eastAsia="en-GB"/>
              </w:rPr>
            </w:pPr>
          </w:p>
        </w:tc>
        <w:tc>
          <w:tcPr>
            <w:tcW w:w="2041" w:type="dxa"/>
            <w:noWrap/>
            <w:hideMark/>
          </w:tcPr>
          <w:p w14:paraId="27AC93BA" w14:textId="77777777" w:rsidR="00EA30B9" w:rsidRPr="008B2319" w:rsidRDefault="00EA30B9" w:rsidP="00EA30B9">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Max outlet temp.</w:t>
            </w:r>
          </w:p>
        </w:tc>
        <w:tc>
          <w:tcPr>
            <w:tcW w:w="1701" w:type="dxa"/>
            <w:noWrap/>
            <w:hideMark/>
          </w:tcPr>
          <w:p w14:paraId="22AC02D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850</w:t>
            </w:r>
          </w:p>
        </w:tc>
        <w:tc>
          <w:tcPr>
            <w:tcW w:w="1134" w:type="dxa"/>
            <w:noWrap/>
            <w:hideMark/>
          </w:tcPr>
          <w:p w14:paraId="3BF4C0E7"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°C</w:t>
            </w:r>
          </w:p>
        </w:tc>
        <w:tc>
          <w:tcPr>
            <w:tcW w:w="1134" w:type="dxa"/>
          </w:tcPr>
          <w:p w14:paraId="37992181" w14:textId="77777777" w:rsidR="00EA30B9" w:rsidRPr="008B2319" w:rsidRDefault="00EA30B9" w:rsidP="00EA30B9">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Sunfire </w:t>
            </w:r>
          </w:p>
        </w:tc>
      </w:tr>
    </w:tbl>
    <w:p w14:paraId="0F58B4AC" w14:textId="77777777" w:rsidR="006E2828" w:rsidRPr="008B2319" w:rsidRDefault="006E2828" w:rsidP="006E2828">
      <w:pPr>
        <w:rPr>
          <w:b/>
        </w:rPr>
      </w:pPr>
    </w:p>
    <w:p w14:paraId="5917D62B" w14:textId="77777777" w:rsidR="00092BEF" w:rsidRPr="008B2319" w:rsidRDefault="00092BEF" w:rsidP="00092BEF">
      <w:pPr>
        <w:pStyle w:val="Caption"/>
        <w:keepNext/>
      </w:pPr>
      <w:r w:rsidRPr="008B2319">
        <w:t xml:space="preserve">Table </w:t>
      </w:r>
      <w:r w:rsidR="00825D4F" w:rsidRPr="008B2319">
        <w:fldChar w:fldCharType="begin"/>
      </w:r>
      <w:r w:rsidR="00825D4F" w:rsidRPr="008B2319">
        <w:instrText xml:space="preserve"> SEQ Table \* ARABIC </w:instrText>
      </w:r>
      <w:r w:rsidR="00825D4F" w:rsidRPr="008B2319">
        <w:fldChar w:fldCharType="separate"/>
      </w:r>
      <w:r w:rsidR="00B53F43" w:rsidRPr="008B2319">
        <w:rPr>
          <w:noProof/>
        </w:rPr>
        <w:t>4</w:t>
      </w:r>
      <w:r w:rsidR="00825D4F" w:rsidRPr="008B2319">
        <w:rPr>
          <w:noProof/>
        </w:rPr>
        <w:fldChar w:fldCharType="end"/>
      </w:r>
      <w:r w:rsidR="00BA00A1" w:rsidRPr="008B2319">
        <w:rPr>
          <w:noProof/>
        </w:rPr>
        <w:t>. Reformer section input parameters.</w:t>
      </w:r>
    </w:p>
    <w:tbl>
      <w:tblPr>
        <w:tblStyle w:val="GridTable1Light1"/>
        <w:tblW w:w="8479" w:type="dxa"/>
        <w:jc w:val="center"/>
        <w:tblLook w:val="04A0" w:firstRow="1" w:lastRow="0" w:firstColumn="1" w:lastColumn="0" w:noHBand="0" w:noVBand="1"/>
      </w:tblPr>
      <w:tblGrid>
        <w:gridCol w:w="2268"/>
        <w:gridCol w:w="2293"/>
        <w:gridCol w:w="1701"/>
        <w:gridCol w:w="1134"/>
        <w:gridCol w:w="1083"/>
      </w:tblGrid>
      <w:tr w:rsidR="008B2319" w:rsidRPr="008B2319" w14:paraId="4C86A073" w14:textId="77777777" w:rsidTr="00120123">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268" w:type="dxa"/>
            <w:noWrap/>
            <w:vAlign w:val="center"/>
            <w:hideMark/>
          </w:tcPr>
          <w:p w14:paraId="0280057E" w14:textId="77777777" w:rsidR="00D45674" w:rsidRPr="008B2319" w:rsidRDefault="00D45674" w:rsidP="000F282B">
            <w:pPr>
              <w:spacing w:before="20" w:after="20" w:line="240" w:lineRule="auto"/>
              <w:jc w:val="center"/>
              <w:rPr>
                <w:rFonts w:eastAsia="Times New Roman" w:cs="Times New Roman"/>
                <w:iCs/>
                <w:sz w:val="20"/>
                <w:szCs w:val="20"/>
                <w:lang w:eastAsia="en-GB"/>
              </w:rPr>
            </w:pPr>
            <w:r w:rsidRPr="008B2319">
              <w:rPr>
                <w:rFonts w:eastAsia="Times New Roman" w:cs="Times New Roman"/>
                <w:bCs w:val="0"/>
                <w:iCs/>
                <w:sz w:val="20"/>
                <w:szCs w:val="20"/>
                <w:lang w:eastAsia="en-GB"/>
              </w:rPr>
              <w:t>REFORMER</w:t>
            </w:r>
          </w:p>
        </w:tc>
        <w:tc>
          <w:tcPr>
            <w:tcW w:w="2293" w:type="dxa"/>
            <w:noWrap/>
            <w:vAlign w:val="center"/>
            <w:hideMark/>
          </w:tcPr>
          <w:p w14:paraId="045F6C66" w14:textId="77777777" w:rsidR="00D45674" w:rsidRPr="008B2319" w:rsidRDefault="00D45674"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Parameter</w:t>
            </w:r>
          </w:p>
        </w:tc>
        <w:tc>
          <w:tcPr>
            <w:tcW w:w="1701" w:type="dxa"/>
            <w:noWrap/>
            <w:vAlign w:val="center"/>
            <w:hideMark/>
          </w:tcPr>
          <w:p w14:paraId="5BCE2C51" w14:textId="77777777" w:rsidR="00D45674" w:rsidRPr="008B2319" w:rsidRDefault="00D45674"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Value</w:t>
            </w:r>
          </w:p>
        </w:tc>
        <w:tc>
          <w:tcPr>
            <w:tcW w:w="1134" w:type="dxa"/>
            <w:noWrap/>
            <w:vAlign w:val="center"/>
            <w:hideMark/>
          </w:tcPr>
          <w:p w14:paraId="0F871728" w14:textId="77777777" w:rsidR="00D45674" w:rsidRPr="008B2319" w:rsidRDefault="00D45674"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Unit</w:t>
            </w:r>
          </w:p>
        </w:tc>
        <w:tc>
          <w:tcPr>
            <w:tcW w:w="1083" w:type="dxa"/>
          </w:tcPr>
          <w:p w14:paraId="4C9007C3" w14:textId="77777777" w:rsidR="00D45674" w:rsidRPr="008B2319" w:rsidRDefault="00120123" w:rsidP="000F282B">
            <w:pPr>
              <w:spacing w:before="20" w:after="2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Cs/>
                <w:sz w:val="20"/>
                <w:szCs w:val="20"/>
                <w:lang w:eastAsia="en-GB"/>
              </w:rPr>
            </w:pPr>
            <w:r w:rsidRPr="008B2319">
              <w:rPr>
                <w:rFonts w:eastAsia="Times New Roman" w:cs="Times New Roman"/>
                <w:iCs/>
                <w:sz w:val="20"/>
                <w:szCs w:val="20"/>
                <w:lang w:eastAsia="en-GB"/>
              </w:rPr>
              <w:t>Ref.</w:t>
            </w:r>
          </w:p>
        </w:tc>
      </w:tr>
      <w:tr w:rsidR="008B2319" w:rsidRPr="008B2319" w14:paraId="627B93F3" w14:textId="77777777" w:rsidTr="00120123">
        <w:trPr>
          <w:trHeight w:val="182"/>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63C64919"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r w:rsidRPr="008B2319">
              <w:rPr>
                <w:rFonts w:eastAsia="Times New Roman" w:cs="Times New Roman"/>
                <w:bCs w:val="0"/>
                <w:sz w:val="20"/>
                <w:szCs w:val="20"/>
                <w:lang w:eastAsia="en-GB"/>
              </w:rPr>
              <w:t xml:space="preserve">Reformer </w:t>
            </w:r>
          </w:p>
        </w:tc>
        <w:tc>
          <w:tcPr>
            <w:tcW w:w="2293" w:type="dxa"/>
            <w:noWrap/>
            <w:hideMark/>
          </w:tcPr>
          <w:p w14:paraId="48EF1E72"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External height</w:t>
            </w:r>
          </w:p>
        </w:tc>
        <w:tc>
          <w:tcPr>
            <w:tcW w:w="1701" w:type="dxa"/>
            <w:noWrap/>
            <w:hideMark/>
          </w:tcPr>
          <w:p w14:paraId="186FD781"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0.185</w:t>
            </w:r>
          </w:p>
        </w:tc>
        <w:tc>
          <w:tcPr>
            <w:tcW w:w="1134" w:type="dxa"/>
            <w:noWrap/>
            <w:hideMark/>
          </w:tcPr>
          <w:p w14:paraId="15AB2C69"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p>
        </w:tc>
        <w:tc>
          <w:tcPr>
            <w:tcW w:w="1083" w:type="dxa"/>
            <w:vMerge w:val="restart"/>
            <w:vAlign w:val="center"/>
          </w:tcPr>
          <w:p w14:paraId="62D362A1" w14:textId="0BDD13A1"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4AAAC36B" w14:textId="77777777" w:rsidTr="00120123">
        <w:trPr>
          <w:trHeight w:val="20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39E7CCD6"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0CA9F561"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Internal height</w:t>
            </w:r>
          </w:p>
        </w:tc>
        <w:tc>
          <w:tcPr>
            <w:tcW w:w="1701" w:type="dxa"/>
            <w:noWrap/>
            <w:hideMark/>
          </w:tcPr>
          <w:p w14:paraId="6F373039"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0.175</w:t>
            </w:r>
          </w:p>
        </w:tc>
        <w:tc>
          <w:tcPr>
            <w:tcW w:w="1134" w:type="dxa"/>
            <w:noWrap/>
            <w:hideMark/>
          </w:tcPr>
          <w:p w14:paraId="3341FE6F"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p>
        </w:tc>
        <w:tc>
          <w:tcPr>
            <w:tcW w:w="1083" w:type="dxa"/>
            <w:vMerge/>
            <w:vAlign w:val="center"/>
          </w:tcPr>
          <w:p w14:paraId="05CAA864"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45B31D58" w14:textId="77777777" w:rsidTr="00120123">
        <w:trPr>
          <w:trHeight w:val="20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1417B777"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6CE610AB"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External Volume</w:t>
            </w:r>
          </w:p>
        </w:tc>
        <w:tc>
          <w:tcPr>
            <w:tcW w:w="1701" w:type="dxa"/>
            <w:noWrap/>
            <w:hideMark/>
          </w:tcPr>
          <w:p w14:paraId="511A520D"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0.00118</w:t>
            </w:r>
          </w:p>
        </w:tc>
        <w:tc>
          <w:tcPr>
            <w:tcW w:w="1134" w:type="dxa"/>
            <w:noWrap/>
            <w:hideMark/>
          </w:tcPr>
          <w:p w14:paraId="79CAA625"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083" w:type="dxa"/>
            <w:vMerge/>
            <w:vAlign w:val="center"/>
          </w:tcPr>
          <w:p w14:paraId="6E54C915"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47976E26" w14:textId="77777777" w:rsidTr="00120123">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03799669"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6A8BDAA9"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Internal Volume</w:t>
            </w:r>
          </w:p>
        </w:tc>
        <w:tc>
          <w:tcPr>
            <w:tcW w:w="1701" w:type="dxa"/>
            <w:noWrap/>
            <w:hideMark/>
          </w:tcPr>
          <w:p w14:paraId="12507F28"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0.00088</w:t>
            </w:r>
          </w:p>
        </w:tc>
        <w:tc>
          <w:tcPr>
            <w:tcW w:w="1134" w:type="dxa"/>
            <w:noWrap/>
            <w:hideMark/>
          </w:tcPr>
          <w:p w14:paraId="352ADB60"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083" w:type="dxa"/>
            <w:vMerge/>
            <w:vAlign w:val="center"/>
          </w:tcPr>
          <w:p w14:paraId="482ED468"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643EB77F" w14:textId="77777777" w:rsidTr="00120123">
        <w:trPr>
          <w:trHeight w:val="20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176995E1"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48A785B2"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Density</w:t>
            </w:r>
          </w:p>
        </w:tc>
        <w:tc>
          <w:tcPr>
            <w:tcW w:w="1701" w:type="dxa"/>
            <w:noWrap/>
            <w:hideMark/>
          </w:tcPr>
          <w:p w14:paraId="5DC0D6E7"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7940</w:t>
            </w:r>
          </w:p>
        </w:tc>
        <w:tc>
          <w:tcPr>
            <w:tcW w:w="1134" w:type="dxa"/>
            <w:noWrap/>
            <w:hideMark/>
          </w:tcPr>
          <w:p w14:paraId="4A014292"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083" w:type="dxa"/>
            <w:vMerge/>
            <w:vAlign w:val="center"/>
          </w:tcPr>
          <w:p w14:paraId="2D63AF09"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72A8C2DC" w14:textId="77777777" w:rsidTr="00120123">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5126B10"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3EA21C2E"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w:t>
            </w:r>
          </w:p>
        </w:tc>
        <w:tc>
          <w:tcPr>
            <w:tcW w:w="1701" w:type="dxa"/>
            <w:noWrap/>
            <w:hideMark/>
          </w:tcPr>
          <w:p w14:paraId="6C1FE29B"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2.360</w:t>
            </w:r>
          </w:p>
        </w:tc>
        <w:tc>
          <w:tcPr>
            <w:tcW w:w="1134" w:type="dxa"/>
            <w:noWrap/>
            <w:hideMark/>
          </w:tcPr>
          <w:p w14:paraId="1E45429B"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83" w:type="dxa"/>
            <w:vMerge/>
            <w:vAlign w:val="center"/>
          </w:tcPr>
          <w:p w14:paraId="6218F62B"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7D64C07F" w14:textId="77777777" w:rsidTr="00120123">
        <w:trPr>
          <w:trHeight w:val="182"/>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4F4859B2"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25A5F189"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Heat capacity </w:t>
            </w:r>
          </w:p>
        </w:tc>
        <w:tc>
          <w:tcPr>
            <w:tcW w:w="1701" w:type="dxa"/>
            <w:noWrap/>
            <w:hideMark/>
          </w:tcPr>
          <w:p w14:paraId="6A2FCF83"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0.460</w:t>
            </w:r>
          </w:p>
        </w:tc>
        <w:tc>
          <w:tcPr>
            <w:tcW w:w="1134" w:type="dxa"/>
            <w:noWrap/>
            <w:hideMark/>
          </w:tcPr>
          <w:p w14:paraId="4738BE04"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83" w:type="dxa"/>
            <w:vAlign w:val="center"/>
          </w:tcPr>
          <w:p w14:paraId="66DE68BB" w14:textId="2941C7C2"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"Vdm", "given" : "Thyssenkrupp", "non-dropping-particle" : "", "parse-names" : false, "suffix" : "" } ], "id" : "ITEM-1", "issue" : "4050", "issued" : { "date-parts" : [ [ "2008" ] ] }, "title" : "Crofer22H Material Data Sheet No. 4050", "type" : "article-journal" }, "uris" : [ "http://www.mendeley.com/documents/?uuid=d0a709a5-bbeb-42f2-b434-8989bd68a0dd", "http://www.mendeley.com/documents/?uuid=60e20f0f-e7e2-4a8f-ae42-db250dd0d5b7", "http://www.mendeley.com/documents/?uuid=814f7b4c-9335-40a0-bfd0-23e9f30ac0cd" ] } ], "mendeley" : { "formattedCitation" : "[39]", "plainTextFormattedCitation" : "[39]", "previouslyFormattedCitation" : "[39]"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[39]</w:t>
            </w:r>
            <w:r w:rsidRPr="008B2319">
              <w:rPr>
                <w:rFonts w:eastAsia="Times New Roman" w:cs="Times New Roman"/>
                <w:sz w:val="20"/>
                <w:szCs w:val="20"/>
                <w:lang w:eastAsia="en-GB"/>
              </w:rPr>
              <w:fldChar w:fldCharType="end"/>
            </w:r>
            <w:r w:rsidRPr="008B2319">
              <w:rPr>
                <w:rFonts w:eastAsia="Times New Roman" w:cs="Times New Roman"/>
                <w:sz w:val="20"/>
                <w:szCs w:val="20"/>
                <w:lang w:eastAsia="en-GB"/>
              </w:rPr>
              <w:t xml:space="preserve">, </w:t>
            </w:r>
            <w:r w:rsidR="0062154B"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0062154B"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0062154B" w:rsidRPr="008B2319">
              <w:rPr>
                <w:rFonts w:eastAsia="Times New Roman" w:cs="Times New Roman"/>
                <w:sz w:val="20"/>
                <w:szCs w:val="20"/>
                <w:lang w:eastAsia="en-GB"/>
              </w:rPr>
              <w:fldChar w:fldCharType="end"/>
            </w:r>
          </w:p>
        </w:tc>
      </w:tr>
      <w:tr w:rsidR="008B2319" w:rsidRPr="008B2319" w14:paraId="4D95FD8D" w14:textId="77777777" w:rsidTr="00120123">
        <w:trPr>
          <w:trHeight w:val="199"/>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1D39BDED"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r w:rsidRPr="008B2319">
              <w:rPr>
                <w:rFonts w:eastAsia="Times New Roman" w:cs="Times New Roman"/>
                <w:bCs w:val="0"/>
                <w:sz w:val="20"/>
                <w:szCs w:val="20"/>
                <w:lang w:eastAsia="en-GB"/>
              </w:rPr>
              <w:t>Heater Reformer</w:t>
            </w:r>
          </w:p>
        </w:tc>
        <w:tc>
          <w:tcPr>
            <w:tcW w:w="2293" w:type="dxa"/>
            <w:noWrap/>
            <w:hideMark/>
          </w:tcPr>
          <w:p w14:paraId="4B37F541"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Height</w:t>
            </w:r>
          </w:p>
        </w:tc>
        <w:tc>
          <w:tcPr>
            <w:tcW w:w="1701" w:type="dxa"/>
            <w:noWrap/>
            <w:hideMark/>
          </w:tcPr>
          <w:p w14:paraId="3CC89561"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0.300</w:t>
            </w:r>
          </w:p>
        </w:tc>
        <w:tc>
          <w:tcPr>
            <w:tcW w:w="1134" w:type="dxa"/>
            <w:noWrap/>
            <w:hideMark/>
          </w:tcPr>
          <w:p w14:paraId="7617911D" w14:textId="77777777" w:rsidR="00120123" w:rsidRPr="008B2319" w:rsidRDefault="005D7509"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p>
        </w:tc>
        <w:tc>
          <w:tcPr>
            <w:tcW w:w="1083" w:type="dxa"/>
            <w:vMerge w:val="restart"/>
            <w:vAlign w:val="center"/>
          </w:tcPr>
          <w:p w14:paraId="0126EE70" w14:textId="7BEED009" w:rsidR="00120123" w:rsidRPr="008B2319" w:rsidRDefault="0062154B"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54C5072C" w14:textId="77777777" w:rsidTr="00120123">
        <w:trPr>
          <w:trHeight w:val="199"/>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0E2CF347"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6D7D9CB1"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Volume </w:t>
            </w:r>
          </w:p>
        </w:tc>
        <w:tc>
          <w:tcPr>
            <w:tcW w:w="1701" w:type="dxa"/>
            <w:noWrap/>
            <w:hideMark/>
          </w:tcPr>
          <w:p w14:paraId="06F13175"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0,00726</w:t>
            </w:r>
          </w:p>
        </w:tc>
        <w:tc>
          <w:tcPr>
            <w:tcW w:w="1134" w:type="dxa"/>
            <w:noWrap/>
            <w:hideMark/>
          </w:tcPr>
          <w:p w14:paraId="6E03126B"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w:t>
            </w:r>
            <w:r w:rsidRPr="008B2319">
              <w:rPr>
                <w:rFonts w:eastAsia="Times New Roman" w:cs="Times New Roman"/>
                <w:sz w:val="20"/>
                <w:szCs w:val="20"/>
                <w:vertAlign w:val="superscript"/>
                <w:lang w:eastAsia="en-GB"/>
              </w:rPr>
              <w:t>3</w:t>
            </w:r>
          </w:p>
        </w:tc>
        <w:tc>
          <w:tcPr>
            <w:tcW w:w="1083" w:type="dxa"/>
            <w:vMerge/>
            <w:vAlign w:val="center"/>
          </w:tcPr>
          <w:p w14:paraId="06E68690"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2F834CCF" w14:textId="77777777" w:rsidTr="00120123">
        <w:trPr>
          <w:trHeight w:val="207"/>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25B0FA0E"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1175A11D"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Density</w:t>
            </w:r>
          </w:p>
        </w:tc>
        <w:tc>
          <w:tcPr>
            <w:tcW w:w="1701" w:type="dxa"/>
            <w:noWrap/>
            <w:hideMark/>
          </w:tcPr>
          <w:p w14:paraId="68B28796"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7940</w:t>
            </w:r>
          </w:p>
        </w:tc>
        <w:tc>
          <w:tcPr>
            <w:tcW w:w="1134" w:type="dxa"/>
            <w:noWrap/>
            <w:hideMark/>
          </w:tcPr>
          <w:p w14:paraId="24086C39"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w:t>
            </w:r>
            <w:r w:rsidRPr="008B2319">
              <w:rPr>
                <w:rFonts w:eastAsia="Times New Roman" w:cs="Times New Roman"/>
                <w:sz w:val="20"/>
                <w:szCs w:val="20"/>
                <w:vertAlign w:val="superscript"/>
                <w:lang w:eastAsia="en-GB"/>
              </w:rPr>
              <w:t>3</w:t>
            </w:r>
          </w:p>
        </w:tc>
        <w:tc>
          <w:tcPr>
            <w:tcW w:w="1083" w:type="dxa"/>
            <w:vMerge/>
            <w:vAlign w:val="center"/>
          </w:tcPr>
          <w:p w14:paraId="722C7B4E"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3E1C1917" w14:textId="77777777" w:rsidTr="00120123">
        <w:trPr>
          <w:trHeight w:val="173"/>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B266336"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6AB8E96E"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 xml:space="preserve">Heat capacity </w:t>
            </w:r>
          </w:p>
        </w:tc>
        <w:tc>
          <w:tcPr>
            <w:tcW w:w="1701" w:type="dxa"/>
            <w:noWrap/>
            <w:hideMark/>
          </w:tcPr>
          <w:p w14:paraId="52E0007E"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0.460</w:t>
            </w:r>
          </w:p>
        </w:tc>
        <w:tc>
          <w:tcPr>
            <w:tcW w:w="1134" w:type="dxa"/>
            <w:noWrap/>
            <w:hideMark/>
          </w:tcPr>
          <w:p w14:paraId="767FD250"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83" w:type="dxa"/>
            <w:vMerge w:val="restart"/>
            <w:vAlign w:val="center"/>
          </w:tcPr>
          <w:p w14:paraId="20B44086" w14:textId="0B39F6EC"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"author" : [ { "dropping-particle" : "", "family" : "Vdm", "given" : "Thyssenkrupp", "non-dropping-particle" : "", "parse-names" : false, "suffix" : "" } ], "id" : "ITEM-1", "issue" : "4050", "issued" : { "date-parts" : [ [ "2008" ] ] }, "title" : "Crofer22H Material Data Sheet No. 4050", "type" : "article-journal" }, "uris" : [ "http://www.mendeley.com/documents/?uuid=d0a709a5-bbeb-42f2-b434-8989bd68a0dd", "http://www.mendeley.com/documents/?uuid=60e20f0f-e7e2-4a8f-ae42-db250dd0d5b7", "http://www.mendeley.com/documents/?uuid=814f7b4c-9335-40a0-bfd0-23e9f30ac0cd" ] } ], "mendeley" : { "formattedCitation" : "[39]", "plainTextFormattedCitation" : "[39]", "previouslyFormattedCitation" : "[39]"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[39]</w:t>
            </w:r>
            <w:r w:rsidRPr="008B2319">
              <w:rPr>
                <w:rFonts w:eastAsia="Times New Roman" w:cs="Times New Roman"/>
                <w:sz w:val="20"/>
                <w:szCs w:val="20"/>
                <w:lang w:eastAsia="en-GB"/>
              </w:rPr>
              <w:fldChar w:fldCharType="end"/>
            </w:r>
            <w:r w:rsidRPr="008B2319">
              <w:rPr>
                <w:rFonts w:eastAsia="Times New Roman" w:cs="Times New Roman"/>
                <w:sz w:val="20"/>
                <w:szCs w:val="20"/>
                <w:lang w:eastAsia="en-GB"/>
              </w:rPr>
              <w:t xml:space="preserve">, </w:t>
            </w:r>
            <w:r w:rsidR="0062154B"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0062154B"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0062154B" w:rsidRPr="008B2319">
              <w:rPr>
                <w:rFonts w:eastAsia="Times New Roman" w:cs="Times New Roman"/>
                <w:sz w:val="20"/>
                <w:szCs w:val="20"/>
                <w:lang w:eastAsia="en-GB"/>
              </w:rPr>
              <w:fldChar w:fldCharType="end"/>
            </w:r>
          </w:p>
        </w:tc>
      </w:tr>
      <w:tr w:rsidR="008B2319" w:rsidRPr="008B2319" w14:paraId="484CD6EE" w14:textId="77777777" w:rsidTr="00120123">
        <w:trPr>
          <w:trHeight w:val="173"/>
          <w:jc w:val="center"/>
        </w:trPr>
        <w:tc>
          <w:tcPr>
            <w:cnfStyle w:val="001000000000" w:firstRow="0" w:lastRow="0" w:firstColumn="1" w:lastColumn="0" w:oddVBand="0" w:evenVBand="0" w:oddHBand="0" w:evenHBand="0" w:firstRowFirstColumn="0" w:firstRowLastColumn="0" w:lastRowFirstColumn="0" w:lastRowLastColumn="0"/>
            <w:tcW w:w="2268" w:type="dxa"/>
            <w:vMerge/>
            <w:vAlign w:val="center"/>
            <w:hideMark/>
          </w:tcPr>
          <w:p w14:paraId="56FB5AF9"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p>
        </w:tc>
        <w:tc>
          <w:tcPr>
            <w:tcW w:w="2293" w:type="dxa"/>
            <w:noWrap/>
            <w:hideMark/>
          </w:tcPr>
          <w:p w14:paraId="03DDF793"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w:t>
            </w:r>
          </w:p>
        </w:tc>
        <w:tc>
          <w:tcPr>
            <w:tcW w:w="1701" w:type="dxa"/>
            <w:noWrap/>
            <w:hideMark/>
          </w:tcPr>
          <w:p w14:paraId="756F7234"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57.61</w:t>
            </w:r>
          </w:p>
        </w:tc>
        <w:tc>
          <w:tcPr>
            <w:tcW w:w="1134" w:type="dxa"/>
            <w:noWrap/>
            <w:hideMark/>
          </w:tcPr>
          <w:p w14:paraId="4F7D30BF"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83" w:type="dxa"/>
            <w:vMerge/>
            <w:vAlign w:val="center"/>
          </w:tcPr>
          <w:p w14:paraId="10C3F2F8"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p>
        </w:tc>
      </w:tr>
      <w:tr w:rsidR="008B2319" w:rsidRPr="008B2319" w14:paraId="33F1052B" w14:textId="77777777" w:rsidTr="00120123">
        <w:trPr>
          <w:trHeight w:val="216"/>
          <w:jc w:val="center"/>
        </w:trPr>
        <w:tc>
          <w:tcPr>
            <w:cnfStyle w:val="001000000000" w:firstRow="0" w:lastRow="0" w:firstColumn="1" w:lastColumn="0" w:oddVBand="0" w:evenVBand="0" w:oddHBand="0" w:evenHBand="0" w:firstRowFirstColumn="0" w:firstRowLastColumn="0" w:lastRowFirstColumn="0" w:lastRowLastColumn="0"/>
            <w:tcW w:w="2268" w:type="dxa"/>
            <w:vMerge w:val="restart"/>
            <w:vAlign w:val="center"/>
            <w:hideMark/>
          </w:tcPr>
          <w:p w14:paraId="46DE4333" w14:textId="77777777" w:rsidR="00120123" w:rsidRPr="008B2319" w:rsidRDefault="00120123" w:rsidP="00120123">
            <w:pPr>
              <w:spacing w:before="20" w:after="20" w:line="240" w:lineRule="auto"/>
              <w:jc w:val="left"/>
              <w:rPr>
                <w:rFonts w:eastAsia="Times New Roman" w:cs="Times New Roman"/>
                <w:bCs w:val="0"/>
                <w:sz w:val="20"/>
                <w:szCs w:val="20"/>
                <w:lang w:eastAsia="en-GB"/>
              </w:rPr>
            </w:pPr>
            <w:r w:rsidRPr="008B2319">
              <w:rPr>
                <w:rFonts w:eastAsia="Times New Roman" w:cs="Times New Roman"/>
                <w:bCs w:val="0"/>
                <w:sz w:val="20"/>
                <w:szCs w:val="20"/>
                <w:lang w:eastAsia="en-GB"/>
              </w:rPr>
              <w:t>Catalyst</w:t>
            </w:r>
          </w:p>
        </w:tc>
        <w:tc>
          <w:tcPr>
            <w:tcW w:w="2293" w:type="dxa"/>
            <w:noWrap/>
            <w:hideMark/>
          </w:tcPr>
          <w:p w14:paraId="57C4D417" w14:textId="77777777" w:rsidR="00120123" w:rsidRPr="008B2319" w:rsidRDefault="00120123" w:rsidP="00120123">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 catalyst</w:t>
            </w:r>
          </w:p>
        </w:tc>
        <w:tc>
          <w:tcPr>
            <w:tcW w:w="1701" w:type="dxa"/>
            <w:noWrap/>
            <w:hideMark/>
          </w:tcPr>
          <w:p w14:paraId="35096B05"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0.700</w:t>
            </w:r>
          </w:p>
        </w:tc>
        <w:tc>
          <w:tcPr>
            <w:tcW w:w="1134" w:type="dxa"/>
            <w:noWrap/>
            <w:hideMark/>
          </w:tcPr>
          <w:p w14:paraId="455B718A" w14:textId="77777777" w:rsidR="00120123" w:rsidRPr="008B2319" w:rsidRDefault="00120123"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83" w:type="dxa"/>
            <w:vMerge w:val="restart"/>
            <w:vAlign w:val="center"/>
          </w:tcPr>
          <w:p w14:paraId="601F82FD" w14:textId="5AFC1C9F" w:rsidR="00120123" w:rsidRPr="008B2319" w:rsidRDefault="0062154B" w:rsidP="00120123">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fldChar w:fldCharType="begin" w:fldLock="1"/>
            </w:r>
            <w:r w:rsidR="008A464B" w:rsidRPr="008B2319">
              <w:rPr>
                <w:rFonts w:eastAsia="Times New Roman" w:cs="Times New Roman"/>
                <w:sz w:val="20"/>
                <w:szCs w:val="20"/>
                <w:lang w:eastAsia="en-GB"/>
              </w:rPr>
              <w:instrText>ADDIN CSL_CITATION { "citationItems" : [ { "id" : "ITEM-1", "itemData" : { "DOI" : "10.1016/j.cherd.2015.09.016", "ISSN" : "02638762", "abstract" : "This work deals with the design and modeling of a fuel processor integrated in a Solid Oxide Fuel Cell (SOFC) system. The reactor performs the steam reforming of the primary fuel of the SOFC anode, and it is thermally sustained by the combustion of the lean anode exhaust stream. A computational fluid dynamic (CFD) model of the catalytic bed reactor that takes into account the steam-reforming kinetic mechanisms was implemented and validated against experimental measurements on an electrically heated reactor that is operated in conjunction with an SOFC stack. The numerical model was subsequently applied to the design and simulation of a novel reactor that is thermally integrated with the rest of the plant. The purpose of this work is to find a reactor's configuration that is suitable for full-scale applications, in which the endothermic reforming reaction is sustained by the exothermicity of other components within the fuel cell plant. The new reactor has been designed by integrating the reformer and the after-burning section of the SOFC system in a single device, in which the reactor is heated by the combustion of the anode's exhaust. The results of the simulation show an improvement of the reactor's performance with an increased CH4 conversion, a higher H2 yield and a higher outlet temperature if compared to the prototype reactor.", "author" : [ { "dropping-particle" : "", "family" : "Gianotti Pret", "given" : "Marco", "non-dropping-particle" : "", "parse-names" : false, "suffix" : "" }, { "dropping-particle" : "", "family" : "Ferrero", "given" : "Domenico", "non-dropping-particle" : "", "parse-names" : false, "suffix" : "" }, { "dropping-particle" : "", "family" : "Lanzini", "given" : "Andrea", "non-dropping-particle" : "", "parse-names" : false, "suffix" : "" }, { "dropping-particle" : "", "family" : "Santarelli", "given" : "Massimo", "non-dropping-particle" : "", "parse-names" : false, "suffix" : "" } ], "container-title" : "Chemical Engineering Research and Design", "id" : "ITEM-1", "issued" : { "date-parts" : [ [ "2015", "12" ] ] }, "page" : "503-512", "title" : "Thermal design, modeling and validation of a steam-reforming reactor for fuel cell applications", "type" : "article-journal", "volume" : "104" }, "uris" : [ "http://www.mendeley.com/documents/?uuid=eebc13f0-268f-4534-9e80-5b3e333fa27b" ] } ], "mendeley" : { "formattedCitation" : "[36]", "plainTextFormattedCitation" : "[36]", "previouslyFormattedCitation" : "[36]" }, "properties" : { "noteIndex" : 0 }, "schema" : "https://github.com/citation-style-language/schema/raw/master/csl-citation.json" }</w:instrText>
            </w:r>
            <w:r w:rsidRPr="008B2319">
              <w:rPr>
                <w:rFonts w:eastAsia="Times New Roman" w:cs="Times New Roman"/>
                <w:sz w:val="20"/>
                <w:szCs w:val="20"/>
                <w:lang w:eastAsia="en-GB"/>
              </w:rPr>
              <w:fldChar w:fldCharType="separate"/>
            </w:r>
            <w:r w:rsidR="002F59CE" w:rsidRPr="008B2319">
              <w:rPr>
                <w:rFonts w:eastAsia="Times New Roman" w:cs="Times New Roman"/>
                <w:noProof/>
                <w:sz w:val="20"/>
                <w:szCs w:val="20"/>
                <w:lang w:eastAsia="en-GB"/>
              </w:rPr>
              <w:t>[36]</w:t>
            </w:r>
            <w:r w:rsidRPr="008B2319">
              <w:rPr>
                <w:rFonts w:eastAsia="Times New Roman" w:cs="Times New Roman"/>
                <w:sz w:val="20"/>
                <w:szCs w:val="20"/>
                <w:lang w:eastAsia="en-GB"/>
              </w:rPr>
              <w:fldChar w:fldCharType="end"/>
            </w:r>
          </w:p>
        </w:tc>
      </w:tr>
      <w:tr w:rsidR="008B2319" w:rsidRPr="008B2319" w14:paraId="7A4E1F49" w14:textId="77777777" w:rsidTr="00120123">
        <w:trPr>
          <w:trHeight w:val="182"/>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060139E" w14:textId="77777777" w:rsidR="0061069F" w:rsidRPr="008B2319" w:rsidRDefault="0061069F" w:rsidP="0061069F">
            <w:pPr>
              <w:spacing w:before="20" w:after="20" w:line="240" w:lineRule="auto"/>
              <w:rPr>
                <w:rFonts w:eastAsia="Times New Roman" w:cs="Times New Roman"/>
                <w:b w:val="0"/>
                <w:bCs w:val="0"/>
                <w:sz w:val="20"/>
                <w:szCs w:val="20"/>
                <w:lang w:eastAsia="en-GB"/>
              </w:rPr>
            </w:pPr>
          </w:p>
        </w:tc>
        <w:tc>
          <w:tcPr>
            <w:tcW w:w="2293" w:type="dxa"/>
            <w:noWrap/>
            <w:hideMark/>
          </w:tcPr>
          <w:p w14:paraId="40DD7BCD" w14:textId="77777777" w:rsidR="0061069F" w:rsidRPr="008B2319" w:rsidRDefault="0061069F" w:rsidP="0061069F">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Density of bed catalyst</w:t>
            </w:r>
          </w:p>
        </w:tc>
        <w:tc>
          <w:tcPr>
            <w:tcW w:w="1701" w:type="dxa"/>
            <w:noWrap/>
            <w:hideMark/>
          </w:tcPr>
          <w:p w14:paraId="0BE3346D"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970</w:t>
            </w:r>
          </w:p>
        </w:tc>
        <w:tc>
          <w:tcPr>
            <w:tcW w:w="1134" w:type="dxa"/>
            <w:noWrap/>
            <w:hideMark/>
          </w:tcPr>
          <w:p w14:paraId="265F01FB"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kg/m3</w:t>
            </w:r>
          </w:p>
        </w:tc>
        <w:tc>
          <w:tcPr>
            <w:tcW w:w="1083" w:type="dxa"/>
            <w:vMerge/>
          </w:tcPr>
          <w:p w14:paraId="25DBBF7F"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highlight w:val="cyan"/>
                <w:lang w:eastAsia="en-GB"/>
              </w:rPr>
            </w:pPr>
          </w:p>
        </w:tc>
      </w:tr>
      <w:tr w:rsidR="008B2319" w:rsidRPr="008B2319" w14:paraId="74430E48" w14:textId="77777777" w:rsidTr="00120123">
        <w:trPr>
          <w:trHeight w:val="207"/>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2131D8C" w14:textId="77777777" w:rsidR="0061069F" w:rsidRPr="008B2319" w:rsidRDefault="0061069F" w:rsidP="0061069F">
            <w:pPr>
              <w:spacing w:before="20" w:after="20" w:line="240" w:lineRule="auto"/>
              <w:rPr>
                <w:rFonts w:eastAsia="Times New Roman" w:cs="Times New Roman"/>
                <w:b w:val="0"/>
                <w:bCs w:val="0"/>
                <w:sz w:val="20"/>
                <w:szCs w:val="20"/>
                <w:lang w:eastAsia="en-GB"/>
              </w:rPr>
            </w:pPr>
          </w:p>
        </w:tc>
        <w:tc>
          <w:tcPr>
            <w:tcW w:w="2293" w:type="dxa"/>
            <w:noWrap/>
            <w:hideMark/>
          </w:tcPr>
          <w:p w14:paraId="5261383C" w14:textId="77777777" w:rsidR="0061069F" w:rsidRPr="008B2319" w:rsidRDefault="0061069F" w:rsidP="0061069F">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Heat capacity - Pellet</w:t>
            </w:r>
          </w:p>
        </w:tc>
        <w:tc>
          <w:tcPr>
            <w:tcW w:w="1701" w:type="dxa"/>
            <w:noWrap/>
            <w:hideMark/>
          </w:tcPr>
          <w:p w14:paraId="76B72E5C"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0.880</w:t>
            </w:r>
          </w:p>
        </w:tc>
        <w:tc>
          <w:tcPr>
            <w:tcW w:w="1134" w:type="dxa"/>
            <w:noWrap/>
            <w:hideMark/>
          </w:tcPr>
          <w:p w14:paraId="6C7A7415"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83" w:type="dxa"/>
            <w:vMerge/>
          </w:tcPr>
          <w:p w14:paraId="30C442CA"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highlight w:val="cyan"/>
                <w:lang w:eastAsia="en-GB"/>
              </w:rPr>
            </w:pPr>
          </w:p>
        </w:tc>
      </w:tr>
      <w:tr w:rsidR="008B2319" w:rsidRPr="008B2319" w14:paraId="5FA63842" w14:textId="77777777" w:rsidTr="00120123">
        <w:trPr>
          <w:trHeight w:val="173"/>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B87C443" w14:textId="77777777" w:rsidR="0061069F" w:rsidRPr="008B2319" w:rsidRDefault="0061069F" w:rsidP="0061069F">
            <w:pPr>
              <w:spacing w:before="20" w:after="20" w:line="240" w:lineRule="auto"/>
              <w:rPr>
                <w:rFonts w:eastAsia="Times New Roman" w:cs="Times New Roman"/>
                <w:b w:val="0"/>
                <w:bCs w:val="0"/>
                <w:sz w:val="20"/>
                <w:szCs w:val="20"/>
                <w:lang w:eastAsia="en-GB"/>
              </w:rPr>
            </w:pPr>
          </w:p>
        </w:tc>
        <w:tc>
          <w:tcPr>
            <w:tcW w:w="2293" w:type="dxa"/>
            <w:noWrap/>
            <w:hideMark/>
          </w:tcPr>
          <w:p w14:paraId="32810B98" w14:textId="77777777" w:rsidR="0061069F" w:rsidRPr="008B2319" w:rsidRDefault="0061069F" w:rsidP="0061069F">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Heat capacity - Gas</w:t>
            </w:r>
          </w:p>
        </w:tc>
        <w:tc>
          <w:tcPr>
            <w:tcW w:w="1701" w:type="dxa"/>
            <w:noWrap/>
            <w:hideMark/>
          </w:tcPr>
          <w:p w14:paraId="1BA6841D"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3.174</w:t>
            </w:r>
          </w:p>
        </w:tc>
        <w:tc>
          <w:tcPr>
            <w:tcW w:w="1134" w:type="dxa"/>
            <w:noWrap/>
            <w:hideMark/>
          </w:tcPr>
          <w:p w14:paraId="5E27015C"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83" w:type="dxa"/>
            <w:vMerge/>
          </w:tcPr>
          <w:p w14:paraId="196C0270"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highlight w:val="cyan"/>
                <w:lang w:eastAsia="en-GB"/>
              </w:rPr>
            </w:pPr>
          </w:p>
        </w:tc>
      </w:tr>
      <w:tr w:rsidR="008B2319" w:rsidRPr="008B2319" w14:paraId="212776AD" w14:textId="77777777" w:rsidTr="00120123">
        <w:trPr>
          <w:trHeight w:val="182"/>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6C93750" w14:textId="77777777" w:rsidR="0061069F" w:rsidRPr="008B2319" w:rsidRDefault="0061069F" w:rsidP="0061069F">
            <w:pPr>
              <w:spacing w:before="20" w:after="20" w:line="240" w:lineRule="auto"/>
              <w:rPr>
                <w:rFonts w:eastAsia="Times New Roman" w:cs="Times New Roman"/>
                <w:b w:val="0"/>
                <w:bCs w:val="0"/>
                <w:sz w:val="20"/>
                <w:szCs w:val="20"/>
                <w:lang w:eastAsia="en-GB"/>
              </w:rPr>
            </w:pPr>
          </w:p>
        </w:tc>
        <w:tc>
          <w:tcPr>
            <w:tcW w:w="2293" w:type="dxa"/>
            <w:noWrap/>
            <w:hideMark/>
          </w:tcPr>
          <w:p w14:paraId="705BAAC9" w14:textId="77777777" w:rsidR="0061069F" w:rsidRPr="008B2319" w:rsidRDefault="0061069F" w:rsidP="0061069F">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Heat capacity - fluid bed</w:t>
            </w:r>
          </w:p>
        </w:tc>
        <w:tc>
          <w:tcPr>
            <w:tcW w:w="1701" w:type="dxa"/>
            <w:noWrap/>
            <w:hideMark/>
          </w:tcPr>
          <w:p w14:paraId="07B3E01A"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1.912</w:t>
            </w:r>
          </w:p>
        </w:tc>
        <w:tc>
          <w:tcPr>
            <w:tcW w:w="1134" w:type="dxa"/>
            <w:noWrap/>
            <w:hideMark/>
          </w:tcPr>
          <w:p w14:paraId="1AA8FB52"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kJ/kg K</w:t>
            </w:r>
          </w:p>
        </w:tc>
        <w:tc>
          <w:tcPr>
            <w:tcW w:w="1083" w:type="dxa"/>
            <w:vMerge/>
          </w:tcPr>
          <w:p w14:paraId="5FBE4344"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highlight w:val="cyan"/>
                <w:lang w:eastAsia="en-GB"/>
              </w:rPr>
            </w:pPr>
          </w:p>
        </w:tc>
      </w:tr>
      <w:tr w:rsidR="008B2319" w:rsidRPr="008B2319" w14:paraId="2C7026D0" w14:textId="77777777" w:rsidTr="00120123">
        <w:trPr>
          <w:trHeight w:val="182"/>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2007EB4" w14:textId="77777777" w:rsidR="0061069F" w:rsidRPr="008B2319" w:rsidRDefault="0061069F" w:rsidP="0061069F">
            <w:pPr>
              <w:spacing w:before="20" w:after="20" w:line="240" w:lineRule="auto"/>
              <w:rPr>
                <w:rFonts w:eastAsia="Times New Roman" w:cs="Times New Roman"/>
                <w:b w:val="0"/>
                <w:bCs w:val="0"/>
                <w:sz w:val="20"/>
                <w:szCs w:val="20"/>
                <w:lang w:eastAsia="en-GB"/>
              </w:rPr>
            </w:pPr>
          </w:p>
        </w:tc>
        <w:tc>
          <w:tcPr>
            <w:tcW w:w="2293" w:type="dxa"/>
            <w:noWrap/>
            <w:hideMark/>
          </w:tcPr>
          <w:p w14:paraId="6809672D" w14:textId="77777777" w:rsidR="0061069F" w:rsidRPr="008B2319" w:rsidRDefault="0061069F" w:rsidP="0061069F">
            <w:pPr>
              <w:spacing w:before="20" w:after="2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Mass catalytic bed</w:t>
            </w:r>
          </w:p>
        </w:tc>
        <w:tc>
          <w:tcPr>
            <w:tcW w:w="1701" w:type="dxa"/>
            <w:noWrap/>
            <w:hideMark/>
          </w:tcPr>
          <w:p w14:paraId="4BC8147F"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0.853</w:t>
            </w:r>
          </w:p>
        </w:tc>
        <w:tc>
          <w:tcPr>
            <w:tcW w:w="1134" w:type="dxa"/>
            <w:noWrap/>
            <w:hideMark/>
          </w:tcPr>
          <w:p w14:paraId="55C7333D"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n-GB"/>
              </w:rPr>
            </w:pPr>
            <w:r w:rsidRPr="008B2319">
              <w:rPr>
                <w:rFonts w:eastAsia="Times New Roman" w:cs="Times New Roman"/>
                <w:sz w:val="20"/>
                <w:szCs w:val="20"/>
                <w:lang w:eastAsia="en-GB"/>
              </w:rPr>
              <w:t>kg</w:t>
            </w:r>
          </w:p>
        </w:tc>
        <w:tc>
          <w:tcPr>
            <w:tcW w:w="1083" w:type="dxa"/>
            <w:vMerge/>
          </w:tcPr>
          <w:p w14:paraId="5605829A" w14:textId="77777777" w:rsidR="0061069F" w:rsidRPr="008B2319" w:rsidRDefault="0061069F" w:rsidP="0061069F">
            <w:pPr>
              <w:spacing w:before="20" w:after="2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highlight w:val="cyan"/>
                <w:lang w:eastAsia="en-GB"/>
              </w:rPr>
            </w:pPr>
          </w:p>
        </w:tc>
      </w:tr>
    </w:tbl>
    <w:p w14:paraId="658DBD5F" w14:textId="77777777" w:rsidR="006E2828" w:rsidRPr="008B2319" w:rsidRDefault="006E2828" w:rsidP="006E2828">
      <w:pPr>
        <w:rPr>
          <w:b/>
        </w:rPr>
      </w:pPr>
    </w:p>
    <w:p w14:paraId="09A6CE1E" w14:textId="77777777" w:rsidR="006E2828" w:rsidRPr="008B2319" w:rsidRDefault="006E2828" w:rsidP="002857CC">
      <w:pPr>
        <w:pStyle w:val="Heading3"/>
        <w:ind w:left="1276"/>
        <w:rPr>
          <w:color w:val="auto"/>
          <w:sz w:val="22"/>
          <w:szCs w:val="22"/>
        </w:rPr>
      </w:pPr>
      <w:bookmarkStart w:id="9" w:name="_Toc444608475"/>
      <w:r w:rsidRPr="008B2319">
        <w:rPr>
          <w:color w:val="auto"/>
          <w:sz w:val="22"/>
          <w:szCs w:val="22"/>
        </w:rPr>
        <w:t>Equation</w:t>
      </w:r>
      <w:r w:rsidR="002857CC" w:rsidRPr="008B2319">
        <w:rPr>
          <w:color w:val="auto"/>
          <w:sz w:val="22"/>
          <w:szCs w:val="22"/>
        </w:rPr>
        <w:t>s</w:t>
      </w:r>
      <w:r w:rsidRPr="008B2319">
        <w:rPr>
          <w:color w:val="auto"/>
          <w:sz w:val="22"/>
          <w:szCs w:val="22"/>
        </w:rPr>
        <w:t xml:space="preserve"> and hypothesis</w:t>
      </w:r>
      <w:bookmarkEnd w:id="9"/>
    </w:p>
    <w:p w14:paraId="5F3DF7E3" w14:textId="77777777" w:rsidR="006E2828" w:rsidRPr="008B2319" w:rsidRDefault="006E2828" w:rsidP="008A4B05">
      <w:r w:rsidRPr="008B2319">
        <w:t xml:space="preserve">A “black box” </w:t>
      </w:r>
      <w:r w:rsidRPr="008B2319">
        <w:rPr>
          <w:noProof/>
        </w:rPr>
        <w:t>modeling</w:t>
      </w:r>
      <w:r w:rsidRPr="008B2319">
        <w:t xml:space="preserve"> technique is used</w:t>
      </w:r>
      <w:r w:rsidR="005E77D6" w:rsidRPr="008B2319">
        <w:t xml:space="preserve"> to model</w:t>
      </w:r>
      <w:r w:rsidRPr="008B2319">
        <w:t xml:space="preserve"> all</w:t>
      </w:r>
      <w:r w:rsidR="005E77D6" w:rsidRPr="008B2319">
        <w:t xml:space="preserve"> </w:t>
      </w:r>
      <w:r w:rsidR="0007251F" w:rsidRPr="008B2319">
        <w:t xml:space="preserve">the </w:t>
      </w:r>
      <w:r w:rsidR="005E77D6" w:rsidRPr="008B2319">
        <w:t>system</w:t>
      </w:r>
      <w:r w:rsidRPr="008B2319">
        <w:t xml:space="preserve"> components</w:t>
      </w:r>
      <w:r w:rsidR="00640366" w:rsidRPr="008B2319">
        <w:t xml:space="preserve">, including the </w:t>
      </w:r>
      <w:r w:rsidR="00640366" w:rsidRPr="008B2319">
        <w:rPr>
          <w:noProof/>
        </w:rPr>
        <w:t>auxiliaries</w:t>
      </w:r>
      <w:r w:rsidR="00640366" w:rsidRPr="008B2319">
        <w:t xml:space="preserve"> of the overall Balance-of-Plant. Each plant section has been </w:t>
      </w:r>
      <w:r w:rsidRPr="008B2319">
        <w:rPr>
          <w:noProof/>
        </w:rPr>
        <w:t>modeled</w:t>
      </w:r>
      <w:r w:rsidR="00640366" w:rsidRPr="008B2319">
        <w:t xml:space="preserve"> starting from information available either from on </w:t>
      </w:r>
      <w:r w:rsidR="008A4B05" w:rsidRPr="008B2319">
        <w:t xml:space="preserve">experiments </w:t>
      </w:r>
      <w:r w:rsidR="00640366" w:rsidRPr="008B2319">
        <w:t>performed</w:t>
      </w:r>
      <w:r w:rsidR="008A4B05" w:rsidRPr="008B2319">
        <w:t xml:space="preserve"> </w:t>
      </w:r>
      <w:r w:rsidR="00640366" w:rsidRPr="008B2319">
        <w:rPr>
          <w:noProof/>
        </w:rPr>
        <w:t>during the field activity</w:t>
      </w:r>
      <w:r w:rsidRPr="008B2319">
        <w:t xml:space="preserve"> or from </w:t>
      </w:r>
      <w:r w:rsidR="00640366" w:rsidRPr="008B2319">
        <w:t xml:space="preserve">the </w:t>
      </w:r>
      <w:r w:rsidRPr="008B2319">
        <w:t>manufacture</w:t>
      </w:r>
      <w:r w:rsidR="00640366" w:rsidRPr="008B2319">
        <w:t>r of the component itself</w:t>
      </w:r>
      <w:r w:rsidRPr="008B2319">
        <w:t xml:space="preserve">. For </w:t>
      </w:r>
      <w:r w:rsidR="00640366" w:rsidRPr="008B2319">
        <w:t>auxiliary</w:t>
      </w:r>
      <w:r w:rsidRPr="008B2319">
        <w:t xml:space="preserve"> components</w:t>
      </w:r>
      <w:r w:rsidR="0061069F" w:rsidRPr="008B2319">
        <w:t xml:space="preserve"> </w:t>
      </w:r>
      <w:r w:rsidR="00640366" w:rsidRPr="008B2319">
        <w:t xml:space="preserve">such as </w:t>
      </w:r>
      <w:r w:rsidR="0061069F" w:rsidRPr="008B2319">
        <w:t>heaters and heat exchangers</w:t>
      </w:r>
      <w:r w:rsidR="00640366" w:rsidRPr="008B2319">
        <w:t xml:space="preserve">, some </w:t>
      </w:r>
      <w:r w:rsidR="00640366" w:rsidRPr="008B2319">
        <w:rPr>
          <w:noProof/>
        </w:rPr>
        <w:t>simplifying</w:t>
      </w:r>
      <w:r w:rsidRPr="008B2319">
        <w:t xml:space="preserve"> assumptions were </w:t>
      </w:r>
      <w:r w:rsidR="00640366" w:rsidRPr="008B2319">
        <w:t>taken.</w:t>
      </w:r>
    </w:p>
    <w:p w14:paraId="675BB8FF" w14:textId="77777777" w:rsidR="00F656D2" w:rsidRPr="008B2319" w:rsidRDefault="006E2828" w:rsidP="008A4B05">
      <w:pPr>
        <w:rPr>
          <w:noProof/>
          <w:lang w:eastAsia="en-GB"/>
        </w:rPr>
      </w:pPr>
      <w:r w:rsidRPr="008B2319">
        <w:t xml:space="preserve">Each </w:t>
      </w:r>
      <w:r w:rsidR="0007251F" w:rsidRPr="008B2319">
        <w:t>component</w:t>
      </w:r>
      <w:r w:rsidRPr="008B2319">
        <w:t xml:space="preserve"> is </w:t>
      </w:r>
      <w:r w:rsidR="0007251F" w:rsidRPr="008B2319">
        <w:rPr>
          <w:noProof/>
        </w:rPr>
        <w:t>modeled</w:t>
      </w:r>
      <w:r w:rsidR="0007251F" w:rsidRPr="008B2319">
        <w:t xml:space="preserve"> </w:t>
      </w:r>
      <w:r w:rsidRPr="008B2319">
        <w:t xml:space="preserve">by applying </w:t>
      </w:r>
      <w:r w:rsidR="00640366" w:rsidRPr="008B2319">
        <w:t xml:space="preserve">the </w:t>
      </w:r>
      <w:r w:rsidRPr="008B2319">
        <w:t>energy conservation equation for open systems (</w:t>
      </w:r>
      <w:r w:rsidR="00640366" w:rsidRPr="008B2319">
        <w:t xml:space="preserve">given in the </w:t>
      </w:r>
      <w:r w:rsidRPr="008B2319">
        <w:t>differential form)</w:t>
      </w:r>
      <w:r w:rsidR="00640366" w:rsidRPr="008B2319">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611EAFE4" w14:textId="77777777" w:rsidTr="00DE45D1">
        <w:trPr>
          <w:jc w:val="center"/>
        </w:trPr>
        <w:tc>
          <w:tcPr>
            <w:tcW w:w="8504" w:type="dxa"/>
            <w:vAlign w:val="center"/>
          </w:tcPr>
          <w:p w14:paraId="44D5004E" w14:textId="77777777" w:rsidR="00F656D2" w:rsidRPr="008B2319" w:rsidRDefault="00825D4F" w:rsidP="00761C58">
            <w:pPr>
              <w:spacing w:before="120"/>
              <w:jc w:val="center"/>
              <w:rPr>
                <w:rFonts w:ascii="Cambria Math" w:hAnsi="Cambria Math"/>
                <w:i/>
                <w:sz w:val="18"/>
                <w:lang w:val="en-US"/>
              </w:rPr>
            </w:pPr>
            <m:oMathPara>
              <m:oMath>
                <m:d>
                  <m:dPr>
                    <m:ctrlPr>
                      <w:rPr>
                        <w:rFonts w:ascii="Cambria Math" w:hAnsi="Cambria Math"/>
                        <w:i/>
                        <w:sz w:val="18"/>
                        <w:lang w:val="en-US"/>
                      </w:rPr>
                    </m:ctrlPr>
                  </m:dPr>
                  <m:e>
                    <m:r>
                      <w:rPr>
                        <w:rFonts w:ascii="Cambria Math" w:hAnsi="Cambria Math"/>
                        <w:sz w:val="18"/>
                        <w:lang w:val="en-US"/>
                      </w:rPr>
                      <m:t>C</m:t>
                    </m:r>
                    <m:sSub>
                      <m:sSubPr>
                        <m:ctrlPr>
                          <w:rPr>
                            <w:rFonts w:ascii="Cambria Math" w:hAnsi="Cambria Math"/>
                            <w:i/>
                            <w:sz w:val="18"/>
                            <w:lang w:val="en-US"/>
                          </w:rPr>
                        </m:ctrlPr>
                      </m:sSubPr>
                      <m:e>
                        <m:r>
                          <w:rPr>
                            <w:rFonts w:ascii="Cambria Math" w:hAnsi="Cambria Math"/>
                            <w:sz w:val="18"/>
                            <w:lang w:val="en-US"/>
                          </w:rPr>
                          <m:t>p</m:t>
                        </m:r>
                      </m:e>
                      <m:sub>
                        <m:r>
                          <w:rPr>
                            <w:rFonts w:ascii="Cambria Math" w:hAnsi="Cambria Math"/>
                            <w:sz w:val="18"/>
                            <w:lang w:val="en-US"/>
                          </w:rPr>
                          <m:t>x</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ρ</m:t>
                        </m:r>
                      </m:e>
                      <m:sub>
                        <m:r>
                          <w:rPr>
                            <w:rFonts w:ascii="Cambria Math" w:hAnsi="Cambria Math"/>
                            <w:sz w:val="18"/>
                            <w:lang w:val="en-US"/>
                          </w:rPr>
                          <m:t>x</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V</m:t>
                        </m:r>
                      </m:e>
                      <m:sub>
                        <m:r>
                          <w:rPr>
                            <w:rFonts w:ascii="Cambria Math" w:hAnsi="Cambria Math"/>
                            <w:sz w:val="18"/>
                            <w:lang w:val="en-US"/>
                          </w:rPr>
                          <m:t>x</m:t>
                        </m:r>
                      </m:sub>
                    </m:sSub>
                  </m:e>
                </m:d>
                <m:r>
                  <w:rPr>
                    <w:rFonts w:ascii="Cambria Math" w:hAnsi="Cambria Math"/>
                    <w:sz w:val="18"/>
                    <w:lang w:val="en-US"/>
                  </w:rPr>
                  <m:t>∙</m:t>
                </m:r>
                <m:f>
                  <m:fPr>
                    <m:ctrlPr>
                      <w:rPr>
                        <w:rFonts w:ascii="Cambria Math" w:hAnsi="Cambria Math"/>
                        <w:i/>
                        <w:sz w:val="18"/>
                        <w:lang w:val="en-US"/>
                      </w:rPr>
                    </m:ctrlPr>
                  </m:fPr>
                  <m:num>
                    <m:r>
                      <w:rPr>
                        <w:rFonts w:ascii="Cambria Math" w:hAnsi="Cambria Math"/>
                        <w:sz w:val="18"/>
                        <w:lang w:val="en-US"/>
                      </w:rPr>
                      <m:t>d</m:t>
                    </m:r>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x</m:t>
                        </m:r>
                      </m:sub>
                      <m:sup>
                        <m:r>
                          <w:rPr>
                            <w:rFonts w:ascii="Cambria Math" w:hAnsi="Cambria Math"/>
                            <w:sz w:val="18"/>
                            <w:lang w:val="en-US"/>
                          </w:rPr>
                          <m:t>out</m:t>
                        </m:r>
                      </m:sup>
                    </m:sSubSup>
                  </m:num>
                  <m:den>
                    <m:r>
                      <w:rPr>
                        <w:rFonts w:ascii="Cambria Math" w:hAnsi="Cambria Math"/>
                        <w:sz w:val="18"/>
                        <w:lang w:val="en-US"/>
                      </w:rPr>
                      <m:t>dt</m:t>
                    </m:r>
                  </m:den>
                </m:f>
                <m:r>
                  <w:rPr>
                    <w:rFonts w:ascii="Cambria Math" w:hAnsi="Cambria Math"/>
                    <w:sz w:val="18"/>
                    <w:lang w:val="en-US"/>
                  </w:rPr>
                  <m:t xml:space="preserve">= </m:t>
                </m:r>
                <m:nary>
                  <m:naryPr>
                    <m:chr m:val="∑"/>
                    <m:limLoc m:val="undOvr"/>
                    <m:ctrlPr>
                      <w:rPr>
                        <w:rFonts w:ascii="Cambria Math" w:hAnsi="Cambria Math"/>
                        <w:i/>
                        <w:sz w:val="18"/>
                        <w:lang w:val="en-US"/>
                      </w:rPr>
                    </m:ctrlPr>
                  </m:naryPr>
                  <m:sub>
                    <m:r>
                      <w:rPr>
                        <w:rFonts w:ascii="Cambria Math" w:hAnsi="Cambria Math"/>
                        <w:sz w:val="18"/>
                        <w:lang w:val="en-US"/>
                      </w:rPr>
                      <m:t>i=1</m:t>
                    </m:r>
                  </m:sub>
                  <m:sup>
                    <m:r>
                      <w:rPr>
                        <w:rFonts w:ascii="Cambria Math" w:hAnsi="Cambria Math"/>
                        <w:sz w:val="18"/>
                        <w:lang w:val="en-US"/>
                      </w:rPr>
                      <m:t>n</m:t>
                    </m:r>
                  </m:sup>
                  <m:e>
                    <m:acc>
                      <m:accPr>
                        <m:chr m:val="̇"/>
                        <m:ctrlPr>
                          <w:rPr>
                            <w:rFonts w:ascii="Cambria Math" w:hAnsi="Cambria Math"/>
                            <w:i/>
                            <w:sz w:val="18"/>
                            <w:lang w:val="en-US"/>
                          </w:rPr>
                        </m:ctrlPr>
                      </m:accPr>
                      <m:e>
                        <m:sSub>
                          <m:sSubPr>
                            <m:ctrlPr>
                              <w:rPr>
                                <w:rFonts w:ascii="Cambria Math" w:hAnsi="Cambria Math"/>
                                <w:i/>
                                <w:sz w:val="18"/>
                                <w:lang w:val="en-US"/>
                              </w:rPr>
                            </m:ctrlPr>
                          </m:sSubPr>
                          <m:e>
                            <m:r>
                              <w:rPr>
                                <w:rFonts w:ascii="Cambria Math" w:hAnsi="Cambria Math"/>
                                <w:sz w:val="18"/>
                                <w:lang w:val="en-US"/>
                              </w:rPr>
                              <m:t>G</m:t>
                            </m:r>
                          </m:e>
                          <m:sub>
                            <m:r>
                              <w:rPr>
                                <w:rFonts w:ascii="Cambria Math" w:hAnsi="Cambria Math"/>
                                <w:sz w:val="18"/>
                                <w:lang w:val="en-US"/>
                              </w:rPr>
                              <m:t>i</m:t>
                            </m:r>
                          </m:sub>
                        </m:sSub>
                      </m:e>
                    </m:acc>
                  </m:e>
                </m:nary>
                <m:r>
                  <w:rPr>
                    <w:rFonts w:ascii="Cambria Math" w:hAnsi="Cambria Math"/>
                    <w:sz w:val="18"/>
                    <w:lang w:val="en-US"/>
                  </w:rPr>
                  <m:t>∙</m:t>
                </m:r>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h</m:t>
                        </m:r>
                      </m:e>
                      <m:sub>
                        <m:r>
                          <w:rPr>
                            <w:rFonts w:ascii="Cambria Math" w:hAnsi="Cambria Math"/>
                            <w:sz w:val="18"/>
                            <w:lang w:val="en-US"/>
                          </w:rPr>
                          <m:t>i</m:t>
                        </m:r>
                      </m:sub>
                      <m:sup>
                        <m:r>
                          <w:rPr>
                            <w:rFonts w:ascii="Cambria Math" w:hAnsi="Cambria Math"/>
                            <w:sz w:val="18"/>
                            <w:lang w:val="en-US"/>
                          </w:rPr>
                          <m:t>in</m:t>
                        </m:r>
                      </m:sup>
                    </m:sSubSup>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x</m:t>
                            </m:r>
                          </m:sub>
                          <m:sup>
                            <m:r>
                              <w:rPr>
                                <w:rFonts w:ascii="Cambria Math" w:hAnsi="Cambria Math"/>
                                <w:sz w:val="18"/>
                                <w:lang w:val="en-US"/>
                              </w:rPr>
                              <m:t>in</m:t>
                            </m:r>
                          </m:sup>
                        </m:sSubSup>
                      </m:e>
                    </m:d>
                    <m:r>
                      <w:rPr>
                        <w:rFonts w:ascii="Cambria Math" w:hAnsi="Cambria Math"/>
                        <w:sz w:val="18"/>
                        <w:lang w:val="en-US"/>
                      </w:rPr>
                      <m:t>-</m:t>
                    </m:r>
                    <m:sSubSup>
                      <m:sSubSupPr>
                        <m:ctrlPr>
                          <w:rPr>
                            <w:rFonts w:ascii="Cambria Math" w:hAnsi="Cambria Math"/>
                            <w:i/>
                            <w:sz w:val="18"/>
                            <w:lang w:val="en-US"/>
                          </w:rPr>
                        </m:ctrlPr>
                      </m:sSubSupPr>
                      <m:e>
                        <m:r>
                          <w:rPr>
                            <w:rFonts w:ascii="Cambria Math" w:hAnsi="Cambria Math"/>
                            <w:sz w:val="18"/>
                            <w:lang w:val="en-US"/>
                          </w:rPr>
                          <m:t>h</m:t>
                        </m:r>
                      </m:e>
                      <m:sub>
                        <m:r>
                          <w:rPr>
                            <w:rFonts w:ascii="Cambria Math" w:hAnsi="Cambria Math"/>
                            <w:sz w:val="18"/>
                            <w:lang w:val="en-US"/>
                          </w:rPr>
                          <m:t>i</m:t>
                        </m:r>
                      </m:sub>
                      <m:sup>
                        <m:r>
                          <w:rPr>
                            <w:rFonts w:ascii="Cambria Math" w:hAnsi="Cambria Math"/>
                            <w:sz w:val="18"/>
                            <w:lang w:val="en-US"/>
                          </w:rPr>
                          <m:t>out</m:t>
                        </m:r>
                      </m:sup>
                    </m:sSubSup>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x</m:t>
                            </m:r>
                          </m:sub>
                          <m:sup>
                            <m:r>
                              <w:rPr>
                                <w:rFonts w:ascii="Cambria Math" w:hAnsi="Cambria Math"/>
                                <w:sz w:val="18"/>
                                <w:lang w:val="en-US"/>
                              </w:rPr>
                              <m:t>out</m:t>
                            </m:r>
                          </m:sup>
                        </m:sSubSup>
                      </m:e>
                    </m:d>
                  </m:e>
                </m:d>
                <m:r>
                  <w:rPr>
                    <w:rFonts w:ascii="Cambria Math" w:hAnsi="Cambria Math"/>
                    <w:sz w:val="18"/>
                    <w:lang w:val="en-US"/>
                  </w:rPr>
                  <m:t xml:space="preserve">+ </m:t>
                </m:r>
                <m:nary>
                  <m:naryPr>
                    <m:chr m:val="∑"/>
                    <m:limLoc m:val="undOvr"/>
                    <m:ctrlPr>
                      <w:rPr>
                        <w:rFonts w:ascii="Cambria Math" w:hAnsi="Cambria Math"/>
                        <w:i/>
                        <w:sz w:val="18"/>
                        <w:lang w:val="en-US"/>
                      </w:rPr>
                    </m:ctrlPr>
                  </m:naryPr>
                  <m:sub>
                    <m:r>
                      <w:rPr>
                        <w:rFonts w:ascii="Cambria Math" w:hAnsi="Cambria Math"/>
                        <w:sz w:val="18"/>
                        <w:lang w:val="en-US"/>
                      </w:rPr>
                      <m:t>k=1</m:t>
                    </m:r>
                  </m:sub>
                  <m:sup>
                    <m:r>
                      <w:rPr>
                        <w:rFonts w:ascii="Cambria Math" w:hAnsi="Cambria Math"/>
                        <w:sz w:val="18"/>
                        <w:lang w:val="en-US"/>
                      </w:rPr>
                      <m:t>j</m:t>
                    </m:r>
                  </m:sup>
                  <m:e>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x,k</m:t>
                        </m:r>
                      </m:sub>
                    </m:sSub>
                  </m:e>
                </m:nary>
              </m:oMath>
            </m:oMathPara>
          </w:p>
        </w:tc>
        <w:tc>
          <w:tcPr>
            <w:tcW w:w="850" w:type="dxa"/>
            <w:vAlign w:val="center"/>
          </w:tcPr>
          <w:p w14:paraId="3A7978DE" w14:textId="77777777" w:rsidR="00F656D2" w:rsidRPr="008B2319" w:rsidRDefault="00F656D2" w:rsidP="00DE45D1">
            <w:pPr>
              <w:jc w:val="center"/>
              <w:rPr>
                <w:lang w:val="en-US"/>
              </w:rPr>
            </w:pPr>
            <w:r w:rsidRPr="008B2319">
              <w:rPr>
                <w:lang w:val="en-US"/>
              </w:rPr>
              <w:t>(2)</w:t>
            </w:r>
          </w:p>
        </w:tc>
      </w:tr>
    </w:tbl>
    <w:p w14:paraId="714EB676" w14:textId="77777777" w:rsidR="006E2828" w:rsidRPr="008B2319" w:rsidRDefault="00761C58" w:rsidP="006E2828">
      <w:pPr>
        <w:rPr>
          <w:rFonts w:eastAsiaTheme="minorEastAsia"/>
        </w:rPr>
      </w:pPr>
      <w:r w:rsidRPr="008B2319">
        <w:rPr>
          <w:rFonts w:eastAsiaTheme="minorEastAsia"/>
        </w:rPr>
        <w:t>w</w:t>
      </w:r>
      <w:r w:rsidR="00F656D2" w:rsidRPr="008B2319">
        <w:rPr>
          <w:rFonts w:eastAsiaTheme="minorEastAsia"/>
        </w:rPr>
        <w:t>here:</w:t>
      </w:r>
    </w:p>
    <w:p w14:paraId="73BAB7A3" w14:textId="77777777" w:rsidR="0061069F" w:rsidRPr="008B2319" w:rsidRDefault="0061069F" w:rsidP="0061069F">
      <w:pPr>
        <w:pStyle w:val="ListParagraph"/>
        <w:numPr>
          <w:ilvl w:val="0"/>
          <w:numId w:val="40"/>
        </w:numPr>
        <w:rPr>
          <w:rFonts w:eastAsiaTheme="minorEastAsia"/>
        </w:rPr>
      </w:pPr>
      <m:oMath>
        <m:r>
          <w:rPr>
            <w:rFonts w:ascii="Cambria Math" w:hAnsi="Cambria Math"/>
            <w:sz w:val="18"/>
            <w:lang w:val="en-US"/>
          </w:rPr>
          <m:t>C</m:t>
        </m:r>
        <m:sSub>
          <m:sSubPr>
            <m:ctrlPr>
              <w:rPr>
                <w:rFonts w:ascii="Cambria Math" w:hAnsi="Cambria Math"/>
                <w:i/>
                <w:sz w:val="18"/>
                <w:lang w:val="en-US"/>
              </w:rPr>
            </m:ctrlPr>
          </m:sSubPr>
          <m:e>
            <m:r>
              <w:rPr>
                <w:rFonts w:ascii="Cambria Math" w:hAnsi="Cambria Math"/>
                <w:sz w:val="18"/>
                <w:lang w:val="en-US"/>
              </w:rPr>
              <m:t>p</m:t>
            </m:r>
          </m:e>
          <m:sub>
            <m:r>
              <w:rPr>
                <w:rFonts w:ascii="Cambria Math" w:hAnsi="Cambria Math"/>
                <w:sz w:val="18"/>
                <w:lang w:val="en-US"/>
              </w:rPr>
              <m:t>x</m:t>
            </m:r>
          </m:sub>
        </m:sSub>
      </m:oMath>
      <w:r w:rsidRPr="008B2319">
        <w:rPr>
          <w:rFonts w:eastAsiaTheme="minorEastAsia"/>
        </w:rPr>
        <w:t xml:space="preserve"> is the heat capacity of </w:t>
      </w:r>
      <w:r w:rsidRPr="008B2319">
        <w:rPr>
          <w:rFonts w:eastAsiaTheme="minorEastAsia"/>
          <w:i/>
        </w:rPr>
        <w:t>x-th</w:t>
      </w:r>
      <w:r w:rsidRPr="008B2319">
        <w:rPr>
          <w:rFonts w:eastAsiaTheme="minorEastAsia"/>
        </w:rPr>
        <w:t xml:space="preserve"> component, in [kJ/kgK];</w:t>
      </w:r>
    </w:p>
    <w:p w14:paraId="5D23E246" w14:textId="77777777" w:rsidR="0061069F" w:rsidRPr="008B2319" w:rsidRDefault="00825D4F" w:rsidP="0061069F">
      <w:pPr>
        <w:pStyle w:val="ListParagraph"/>
        <w:numPr>
          <w:ilvl w:val="0"/>
          <w:numId w:val="40"/>
        </w:numPr>
        <w:rPr>
          <w:rFonts w:eastAsiaTheme="minorEastAsia"/>
        </w:rPr>
      </w:pPr>
      <m:oMath>
        <m:sSub>
          <m:sSubPr>
            <m:ctrlPr>
              <w:rPr>
                <w:rFonts w:ascii="Cambria Math" w:hAnsi="Cambria Math"/>
                <w:i/>
                <w:sz w:val="18"/>
                <w:lang w:val="en-US"/>
              </w:rPr>
            </m:ctrlPr>
          </m:sSubPr>
          <m:e>
            <m:r>
              <w:rPr>
                <w:rFonts w:ascii="Cambria Math" w:hAnsi="Cambria Math"/>
                <w:sz w:val="18"/>
                <w:lang w:val="en-US"/>
              </w:rPr>
              <m:t>ρ</m:t>
            </m:r>
          </m:e>
          <m:sub>
            <m:r>
              <w:rPr>
                <w:rFonts w:ascii="Cambria Math" w:hAnsi="Cambria Math"/>
                <w:sz w:val="18"/>
                <w:lang w:val="en-US"/>
              </w:rPr>
              <m:t>x</m:t>
            </m:r>
          </m:sub>
        </m:sSub>
      </m:oMath>
      <w:r w:rsidR="0061069F" w:rsidRPr="008B2319">
        <w:rPr>
          <w:rFonts w:eastAsiaTheme="minorEastAsia"/>
        </w:rPr>
        <w:t xml:space="preserve"> is the density of </w:t>
      </w:r>
      <w:r w:rsidR="0061069F" w:rsidRPr="008B2319">
        <w:rPr>
          <w:rFonts w:eastAsiaTheme="minorEastAsia"/>
          <w:i/>
        </w:rPr>
        <w:t>x-th</w:t>
      </w:r>
      <w:r w:rsidR="0061069F" w:rsidRPr="008B2319">
        <w:rPr>
          <w:rFonts w:eastAsiaTheme="minorEastAsia"/>
        </w:rPr>
        <w:t xml:space="preserve"> component, in [kg/m</w:t>
      </w:r>
      <w:r w:rsidR="0061069F" w:rsidRPr="008B2319">
        <w:rPr>
          <w:rFonts w:eastAsiaTheme="minorEastAsia"/>
          <w:vertAlign w:val="superscript"/>
        </w:rPr>
        <w:t>3</w:t>
      </w:r>
      <w:r w:rsidR="0061069F" w:rsidRPr="008B2319">
        <w:rPr>
          <w:rFonts w:eastAsiaTheme="minorEastAsia"/>
        </w:rPr>
        <w:t>];</w:t>
      </w:r>
    </w:p>
    <w:p w14:paraId="44AC6D39" w14:textId="77777777" w:rsidR="0061069F" w:rsidRPr="008B2319" w:rsidRDefault="00825D4F" w:rsidP="0061069F">
      <w:pPr>
        <w:pStyle w:val="ListParagraph"/>
        <w:numPr>
          <w:ilvl w:val="0"/>
          <w:numId w:val="40"/>
        </w:numPr>
        <w:rPr>
          <w:rFonts w:eastAsiaTheme="minorEastAsia"/>
          <w:sz w:val="24"/>
        </w:rPr>
      </w:pPr>
      <m:oMath>
        <m:sSub>
          <m:sSubPr>
            <m:ctrlPr>
              <w:rPr>
                <w:rFonts w:ascii="Cambria Math" w:hAnsi="Cambria Math"/>
                <w:i/>
                <w:sz w:val="18"/>
                <w:lang w:val="en-US"/>
              </w:rPr>
            </m:ctrlPr>
          </m:sSubPr>
          <m:e>
            <m:r>
              <w:rPr>
                <w:rFonts w:ascii="Cambria Math" w:hAnsi="Cambria Math"/>
                <w:sz w:val="18"/>
                <w:lang w:val="en-US"/>
              </w:rPr>
              <m:t>V</m:t>
            </m:r>
          </m:e>
          <m:sub>
            <m:r>
              <w:rPr>
                <w:rFonts w:ascii="Cambria Math" w:hAnsi="Cambria Math"/>
                <w:sz w:val="18"/>
                <w:lang w:val="en-US"/>
              </w:rPr>
              <m:t>x</m:t>
            </m:r>
          </m:sub>
        </m:sSub>
      </m:oMath>
      <w:r w:rsidR="0061069F" w:rsidRPr="008B2319">
        <w:rPr>
          <w:rFonts w:eastAsiaTheme="minorEastAsia"/>
          <w:sz w:val="18"/>
          <w:lang w:val="en-US"/>
        </w:rPr>
        <w:t xml:space="preserve"> </w:t>
      </w:r>
      <w:r w:rsidR="0061069F" w:rsidRPr="008B2319">
        <w:rPr>
          <w:rFonts w:eastAsiaTheme="minorEastAsia"/>
          <w:lang w:val="en-US"/>
        </w:rPr>
        <w:t xml:space="preserve">is the volume of </w:t>
      </w:r>
      <w:r w:rsidR="0061069F" w:rsidRPr="008B2319">
        <w:rPr>
          <w:rFonts w:eastAsiaTheme="minorEastAsia"/>
          <w:i/>
        </w:rPr>
        <w:t>x-th</w:t>
      </w:r>
      <w:r w:rsidR="0061069F" w:rsidRPr="008B2319">
        <w:rPr>
          <w:rFonts w:eastAsiaTheme="minorEastAsia"/>
        </w:rPr>
        <w:t xml:space="preserve"> component, in [m</w:t>
      </w:r>
      <w:r w:rsidR="0061069F" w:rsidRPr="008B2319">
        <w:rPr>
          <w:rFonts w:eastAsiaTheme="minorEastAsia"/>
          <w:vertAlign w:val="superscript"/>
        </w:rPr>
        <w:t>3</w:t>
      </w:r>
      <w:r w:rsidR="0061069F" w:rsidRPr="008B2319">
        <w:rPr>
          <w:rFonts w:eastAsiaTheme="minorEastAsia"/>
        </w:rPr>
        <w:t>];</w:t>
      </w:r>
    </w:p>
    <w:p w14:paraId="25E6FCB9" w14:textId="77777777" w:rsidR="0061069F" w:rsidRPr="008B2319" w:rsidRDefault="00825D4F" w:rsidP="0061069F">
      <w:pPr>
        <w:pStyle w:val="ListParagraph"/>
        <w:numPr>
          <w:ilvl w:val="0"/>
          <w:numId w:val="40"/>
        </w:numPr>
        <w:rPr>
          <w:rFonts w:eastAsiaTheme="minorEastAsia"/>
          <w:sz w:val="24"/>
        </w:rPr>
      </w:pPr>
      <m:oMath>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x</m:t>
            </m:r>
          </m:sub>
          <m:sup>
            <m:r>
              <w:rPr>
                <w:rFonts w:ascii="Cambria Math" w:hAnsi="Cambria Math"/>
                <w:sz w:val="18"/>
                <w:lang w:val="en-US"/>
              </w:rPr>
              <m:t>out</m:t>
            </m:r>
          </m:sup>
        </m:sSubSup>
      </m:oMath>
      <w:r w:rsidR="0061069F" w:rsidRPr="008B2319">
        <w:rPr>
          <w:rFonts w:eastAsiaTheme="minorEastAsia"/>
          <w:lang w:val="en-US"/>
        </w:rPr>
        <w:t xml:space="preserve">  and </w:t>
      </w:r>
      <m:oMath>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x</m:t>
            </m:r>
          </m:sub>
          <m:sup>
            <m:r>
              <w:rPr>
                <w:rFonts w:ascii="Cambria Math" w:hAnsi="Cambria Math"/>
                <w:sz w:val="18"/>
                <w:lang w:val="en-US"/>
              </w:rPr>
              <m:t>in</m:t>
            </m:r>
          </m:sup>
        </m:sSubSup>
      </m:oMath>
      <w:r w:rsidR="0061069F" w:rsidRPr="008B2319">
        <w:rPr>
          <w:rFonts w:eastAsiaTheme="minorEastAsia"/>
          <w:lang w:val="en-US"/>
        </w:rPr>
        <w:t xml:space="preserve"> are the outlet/inlet temperatures of </w:t>
      </w:r>
      <w:r w:rsidR="0061069F" w:rsidRPr="008B2319">
        <w:rPr>
          <w:rFonts w:eastAsiaTheme="minorEastAsia"/>
          <w:i/>
          <w:lang w:val="en-US"/>
        </w:rPr>
        <w:t>x-th</w:t>
      </w:r>
      <w:r w:rsidR="0061069F" w:rsidRPr="008B2319">
        <w:rPr>
          <w:rFonts w:eastAsiaTheme="minorEastAsia"/>
          <w:lang w:val="en-US"/>
        </w:rPr>
        <w:t xml:space="preserve"> component, in [K];</w:t>
      </w:r>
    </w:p>
    <w:p w14:paraId="297A16F5" w14:textId="77777777" w:rsidR="0061069F" w:rsidRPr="008B2319" w:rsidRDefault="00825D4F" w:rsidP="0061069F">
      <w:pPr>
        <w:pStyle w:val="ListParagraph"/>
        <w:numPr>
          <w:ilvl w:val="0"/>
          <w:numId w:val="40"/>
        </w:numPr>
        <w:rPr>
          <w:rFonts w:eastAsiaTheme="minorEastAsia"/>
          <w:sz w:val="24"/>
        </w:rPr>
      </w:pPr>
      <m:oMath>
        <m:sSubSup>
          <m:sSubSupPr>
            <m:ctrlPr>
              <w:rPr>
                <w:rFonts w:ascii="Cambria Math" w:hAnsi="Cambria Math"/>
                <w:i/>
                <w:lang w:val="en-US"/>
              </w:rPr>
            </m:ctrlPr>
          </m:sSubSupPr>
          <m:e>
            <m:r>
              <w:rPr>
                <w:rFonts w:ascii="Cambria Math" w:hAnsi="Cambria Math"/>
                <w:lang w:val="en-US"/>
              </w:rPr>
              <m:t>h</m:t>
            </m:r>
          </m:e>
          <m:sub>
            <m:r>
              <w:rPr>
                <w:rFonts w:ascii="Cambria Math" w:hAnsi="Cambria Math"/>
                <w:lang w:val="en-US"/>
              </w:rPr>
              <m:t>i</m:t>
            </m:r>
          </m:sub>
          <m:sup>
            <m:r>
              <w:rPr>
                <w:rFonts w:ascii="Cambria Math" w:hAnsi="Cambria Math"/>
                <w:lang w:val="en-US"/>
              </w:rPr>
              <m:t>in</m:t>
            </m:r>
          </m:sup>
        </m:sSubSup>
      </m:oMath>
      <w:r w:rsidR="0061069F" w:rsidRPr="008B2319">
        <w:rPr>
          <w:rFonts w:eastAsiaTheme="minorEastAsia"/>
          <w:lang w:val="en-US"/>
        </w:rPr>
        <w:t xml:space="preserve"> and </w:t>
      </w:r>
      <m:oMath>
        <m:sSubSup>
          <m:sSubSupPr>
            <m:ctrlPr>
              <w:rPr>
                <w:rFonts w:ascii="Cambria Math" w:hAnsi="Cambria Math"/>
                <w:i/>
                <w:sz w:val="18"/>
                <w:lang w:val="en-US"/>
              </w:rPr>
            </m:ctrlPr>
          </m:sSubSupPr>
          <m:e>
            <m:r>
              <w:rPr>
                <w:rFonts w:ascii="Cambria Math" w:hAnsi="Cambria Math"/>
                <w:sz w:val="18"/>
                <w:lang w:val="en-US"/>
              </w:rPr>
              <m:t>h</m:t>
            </m:r>
          </m:e>
          <m:sub>
            <m:r>
              <w:rPr>
                <w:rFonts w:ascii="Cambria Math" w:hAnsi="Cambria Math"/>
                <w:sz w:val="18"/>
                <w:lang w:val="en-US"/>
              </w:rPr>
              <m:t>i</m:t>
            </m:r>
          </m:sub>
          <m:sup>
            <m:r>
              <w:rPr>
                <w:rFonts w:ascii="Cambria Math" w:hAnsi="Cambria Math"/>
                <w:sz w:val="18"/>
                <w:lang w:val="en-US"/>
              </w:rPr>
              <m:t>out</m:t>
            </m:r>
          </m:sup>
        </m:sSubSup>
      </m:oMath>
      <w:r w:rsidR="0061069F" w:rsidRPr="008B2319">
        <w:rPr>
          <w:rFonts w:eastAsiaTheme="minorEastAsia"/>
          <w:sz w:val="18"/>
          <w:lang w:val="en-US"/>
        </w:rPr>
        <w:t xml:space="preserve"> </w:t>
      </w:r>
      <w:r w:rsidR="0061069F" w:rsidRPr="008B2319">
        <w:rPr>
          <w:rFonts w:eastAsiaTheme="minorEastAsia"/>
          <w:lang w:val="en-US"/>
        </w:rPr>
        <w:t xml:space="preserve">are the inlet/outlet enthalpies of </w:t>
      </w:r>
      <w:r w:rsidR="0061069F" w:rsidRPr="008B2319">
        <w:rPr>
          <w:rFonts w:eastAsiaTheme="minorEastAsia"/>
          <w:i/>
          <w:lang w:val="en-US"/>
        </w:rPr>
        <w:t xml:space="preserve">i-th </w:t>
      </w:r>
      <w:r w:rsidR="0061069F" w:rsidRPr="008B2319">
        <w:rPr>
          <w:rFonts w:eastAsiaTheme="minorEastAsia"/>
          <w:lang w:val="en-US"/>
        </w:rPr>
        <w:t>compound, in [kJ/mol];</w:t>
      </w:r>
    </w:p>
    <w:p w14:paraId="4BCF6EFF" w14:textId="77777777" w:rsidR="0061069F" w:rsidRPr="008B2319" w:rsidRDefault="00825D4F" w:rsidP="0061069F">
      <w:pPr>
        <w:pStyle w:val="ListParagraph"/>
        <w:numPr>
          <w:ilvl w:val="0"/>
          <w:numId w:val="40"/>
        </w:numPr>
        <w:rPr>
          <w:rFonts w:eastAsiaTheme="minorEastAsia"/>
          <w:sz w:val="24"/>
        </w:rPr>
      </w:pPr>
      <m:oMath>
        <m:acc>
          <m:accPr>
            <m:chr m:val="̇"/>
            <m:ctrlPr>
              <w:rPr>
                <w:rFonts w:ascii="Cambria Math" w:hAnsi="Cambria Math"/>
                <w:i/>
                <w:sz w:val="18"/>
                <w:lang w:val="en-US"/>
              </w:rPr>
            </m:ctrlPr>
          </m:accPr>
          <m:e>
            <m:sSub>
              <m:sSubPr>
                <m:ctrlPr>
                  <w:rPr>
                    <w:rFonts w:ascii="Cambria Math" w:hAnsi="Cambria Math"/>
                    <w:i/>
                    <w:sz w:val="18"/>
                    <w:lang w:val="en-US"/>
                  </w:rPr>
                </m:ctrlPr>
              </m:sSubPr>
              <m:e>
                <m:r>
                  <w:rPr>
                    <w:rFonts w:ascii="Cambria Math" w:hAnsi="Cambria Math"/>
                    <w:sz w:val="18"/>
                    <w:lang w:val="en-US"/>
                  </w:rPr>
                  <m:t>G</m:t>
                </m:r>
              </m:e>
              <m:sub>
                <m:r>
                  <w:rPr>
                    <w:rFonts w:ascii="Cambria Math" w:hAnsi="Cambria Math"/>
                    <w:sz w:val="18"/>
                    <w:lang w:val="en-US"/>
                  </w:rPr>
                  <m:t>i</m:t>
                </m:r>
              </m:sub>
            </m:sSub>
          </m:e>
        </m:acc>
      </m:oMath>
      <w:r w:rsidR="0061069F" w:rsidRPr="008B2319">
        <w:rPr>
          <w:rFonts w:eastAsiaTheme="minorEastAsia"/>
          <w:sz w:val="18"/>
          <w:lang w:val="en-US"/>
        </w:rPr>
        <w:t xml:space="preserve"> </w:t>
      </w:r>
      <w:r w:rsidR="0061069F" w:rsidRPr="008B2319">
        <w:rPr>
          <w:rFonts w:eastAsiaTheme="minorEastAsia"/>
          <w:lang w:val="en-US"/>
        </w:rPr>
        <w:t xml:space="preserve"> is mass flow rate of </w:t>
      </w:r>
      <w:r w:rsidR="0061069F" w:rsidRPr="008B2319">
        <w:rPr>
          <w:rFonts w:eastAsiaTheme="minorEastAsia"/>
          <w:i/>
          <w:lang w:val="en-US"/>
        </w:rPr>
        <w:t xml:space="preserve">i-th </w:t>
      </w:r>
      <w:r w:rsidR="0061069F" w:rsidRPr="008B2319">
        <w:rPr>
          <w:rFonts w:eastAsiaTheme="minorEastAsia"/>
          <w:lang w:val="en-US"/>
        </w:rPr>
        <w:t>compound, in [mol/s];</w:t>
      </w:r>
    </w:p>
    <w:p w14:paraId="6FE21D1A" w14:textId="77777777" w:rsidR="0061069F" w:rsidRPr="008B2319" w:rsidRDefault="00825D4F" w:rsidP="0061069F">
      <w:pPr>
        <w:pStyle w:val="ListParagraph"/>
        <w:numPr>
          <w:ilvl w:val="0"/>
          <w:numId w:val="40"/>
        </w:numPr>
        <w:rPr>
          <w:rFonts w:eastAsiaTheme="minorEastAsia"/>
          <w:sz w:val="24"/>
        </w:rPr>
      </w:pPr>
      <m:oMath>
        <m:sSub>
          <m:sSubPr>
            <m:ctrlPr>
              <w:rPr>
                <w:rFonts w:ascii="Cambria Math" w:hAnsi="Cambria Math"/>
                <w:i/>
                <w:lang w:val="en-US"/>
              </w:rPr>
            </m:ctrlPr>
          </m:sSubPr>
          <m:e>
            <m:r>
              <m:rPr>
                <m:sty m:val="p"/>
              </m:rPr>
              <w:rPr>
                <w:rFonts w:ascii="Cambria Math" w:hAnsi="Cambria Math"/>
                <w:lang w:val="en-US"/>
              </w:rPr>
              <m:t>Φ</m:t>
            </m:r>
          </m:e>
          <m:sub>
            <m:r>
              <w:rPr>
                <w:rFonts w:ascii="Cambria Math" w:hAnsi="Cambria Math"/>
                <w:lang w:val="en-US"/>
              </w:rPr>
              <m:t>x.k</m:t>
            </m:r>
          </m:sub>
        </m:sSub>
      </m:oMath>
      <w:r w:rsidR="0061069F" w:rsidRPr="008B2319">
        <w:rPr>
          <w:rFonts w:eastAsiaTheme="minorEastAsia"/>
          <w:lang w:val="en-US"/>
        </w:rPr>
        <w:t xml:space="preserve"> is the incoming/leaving heat flux of </w:t>
      </w:r>
      <w:r w:rsidR="0061069F" w:rsidRPr="008B2319">
        <w:rPr>
          <w:rFonts w:eastAsiaTheme="minorEastAsia"/>
          <w:i/>
          <w:lang w:val="en-US"/>
        </w:rPr>
        <w:t xml:space="preserve">x-th </w:t>
      </w:r>
      <w:r w:rsidR="0061069F" w:rsidRPr="008B2319">
        <w:rPr>
          <w:rFonts w:eastAsiaTheme="minorEastAsia"/>
          <w:lang w:val="en-US"/>
        </w:rPr>
        <w:t>component, in [kW].</w:t>
      </w:r>
    </w:p>
    <w:p w14:paraId="508360EF" w14:textId="77777777" w:rsidR="0062154B" w:rsidRPr="008B2319" w:rsidRDefault="0007251F" w:rsidP="006E2828">
      <w:r w:rsidRPr="008B2319">
        <w:t>T</w:t>
      </w:r>
      <w:r w:rsidR="00640366" w:rsidRPr="008B2319">
        <w:t xml:space="preserve">he integrated reformer SOFC stack model </w:t>
      </w:r>
      <w:r w:rsidR="00640366" w:rsidRPr="008B2319">
        <w:rPr>
          <w:noProof/>
        </w:rPr>
        <w:t>include</w:t>
      </w:r>
      <w:r w:rsidR="00640366" w:rsidRPr="008B2319">
        <w:t xml:space="preserve"> </w:t>
      </w:r>
      <w:r w:rsidR="0061069F" w:rsidRPr="008B2319">
        <w:t xml:space="preserve">a dedicated chemical </w:t>
      </w:r>
      <w:r w:rsidRPr="008B2319">
        <w:t xml:space="preserve">and electrochemical </w:t>
      </w:r>
      <w:r w:rsidR="0061069F" w:rsidRPr="008B2319">
        <w:t>model.</w:t>
      </w:r>
      <w:r w:rsidRPr="008B2319">
        <w:t xml:space="preserve"> </w:t>
      </w:r>
      <w:r w:rsidR="006E2828" w:rsidRPr="008B2319">
        <w:t xml:space="preserve">In the </w:t>
      </w:r>
      <w:r w:rsidR="00761C58" w:rsidRPr="008B2319">
        <w:t xml:space="preserve">reformer </w:t>
      </w:r>
      <w:r w:rsidR="006E2828" w:rsidRPr="008B2319">
        <w:t xml:space="preserve">section, </w:t>
      </w:r>
      <w:r w:rsidR="00640366" w:rsidRPr="008B2319">
        <w:t>both</w:t>
      </w:r>
      <w:r w:rsidR="006E2828" w:rsidRPr="008B2319">
        <w:t xml:space="preserve"> SMR and WGS occur. </w:t>
      </w:r>
    </w:p>
    <w:p w14:paraId="5B2A9FA4" w14:textId="77777777" w:rsidR="006E2828" w:rsidRPr="008B2319" w:rsidRDefault="006E2828" w:rsidP="006E2828">
      <w:r w:rsidRPr="008B2319">
        <w:t xml:space="preserve">The calculation </w:t>
      </w:r>
      <w:r w:rsidR="0062154B" w:rsidRPr="008B2319">
        <w:t>procedure for the reformer</w:t>
      </w:r>
      <w:r w:rsidRPr="008B2319">
        <w:t xml:space="preserve"> is the following:</w:t>
      </w:r>
    </w:p>
    <w:p w14:paraId="0D3B4939" w14:textId="4C2042E6" w:rsidR="006E2828" w:rsidRPr="008B2319" w:rsidRDefault="0062154B" w:rsidP="006E2828">
      <w:pPr>
        <w:pStyle w:val="ListParagraph"/>
        <w:numPr>
          <w:ilvl w:val="0"/>
          <w:numId w:val="10"/>
        </w:numPr>
      </w:pPr>
      <w:r w:rsidRPr="008B2319">
        <w:t>given</w:t>
      </w:r>
      <w:r w:rsidR="006E2828" w:rsidRPr="008B2319">
        <w:t xml:space="preserve"> the reformer core temperature, the equilibrium constants are evaluated according </w:t>
      </w:r>
      <w:r w:rsidR="00761C58" w:rsidRPr="008B2319">
        <w:t>to</w:t>
      </w:r>
      <w:r w:rsidR="006E2828" w:rsidRPr="008B2319">
        <w:t xml:space="preserve"> </w:t>
      </w:r>
      <w:r w:rsidR="006E2828" w:rsidRPr="008B2319">
        <w:fldChar w:fldCharType="begin" w:fldLock="1"/>
      </w:r>
      <w:r w:rsidR="008A464B" w:rsidRPr="008B2319">
        <w:instrText>ADDIN CSL_CITATION { "citationItems" : [ { "id" : "ITEM-1", "itemData" : { "author" : [ { "dropping-particle" : "", "family" : "A.F. Massardo", "given" : "F. Lubelli", "non-dropping-particle" : "", "parse-names" : false, "suffix" : "" } ], "container-title" : "Journal of Engineering for Gas Turbines and Power", "id" : "ITEM-1", "issued" : { "date-parts" : [ [ "2000" ] ] }, "title" : "Internal Reforming Solid Oxide Fuel Cell- Gas Turbine Combined Cycles (IRSOFC-GT): PartA\u2014Cell Model and Cycle Thermodynamic Analysis", "type" : "article-journal", "volume" : "vol. 122/2" }, "uris" : [ "http://www.mendeley.com/documents/?uuid=ee20324e-048b-465d-9004-4ff03096213f", "http://www.mendeley.com/documents/?uuid=1228b554-3357-41c2-b91a-73099c5d8e4c", "http://www.mendeley.com/documents/?uuid=f6d57302-47fe-4f7e-91ed-d5405e9e70c5" ] } ], "mendeley" : { "formattedCitation" : "[35]", "plainTextFormattedCitation" : "[35]", "previouslyFormattedCitation" : "[35]" }, "properties" : { "noteIndex" : 0 }, "schema" : "https://github.com/citation-style-language/schema/raw/master/csl-citation.json" }</w:instrText>
      </w:r>
      <w:r w:rsidR="006E2828" w:rsidRPr="008B2319">
        <w:fldChar w:fldCharType="separate"/>
      </w:r>
      <w:r w:rsidR="002F59CE" w:rsidRPr="008B2319">
        <w:rPr>
          <w:noProof/>
        </w:rPr>
        <w:t>[35]</w:t>
      </w:r>
      <w:r w:rsidR="006E2828" w:rsidRPr="008B2319">
        <w:fldChar w:fldCharType="end"/>
      </w:r>
      <w:r w:rsidR="006E2828" w:rsidRPr="008B2319">
        <w:t>;</w:t>
      </w:r>
    </w:p>
    <w:p w14:paraId="3674BFBD" w14:textId="77777777" w:rsidR="0062154B" w:rsidRPr="008B2319" w:rsidRDefault="0062154B" w:rsidP="006E2828">
      <w:pPr>
        <w:pStyle w:val="ListParagraph"/>
        <w:numPr>
          <w:ilvl w:val="0"/>
          <w:numId w:val="10"/>
        </w:numPr>
      </w:pPr>
      <w:r w:rsidRPr="008B2319">
        <w:t>given current density and fuel utilization of the stack and biogas composition, the inlet biogas flow rate is calculated;</w:t>
      </w:r>
    </w:p>
    <w:p w14:paraId="37EC79B2" w14:textId="77777777" w:rsidR="006E2828" w:rsidRPr="008B2319" w:rsidRDefault="0062154B" w:rsidP="006E2828">
      <w:pPr>
        <w:pStyle w:val="ListParagraph"/>
        <w:numPr>
          <w:ilvl w:val="0"/>
          <w:numId w:val="10"/>
        </w:numPr>
      </w:pPr>
      <w:r w:rsidRPr="008B2319">
        <w:t>given</w:t>
      </w:r>
      <w:r w:rsidR="006E2828" w:rsidRPr="008B2319">
        <w:t xml:space="preserve"> the</w:t>
      </w:r>
      <w:r w:rsidRPr="008B2319">
        <w:t xml:space="preserve"> biogas (and steam) inlet molar flow and the</w:t>
      </w:r>
      <w:r w:rsidR="006E2828" w:rsidRPr="008B2319">
        <w:t xml:space="preserve"> equilibrium</w:t>
      </w:r>
      <w:r w:rsidRPr="008B2319">
        <w:t xml:space="preserve"> constants for reforming reactions, the reactions products are calculated by the</w:t>
      </w:r>
      <w:r w:rsidR="006E2828" w:rsidRPr="008B2319">
        <w:t xml:space="preserve"> equation solver;</w:t>
      </w:r>
      <w:r w:rsidR="0007251F" w:rsidRPr="008B2319">
        <w:t xml:space="preserve"> </w:t>
      </w:r>
    </w:p>
    <w:p w14:paraId="060578CF" w14:textId="77777777" w:rsidR="006E2828" w:rsidRPr="008B2319" w:rsidRDefault="00761C58" w:rsidP="006E2828">
      <w:pPr>
        <w:pStyle w:val="ListParagraph"/>
        <w:numPr>
          <w:ilvl w:val="0"/>
          <w:numId w:val="10"/>
        </w:numPr>
      </w:pPr>
      <w:r w:rsidRPr="008B2319">
        <w:t>t</w:t>
      </w:r>
      <w:r w:rsidR="006E2828" w:rsidRPr="008B2319">
        <w:t xml:space="preserve">he endothermic and exothermic heat of SMR and WGS reactions are evaluated in order to </w:t>
      </w:r>
      <w:r w:rsidR="0062154B" w:rsidRPr="008B2319">
        <w:t>evaluate</w:t>
      </w:r>
      <w:r w:rsidR="006E2828" w:rsidRPr="008B2319">
        <w:t xml:space="preserve"> the thermal balance of the reformer component;</w:t>
      </w:r>
    </w:p>
    <w:p w14:paraId="1AF85A32" w14:textId="77777777" w:rsidR="006E2828" w:rsidRPr="008B2319" w:rsidRDefault="00761C58" w:rsidP="006E2828">
      <w:pPr>
        <w:pStyle w:val="ListParagraph"/>
        <w:numPr>
          <w:ilvl w:val="0"/>
          <w:numId w:val="10"/>
        </w:numPr>
      </w:pPr>
      <w:r w:rsidRPr="008B2319">
        <w:lastRenderedPageBreak/>
        <w:t>t</w:t>
      </w:r>
      <w:r w:rsidR="006E2828" w:rsidRPr="008B2319">
        <w:t xml:space="preserve">he gross power required for the SMR is regulated </w:t>
      </w:r>
      <w:r w:rsidR="00094ACE" w:rsidRPr="008B2319">
        <w:rPr>
          <w:noProof/>
        </w:rPr>
        <w:t>by</w:t>
      </w:r>
      <w:r w:rsidR="006E2828" w:rsidRPr="008B2319">
        <w:t xml:space="preserve"> an external PID controller, introduced to keep the reformer at the constant temperature of 800°C.</w:t>
      </w:r>
    </w:p>
    <w:p w14:paraId="44A8DE18" w14:textId="77777777" w:rsidR="006E2828" w:rsidRPr="008B2319" w:rsidRDefault="006E2828" w:rsidP="006E2828">
      <w:pPr>
        <w:rPr>
          <w:rFonts w:ascii="Arial" w:hAnsi="Arial" w:cs="Arial"/>
          <w:sz w:val="23"/>
          <w:szCs w:val="23"/>
        </w:rPr>
      </w:pPr>
      <w:r w:rsidRPr="008B2319">
        <w:rPr>
          <w:sz w:val="23"/>
          <w:szCs w:val="23"/>
        </w:rPr>
        <w:t xml:space="preserve">The reformer </w:t>
      </w:r>
      <w:r w:rsidR="001F163E" w:rsidRPr="008B2319">
        <w:rPr>
          <w:sz w:val="23"/>
          <w:szCs w:val="23"/>
        </w:rPr>
        <w:t xml:space="preserve">dynamic </w:t>
      </w:r>
      <w:r w:rsidRPr="008B2319">
        <w:rPr>
          <w:sz w:val="23"/>
          <w:szCs w:val="23"/>
        </w:rPr>
        <w:t xml:space="preserve">thermal </w:t>
      </w:r>
      <w:r w:rsidRPr="008B2319">
        <w:rPr>
          <w:noProof/>
          <w:sz w:val="23"/>
          <w:szCs w:val="23"/>
        </w:rPr>
        <w:t>behavior</w:t>
      </w:r>
      <w:r w:rsidRPr="008B2319">
        <w:rPr>
          <w:sz w:val="23"/>
          <w:szCs w:val="23"/>
        </w:rPr>
        <w:t xml:space="preserve"> is </w:t>
      </w:r>
      <w:r w:rsidR="001F163E" w:rsidRPr="008B2319">
        <w:rPr>
          <w:sz w:val="23"/>
          <w:szCs w:val="23"/>
        </w:rPr>
        <w:t>finally</w:t>
      </w:r>
      <w:r w:rsidRPr="008B2319">
        <w:rPr>
          <w:sz w:val="23"/>
          <w:szCs w:val="23"/>
        </w:rPr>
        <w:t xml:space="preserve"> </w:t>
      </w:r>
      <w:r w:rsidRPr="008B2319">
        <w:rPr>
          <w:noProof/>
          <w:sz w:val="23"/>
          <w:szCs w:val="23"/>
        </w:rPr>
        <w:t>modeled</w:t>
      </w:r>
      <w:r w:rsidRPr="008B2319">
        <w:rPr>
          <w:sz w:val="23"/>
          <w:szCs w:val="23"/>
        </w:rPr>
        <w:t xml:space="preserve"> by applying the energy conservation equation for open systems</w:t>
      </w:r>
      <w:r w:rsidRPr="008B2319">
        <w:rPr>
          <w:rFonts w:ascii="Arial" w:hAnsi="Arial" w:cs="Arial"/>
          <w:sz w:val="23"/>
          <w:szCs w:val="23"/>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7B6E9ECC" w14:textId="77777777" w:rsidTr="00DE45D1">
        <w:trPr>
          <w:jc w:val="center"/>
        </w:trPr>
        <w:tc>
          <w:tcPr>
            <w:tcW w:w="8504" w:type="dxa"/>
            <w:vAlign w:val="center"/>
          </w:tcPr>
          <w:p w14:paraId="1D5D25D3" w14:textId="77777777" w:rsidR="00DE45D1" w:rsidRPr="008B2319" w:rsidRDefault="00825D4F" w:rsidP="005D1209">
            <w:pPr>
              <w:spacing w:before="120"/>
              <w:jc w:val="center"/>
              <w:rPr>
                <w:rFonts w:asciiTheme="minorHAnsi" w:eastAsiaTheme="minorEastAsia" w:hAnsiTheme="minorHAnsi"/>
              </w:rPr>
            </w:pPr>
            <m:oMathPara>
              <m:oMath>
                <m:d>
                  <m:dPr>
                    <m:ctrlPr>
                      <w:rPr>
                        <w:rFonts w:ascii="Cambria Math" w:hAnsi="Cambria Math"/>
                        <w:i/>
                        <w:sz w:val="18"/>
                        <w:lang w:val="en-US"/>
                      </w:rPr>
                    </m:ctrlPr>
                  </m:dPr>
                  <m:e>
                    <m:sSub>
                      <m:sSubPr>
                        <m:ctrlPr>
                          <w:rPr>
                            <w:rFonts w:ascii="Cambria Math" w:hAnsi="Cambria Math"/>
                            <w:i/>
                            <w:sz w:val="18"/>
                            <w:lang w:val="en-US"/>
                          </w:rPr>
                        </m:ctrlPr>
                      </m:sSubPr>
                      <m:e>
                        <m:r>
                          <w:rPr>
                            <w:rFonts w:ascii="Cambria Math" w:hAnsi="Cambria Math"/>
                            <w:sz w:val="18"/>
                            <w:lang w:val="en-US"/>
                          </w:rPr>
                          <m:t>C</m:t>
                        </m:r>
                      </m:e>
                      <m:sub>
                        <m:sSub>
                          <m:sSubPr>
                            <m:ctrlPr>
                              <w:rPr>
                                <w:rFonts w:ascii="Cambria Math" w:hAnsi="Cambria Math"/>
                                <w:i/>
                                <w:sz w:val="18"/>
                                <w:lang w:val="en-US"/>
                              </w:rPr>
                            </m:ctrlPr>
                          </m:sSubPr>
                          <m:e>
                            <m:r>
                              <w:rPr>
                                <w:rFonts w:ascii="Cambria Math" w:hAnsi="Cambria Math"/>
                                <w:sz w:val="18"/>
                                <w:lang w:val="en-US"/>
                              </w:rPr>
                              <m:t>p</m:t>
                            </m:r>
                          </m:e>
                          <m:sub>
                            <m:r>
                              <w:rPr>
                                <w:rFonts w:ascii="Cambria Math" w:hAnsi="Cambria Math"/>
                                <w:sz w:val="18"/>
                                <w:lang w:val="en-US"/>
                              </w:rPr>
                              <m:t>ref</m:t>
                            </m:r>
                          </m:sub>
                        </m:sSub>
                      </m:sub>
                    </m:sSub>
                    <m:r>
                      <w:rPr>
                        <w:rFonts w:ascii="Cambria Math" w:eastAsiaTheme="minorEastAsia" w:hAnsi="Cambria Math"/>
                        <w:sz w:val="18"/>
                        <w:lang w:val="en-US"/>
                      </w:rPr>
                      <m:t>∙</m:t>
                    </m:r>
                    <m:sSub>
                      <m:sSubPr>
                        <m:ctrlPr>
                          <w:rPr>
                            <w:rFonts w:ascii="Cambria Math" w:hAnsi="Cambria Math"/>
                            <w:i/>
                            <w:sz w:val="18"/>
                            <w:lang w:val="en-US"/>
                          </w:rPr>
                        </m:ctrlPr>
                      </m:sSubPr>
                      <m:e>
                        <m:r>
                          <w:rPr>
                            <w:rFonts w:ascii="Cambria Math" w:hAnsi="Cambria Math"/>
                            <w:sz w:val="18"/>
                            <w:lang w:val="en-US"/>
                          </w:rPr>
                          <m:t>M</m:t>
                        </m:r>
                      </m:e>
                      <m:sub>
                        <m:r>
                          <w:rPr>
                            <w:rFonts w:ascii="Cambria Math" w:hAnsi="Cambria Math"/>
                            <w:sz w:val="18"/>
                            <w:lang w:val="en-US"/>
                          </w:rPr>
                          <m:t>ref</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C</m:t>
                        </m:r>
                      </m:e>
                      <m:sub>
                        <m:r>
                          <w:rPr>
                            <w:rFonts w:ascii="Cambria Math" w:hAnsi="Cambria Math"/>
                            <w:sz w:val="18"/>
                            <w:lang w:val="en-US"/>
                          </w:rPr>
                          <m:t>p_cat</m:t>
                        </m:r>
                      </m:sub>
                    </m:sSub>
                    <m:r>
                      <w:rPr>
                        <w:rFonts w:ascii="Cambria Math" w:eastAsiaTheme="minorEastAsia" w:hAnsi="Cambria Math"/>
                        <w:sz w:val="18"/>
                        <w:lang w:val="en-US"/>
                      </w:rPr>
                      <m:t>∙</m:t>
                    </m:r>
                    <m:sSub>
                      <m:sSubPr>
                        <m:ctrlPr>
                          <w:rPr>
                            <w:rFonts w:ascii="Cambria Math" w:hAnsi="Cambria Math"/>
                            <w:i/>
                            <w:sz w:val="18"/>
                            <w:lang w:val="en-US"/>
                          </w:rPr>
                        </m:ctrlPr>
                      </m:sSubPr>
                      <m:e>
                        <m:r>
                          <w:rPr>
                            <w:rFonts w:ascii="Cambria Math" w:hAnsi="Cambria Math"/>
                            <w:sz w:val="18"/>
                            <w:lang w:val="en-US"/>
                          </w:rPr>
                          <m:t>M</m:t>
                        </m:r>
                      </m:e>
                      <m:sub>
                        <m:r>
                          <w:rPr>
                            <w:rFonts w:ascii="Cambria Math" w:hAnsi="Cambria Math"/>
                            <w:sz w:val="18"/>
                            <w:lang w:val="en-US"/>
                          </w:rPr>
                          <m:t>cat</m:t>
                        </m:r>
                      </m:sub>
                    </m:sSub>
                  </m:e>
                </m:d>
                <m:r>
                  <w:rPr>
                    <w:rFonts w:ascii="Cambria Math" w:eastAsiaTheme="minorEastAsia" w:hAnsi="Cambria Math"/>
                    <w:sz w:val="18"/>
                    <w:lang w:val="en-US"/>
                  </w:rPr>
                  <m:t>∙</m:t>
                </m:r>
                <m:f>
                  <m:fPr>
                    <m:ctrlPr>
                      <w:rPr>
                        <w:rFonts w:ascii="Cambria Math" w:hAnsi="Cambria Math"/>
                        <w:i/>
                        <w:sz w:val="18"/>
                        <w:lang w:val="en-US"/>
                      </w:rPr>
                    </m:ctrlPr>
                  </m:fPr>
                  <m:num>
                    <m:r>
                      <w:rPr>
                        <w:rFonts w:ascii="Cambria Math" w:hAnsi="Cambria Math"/>
                        <w:sz w:val="18"/>
                        <w:lang w:val="en-US"/>
                      </w:rPr>
                      <m:t>d</m:t>
                    </m:r>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num>
                  <m:den>
                    <m:r>
                      <w:rPr>
                        <w:rFonts w:ascii="Cambria Math" w:hAnsi="Cambria Math"/>
                        <w:sz w:val="18"/>
                        <w:lang w:val="en-US"/>
                      </w:rPr>
                      <m:t>dt</m:t>
                    </m:r>
                  </m:den>
                </m:f>
                <m:r>
                  <w:rPr>
                    <w:rFonts w:ascii="Cambria Math" w:hAnsi="Cambria Math"/>
                    <w:sz w:val="18"/>
                    <w:lang w:val="en-US"/>
                  </w:rPr>
                  <m:t>=</m:t>
                </m:r>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in</m:t>
                    </m:r>
                  </m:sub>
                  <m:sup>
                    <m:r>
                      <w:rPr>
                        <w:rFonts w:ascii="Cambria Math" w:hAnsi="Cambria Math"/>
                        <w:sz w:val="18"/>
                        <w:lang w:val="en-US"/>
                      </w:rPr>
                      <m:t>ref</m:t>
                    </m:r>
                  </m:sup>
                </m:sSubSup>
                <m:r>
                  <w:rPr>
                    <w:rFonts w:ascii="Cambria Math" w:hAnsi="Cambria Math"/>
                    <w:sz w:val="18"/>
                    <w:lang w:val="en-US"/>
                  </w:rPr>
                  <m:t>+</m:t>
                </m:r>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out</m:t>
                    </m:r>
                  </m:sub>
                  <m:sup>
                    <m:r>
                      <w:rPr>
                        <w:rFonts w:ascii="Cambria Math" w:hAnsi="Cambria Math"/>
                        <w:sz w:val="18"/>
                        <w:lang w:val="en-US"/>
                      </w:rPr>
                      <m:t>ref</m:t>
                    </m:r>
                  </m:sup>
                </m:sSubSup>
                <m:r>
                  <w:rPr>
                    <w:rFonts w:ascii="Cambria Math" w:hAnsi="Cambria Math"/>
                    <w:sz w:val="18"/>
                    <w:lang w:val="en-US"/>
                  </w:rPr>
                  <m:t>-</m:t>
                </m:r>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WGS</m:t>
                    </m:r>
                  </m:sub>
                </m:sSub>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e>
                </m:d>
                <m:r>
                  <w:rPr>
                    <w:rFonts w:ascii="Cambria Math" w:hAnsi="Cambria Math"/>
                    <w:sz w:val="18"/>
                    <w:lang w:val="en-US"/>
                  </w:rPr>
                  <m:t>-</m:t>
                </m:r>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SMR</m:t>
                    </m:r>
                  </m:sub>
                </m:sSub>
                <m:r>
                  <w:rPr>
                    <w:rFonts w:ascii="Cambria Math" w:hAnsi="Cambria Math"/>
                    <w:sz w:val="18"/>
                    <w:lang w:val="en-US"/>
                  </w:rPr>
                  <m:t>(</m:t>
                </m:r>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r>
                  <w:rPr>
                    <w:rFonts w:ascii="Cambria Math" w:hAnsi="Cambria Math"/>
                    <w:sz w:val="18"/>
                    <w:lang w:val="en-US"/>
                  </w:rPr>
                  <m:t>)+</m:t>
                </m:r>
                <m:sSub>
                  <m:sSubPr>
                    <m:ctrlPr>
                      <w:rPr>
                        <w:rFonts w:ascii="Cambria Math" w:eastAsiaTheme="minorEastAsia" w:hAnsi="Cambria Math"/>
                        <w:i/>
                        <w:sz w:val="18"/>
                        <w:lang w:val="en-US"/>
                      </w:rPr>
                    </m:ctrlPr>
                  </m:sSubPr>
                  <m:e>
                    <m:r>
                      <m:rPr>
                        <m:sty m:val="p"/>
                      </m:rPr>
                      <w:rPr>
                        <w:rFonts w:ascii="Cambria Math" w:hAnsi="Cambria Math"/>
                        <w:sz w:val="18"/>
                        <w:lang w:val="en-US"/>
                      </w:rPr>
                      <m:t>Φ</m:t>
                    </m:r>
                  </m:e>
                  <m:sub>
                    <m:r>
                      <w:rPr>
                        <w:rFonts w:ascii="Cambria Math" w:eastAsiaTheme="minorEastAsia" w:hAnsi="Cambria Math"/>
                        <w:sz w:val="18"/>
                        <w:lang w:val="en-US"/>
                      </w:rPr>
                      <m:t>H2</m:t>
                    </m:r>
                  </m:sub>
                </m:sSub>
              </m:oMath>
            </m:oMathPara>
          </w:p>
        </w:tc>
        <w:tc>
          <w:tcPr>
            <w:tcW w:w="850" w:type="dxa"/>
            <w:vAlign w:val="center"/>
          </w:tcPr>
          <w:p w14:paraId="1980C0BC" w14:textId="77777777" w:rsidR="00DE45D1" w:rsidRPr="008B2319" w:rsidRDefault="00DE45D1" w:rsidP="00DE45D1">
            <w:pPr>
              <w:jc w:val="center"/>
            </w:pPr>
            <w:r w:rsidRPr="008B2319">
              <w:t>(3)</w:t>
            </w:r>
          </w:p>
        </w:tc>
      </w:tr>
    </w:tbl>
    <w:p w14:paraId="5DCEE248" w14:textId="77777777" w:rsidR="0061069F" w:rsidRPr="008B2319" w:rsidRDefault="0061069F" w:rsidP="0061069F">
      <w:pPr>
        <w:rPr>
          <w:lang w:val="en-US"/>
        </w:rPr>
      </w:pPr>
      <w:r w:rsidRPr="008B2319">
        <w:rPr>
          <w:lang w:val="en-US"/>
        </w:rPr>
        <w:t xml:space="preserve">where </w:t>
      </w:r>
      <m:oMath>
        <m:sSub>
          <m:sSubPr>
            <m:ctrlPr>
              <w:rPr>
                <w:rFonts w:ascii="Cambria Math" w:hAnsi="Cambria Math"/>
                <w:i/>
                <w:sz w:val="18"/>
                <w:lang w:val="en-US"/>
              </w:rPr>
            </m:ctrlPr>
          </m:sSubPr>
          <m:e>
            <m:r>
              <w:rPr>
                <w:rFonts w:ascii="Cambria Math" w:hAnsi="Cambria Math"/>
                <w:sz w:val="18"/>
                <w:lang w:val="en-US"/>
              </w:rPr>
              <m:t>C</m:t>
            </m:r>
          </m:e>
          <m:sub>
            <m:sSub>
              <m:sSubPr>
                <m:ctrlPr>
                  <w:rPr>
                    <w:rFonts w:ascii="Cambria Math" w:hAnsi="Cambria Math"/>
                    <w:i/>
                    <w:sz w:val="18"/>
                    <w:lang w:val="en-US"/>
                  </w:rPr>
                </m:ctrlPr>
              </m:sSubPr>
              <m:e>
                <m:r>
                  <w:rPr>
                    <w:rFonts w:ascii="Cambria Math" w:hAnsi="Cambria Math"/>
                    <w:sz w:val="18"/>
                    <w:lang w:val="en-US"/>
                  </w:rPr>
                  <m:t>p</m:t>
                </m:r>
              </m:e>
              <m:sub>
                <m:r>
                  <w:rPr>
                    <w:rFonts w:ascii="Cambria Math" w:hAnsi="Cambria Math"/>
                    <w:sz w:val="18"/>
                    <w:lang w:val="en-US"/>
                  </w:rPr>
                  <m:t>ref</m:t>
                </m:r>
              </m:sub>
            </m:sSub>
          </m:sub>
        </m:sSub>
        <m:r>
          <w:rPr>
            <w:rFonts w:ascii="Cambria Math" w:eastAsiaTheme="minorEastAsia" w:hAnsi="Cambria Math"/>
            <w:sz w:val="18"/>
            <w:lang w:val="en-US"/>
          </w:rPr>
          <m:t xml:space="preserve">, </m:t>
        </m:r>
        <m:sSub>
          <m:sSubPr>
            <m:ctrlPr>
              <w:rPr>
                <w:rFonts w:ascii="Cambria Math" w:hAnsi="Cambria Math"/>
                <w:i/>
                <w:sz w:val="18"/>
                <w:lang w:val="en-US"/>
              </w:rPr>
            </m:ctrlPr>
          </m:sSubPr>
          <m:e>
            <m:r>
              <w:rPr>
                <w:rFonts w:ascii="Cambria Math" w:hAnsi="Cambria Math"/>
                <w:sz w:val="18"/>
                <w:lang w:val="en-US"/>
              </w:rPr>
              <m:t xml:space="preserve"> M</m:t>
            </m:r>
          </m:e>
          <m:sub>
            <m:r>
              <w:rPr>
                <w:rFonts w:ascii="Cambria Math" w:hAnsi="Cambria Math"/>
                <w:sz w:val="18"/>
                <w:lang w:val="en-US"/>
              </w:rPr>
              <m:t>ref</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C</m:t>
            </m:r>
          </m:e>
          <m:sub>
            <m:r>
              <w:rPr>
                <w:rFonts w:ascii="Cambria Math" w:hAnsi="Cambria Math"/>
                <w:sz w:val="18"/>
                <w:lang w:val="en-US"/>
              </w:rPr>
              <m:t>p_cat</m:t>
            </m:r>
          </m:sub>
        </m:sSub>
        <m:r>
          <w:rPr>
            <w:rFonts w:ascii="Cambria Math" w:eastAsiaTheme="minorEastAsia" w:hAnsi="Cambria Math"/>
            <w:sz w:val="18"/>
            <w:lang w:val="en-US"/>
          </w:rPr>
          <m:t xml:space="preserve">, </m:t>
        </m:r>
        <m:sSub>
          <m:sSubPr>
            <m:ctrlPr>
              <w:rPr>
                <w:rFonts w:ascii="Cambria Math" w:hAnsi="Cambria Math"/>
                <w:i/>
                <w:sz w:val="18"/>
                <w:lang w:val="en-US"/>
              </w:rPr>
            </m:ctrlPr>
          </m:sSubPr>
          <m:e>
            <m:r>
              <w:rPr>
                <w:rFonts w:ascii="Cambria Math" w:hAnsi="Cambria Math"/>
                <w:sz w:val="18"/>
                <w:lang w:val="en-US"/>
              </w:rPr>
              <m:t>M</m:t>
            </m:r>
          </m:e>
          <m:sub>
            <m:r>
              <w:rPr>
                <w:rFonts w:ascii="Cambria Math" w:hAnsi="Cambria Math"/>
                <w:sz w:val="18"/>
                <w:lang w:val="en-US"/>
              </w:rPr>
              <m:t>cat</m:t>
            </m:r>
          </m:sub>
        </m:sSub>
        <m:r>
          <w:rPr>
            <w:rFonts w:ascii="Cambria Math" w:hAnsi="Cambria Math"/>
            <w:sz w:val="18"/>
            <w:lang w:val="en-US"/>
          </w:rPr>
          <m:t xml:space="preserve"> </m:t>
        </m:r>
      </m:oMath>
      <w:r w:rsidRPr="008B2319">
        <w:rPr>
          <w:lang w:val="en-US"/>
        </w:rPr>
        <w:t>indicate the mass and heat capacity of the reformer and the catalyst contained therein;</w:t>
      </w:r>
      <m:oMath>
        <m:r>
          <w:rPr>
            <w:rFonts w:ascii="Cambria Math" w:eastAsiaTheme="minorEastAsia" w:hAnsi="Cambria Math"/>
            <w:sz w:val="18"/>
            <w:lang w:val="en-US"/>
          </w:rPr>
          <m:t xml:space="preserve"> </m:t>
        </m:r>
        <m:sSub>
          <m:sSubPr>
            <m:ctrlPr>
              <w:rPr>
                <w:rFonts w:ascii="Cambria Math" w:eastAsiaTheme="minorEastAsia" w:hAnsi="Cambria Math"/>
                <w:i/>
                <w:sz w:val="18"/>
                <w:lang w:val="en-US"/>
              </w:rPr>
            </m:ctrlPr>
          </m:sSubPr>
          <m:e>
            <m:r>
              <m:rPr>
                <m:sty m:val="p"/>
              </m:rPr>
              <w:rPr>
                <w:rFonts w:ascii="Cambria Math" w:hAnsi="Cambria Math"/>
                <w:sz w:val="18"/>
                <w:lang w:val="en-US"/>
              </w:rPr>
              <m:t>Φ</m:t>
            </m:r>
          </m:e>
          <m:sub>
            <m:r>
              <w:rPr>
                <w:rFonts w:ascii="Cambria Math" w:eastAsiaTheme="minorEastAsia" w:hAnsi="Cambria Math"/>
                <w:sz w:val="18"/>
                <w:lang w:val="en-US"/>
              </w:rPr>
              <m:t>H2</m:t>
            </m:r>
          </m:sub>
        </m:sSub>
      </m:oMath>
      <w:r w:rsidRPr="008B2319">
        <w:rPr>
          <w:rFonts w:eastAsiaTheme="minorEastAsia"/>
          <w:sz w:val="18"/>
          <w:lang w:val="en-US"/>
        </w:rPr>
        <w:t xml:space="preserve"> </w:t>
      </w:r>
      <w:r w:rsidRPr="008B2319">
        <w:rPr>
          <w:lang w:val="en-US"/>
        </w:rPr>
        <w:t xml:space="preserve">is the power supplied by </w:t>
      </w:r>
      <w:r w:rsidR="005E77D6" w:rsidRPr="008B2319">
        <w:rPr>
          <w:lang w:val="en-US"/>
        </w:rPr>
        <w:t xml:space="preserve">the </w:t>
      </w:r>
      <w:r w:rsidRPr="008B2319">
        <w:rPr>
          <w:lang w:val="en-US"/>
        </w:rPr>
        <w:t>electrical heater</w:t>
      </w:r>
      <w:r w:rsidR="001F163E" w:rsidRPr="008B2319">
        <w:rPr>
          <w:lang w:val="en-US"/>
        </w:rPr>
        <w:t xml:space="preserve"> to the anode stream</w:t>
      </w:r>
      <w:r w:rsidRPr="008B2319">
        <w:rPr>
          <w:rFonts w:eastAsiaTheme="minorEastAsia"/>
          <w:sz w:val="18"/>
          <w:lang w:val="en-US"/>
        </w:rPr>
        <w:t xml:space="preserve">; </w:t>
      </w:r>
      <m:oMath>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WGS</m:t>
            </m:r>
          </m:sub>
        </m:sSub>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e>
        </m:d>
        <m:r>
          <w:rPr>
            <w:rFonts w:ascii="Cambria Math" w:hAnsi="Cambria Math"/>
            <w:sz w:val="18"/>
            <w:lang w:val="en-US"/>
          </w:rPr>
          <m:t xml:space="preserve"> and </m:t>
        </m:r>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SMR</m:t>
            </m:r>
          </m:sub>
        </m:sSub>
        <m:r>
          <w:rPr>
            <w:rFonts w:ascii="Cambria Math" w:hAnsi="Cambria Math"/>
            <w:sz w:val="18"/>
            <w:lang w:val="en-US"/>
          </w:rPr>
          <m:t>(</m:t>
        </m:r>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r>
          <w:rPr>
            <w:rFonts w:ascii="Cambria Math" w:hAnsi="Cambria Math"/>
            <w:sz w:val="18"/>
            <w:lang w:val="en-US"/>
          </w:rPr>
          <m:t>)</m:t>
        </m:r>
      </m:oMath>
      <w:r w:rsidRPr="008B2319">
        <w:rPr>
          <w:lang w:val="en-US"/>
        </w:rPr>
        <w:t xml:space="preserve"> </w:t>
      </w:r>
      <w:r w:rsidRPr="008B2319">
        <w:rPr>
          <w:rFonts w:eastAsiaTheme="minorEastAsia"/>
          <w:lang w:val="en-US"/>
        </w:rPr>
        <w:t xml:space="preserve">represent the energy fluxes produced/absorbed at reformer temperature; </w:t>
      </w:r>
      <m:oMath>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in</m:t>
            </m:r>
          </m:sub>
          <m:sup>
            <m:r>
              <w:rPr>
                <w:rFonts w:ascii="Cambria Math" w:hAnsi="Cambria Math"/>
                <w:sz w:val="18"/>
                <w:lang w:val="en-US"/>
              </w:rPr>
              <m:t>ref</m:t>
            </m:r>
          </m:sup>
        </m:sSubSup>
        <m:r>
          <w:rPr>
            <w:rFonts w:ascii="Cambria Math" w:hAnsi="Cambria Math"/>
            <w:sz w:val="18"/>
            <w:lang w:val="en-US"/>
          </w:rPr>
          <m:t xml:space="preserve">and </m:t>
        </m:r>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out</m:t>
            </m:r>
          </m:sub>
          <m:sup>
            <m:r>
              <w:rPr>
                <w:rFonts w:ascii="Cambria Math" w:hAnsi="Cambria Math"/>
                <w:sz w:val="18"/>
                <w:lang w:val="en-US"/>
              </w:rPr>
              <m:t>ref</m:t>
            </m:r>
          </m:sup>
        </m:sSubSup>
      </m:oMath>
      <w:r w:rsidRPr="008B2319">
        <w:rPr>
          <w:sz w:val="18"/>
          <w:lang w:val="en-US"/>
        </w:rPr>
        <w:t xml:space="preserve"> </w:t>
      </w:r>
      <w:r w:rsidRPr="008B2319">
        <w:rPr>
          <w:lang w:val="en-US"/>
        </w:rPr>
        <w:t xml:space="preserve">are the energy fluxes due to the mass flux inlet/outlet from the reformer;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6BC8E370" w14:textId="77777777" w:rsidTr="00DE45D1">
        <w:trPr>
          <w:jc w:val="center"/>
        </w:trPr>
        <w:tc>
          <w:tcPr>
            <w:tcW w:w="8504" w:type="dxa"/>
            <w:shd w:val="clear" w:color="auto" w:fill="auto"/>
            <w:vAlign w:val="center"/>
          </w:tcPr>
          <w:p w14:paraId="64CBCCD4" w14:textId="77777777" w:rsidR="00DE45D1" w:rsidRPr="008B2319" w:rsidRDefault="00825D4F" w:rsidP="00DE45D1">
            <w:pPr>
              <w:spacing w:before="120"/>
              <w:jc w:val="center"/>
              <w:rPr>
                <w:rFonts w:ascii="Cambria Math" w:hAnsi="Cambria Math"/>
                <w:i/>
                <w:sz w:val="18"/>
                <w:lang w:val="en-US"/>
              </w:rPr>
            </w:pPr>
            <m:oMathPara>
              <m:oMath>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in</m:t>
                    </m:r>
                  </m:sub>
                  <m:sup>
                    <m:r>
                      <w:rPr>
                        <w:rFonts w:ascii="Cambria Math" w:hAnsi="Cambria Math"/>
                        <w:sz w:val="18"/>
                        <w:lang w:val="en-US"/>
                      </w:rPr>
                      <m:t>ref</m:t>
                    </m:r>
                  </m:sup>
                </m:sSubSup>
                <m:r>
                  <w:rPr>
                    <w:rFonts w:ascii="Cambria Math" w:hAnsi="Cambria Math"/>
                    <w:sz w:val="18"/>
                    <w:lang w:val="en-US"/>
                  </w:rPr>
                  <m:t>=</m:t>
                </m:r>
                <m:sSubSup>
                  <m:sSubSupPr>
                    <m:ctrlPr>
                      <w:rPr>
                        <w:rFonts w:ascii="Cambria Math" w:hAnsi="Cambria Math"/>
                        <w:i/>
                        <w:sz w:val="18"/>
                        <w:lang w:val="en-US"/>
                      </w:rPr>
                    </m:ctrlPr>
                  </m:sSubSupPr>
                  <m:e>
                    <m:acc>
                      <m:accPr>
                        <m:chr m:val="̇"/>
                        <m:ctrlPr>
                          <w:rPr>
                            <w:rFonts w:ascii="Cambria Math" w:hAnsi="Cambria Math"/>
                            <w:i/>
                            <w:sz w:val="18"/>
                            <w:lang w:val="en-US"/>
                          </w:rPr>
                        </m:ctrlPr>
                      </m:accPr>
                      <m:e>
                        <m:r>
                          <w:rPr>
                            <w:rFonts w:ascii="Cambria Math" w:hAnsi="Cambria Math"/>
                            <w:sz w:val="18"/>
                            <w:lang w:val="en-US"/>
                          </w:rPr>
                          <m:t>G</m:t>
                        </m:r>
                      </m:e>
                    </m:acc>
                  </m:e>
                  <m:sub>
                    <m:r>
                      <w:rPr>
                        <w:rFonts w:ascii="Cambria Math" w:hAnsi="Cambria Math"/>
                        <w:sz w:val="18"/>
                        <w:lang w:val="en-US"/>
                      </w:rPr>
                      <m:t>in</m:t>
                    </m:r>
                  </m:sub>
                  <m:sup>
                    <m:r>
                      <w:rPr>
                        <w:rFonts w:ascii="Cambria Math" w:hAnsi="Cambria Math"/>
                        <w:sz w:val="18"/>
                        <w:lang w:val="en-US"/>
                      </w:rPr>
                      <m:t>ref</m:t>
                    </m:r>
                  </m:sup>
                </m:sSubSup>
                <m:r>
                  <w:rPr>
                    <w:rFonts w:ascii="Cambria Math" w:hAnsi="Cambria Math"/>
                    <w:sz w:val="18"/>
                    <w:lang w:val="en-US"/>
                  </w:rPr>
                  <m:t>∙</m:t>
                </m:r>
                <m:nary>
                  <m:naryPr>
                    <m:chr m:val="∑"/>
                    <m:limLoc m:val="undOvr"/>
                    <m:ctrlPr>
                      <w:rPr>
                        <w:rFonts w:ascii="Cambria Math" w:hAnsi="Cambria Math"/>
                        <w:i/>
                        <w:sz w:val="18"/>
                        <w:lang w:val="en-US"/>
                      </w:rPr>
                    </m:ctrlPr>
                  </m:naryPr>
                  <m:sub>
                    <m:r>
                      <w:rPr>
                        <w:rFonts w:ascii="Cambria Math" w:hAnsi="Cambria Math"/>
                        <w:sz w:val="18"/>
                        <w:lang w:val="en-US"/>
                      </w:rPr>
                      <m:t>i=1</m:t>
                    </m:r>
                  </m:sub>
                  <m:sup>
                    <m:r>
                      <w:rPr>
                        <w:rFonts w:ascii="Cambria Math" w:hAnsi="Cambria Math"/>
                        <w:sz w:val="18"/>
                        <w:lang w:val="en-US"/>
                      </w:rPr>
                      <m:t>5</m:t>
                    </m:r>
                  </m:sup>
                  <m:e>
                    <m:sSubSup>
                      <m:sSubSupPr>
                        <m:ctrlPr>
                          <w:rPr>
                            <w:rFonts w:ascii="Cambria Math" w:hAnsi="Cambria Math"/>
                            <w:i/>
                            <w:sz w:val="18"/>
                            <w:lang w:val="en-US"/>
                          </w:rPr>
                        </m:ctrlPr>
                      </m:sSubSupPr>
                      <m:e>
                        <m:r>
                          <w:rPr>
                            <w:rFonts w:ascii="Cambria Math" w:hAnsi="Cambria Math"/>
                            <w:sz w:val="18"/>
                            <w:lang w:val="en-US"/>
                          </w:rPr>
                          <m:t>y</m:t>
                        </m:r>
                      </m:e>
                      <m:sub>
                        <m:r>
                          <w:rPr>
                            <w:rFonts w:ascii="Cambria Math" w:hAnsi="Cambria Math"/>
                            <w:sz w:val="18"/>
                            <w:lang w:val="en-US"/>
                          </w:rPr>
                          <m:t>i</m:t>
                        </m:r>
                      </m:sub>
                      <m:sup>
                        <m:r>
                          <w:rPr>
                            <w:rFonts w:ascii="Cambria Math" w:hAnsi="Cambria Math"/>
                            <w:sz w:val="18"/>
                            <w:lang w:val="en-US"/>
                          </w:rPr>
                          <m:t>ref,in</m:t>
                        </m:r>
                      </m:sup>
                    </m:sSubSup>
                    <m:r>
                      <w:rPr>
                        <w:rFonts w:ascii="Cambria Math" w:hAnsi="Cambria Math"/>
                        <w:sz w:val="18"/>
                        <w:lang w:val="en-US"/>
                      </w:rPr>
                      <m:t>∙</m:t>
                    </m:r>
                  </m:e>
                </m:nary>
                <m:sSubSup>
                  <m:sSubSupPr>
                    <m:ctrlPr>
                      <w:rPr>
                        <w:rFonts w:ascii="Cambria Math" w:hAnsi="Cambria Math"/>
                        <w:i/>
                        <w:sz w:val="18"/>
                        <w:lang w:val="en-US"/>
                      </w:rPr>
                    </m:ctrlPr>
                  </m:sSubSupPr>
                  <m:e>
                    <m:r>
                      <w:rPr>
                        <w:rFonts w:ascii="Cambria Math" w:hAnsi="Cambria Math"/>
                        <w:sz w:val="18"/>
                        <w:lang w:val="en-US"/>
                      </w:rPr>
                      <m:t>h</m:t>
                    </m:r>
                  </m:e>
                  <m:sub>
                    <m:r>
                      <w:rPr>
                        <w:rFonts w:ascii="Cambria Math" w:hAnsi="Cambria Math"/>
                        <w:sz w:val="18"/>
                        <w:lang w:val="en-US"/>
                      </w:rPr>
                      <m:t>i</m:t>
                    </m:r>
                  </m:sub>
                  <m:sup>
                    <m:r>
                      <w:rPr>
                        <w:rFonts w:ascii="Cambria Math" w:hAnsi="Cambria Math"/>
                        <w:sz w:val="18"/>
                        <w:lang w:val="en-US"/>
                      </w:rPr>
                      <m:t>ref,ion</m:t>
                    </m:r>
                  </m:sup>
                </m:sSubSup>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eva</m:t>
                        </m:r>
                      </m:sub>
                      <m:sup>
                        <m:r>
                          <w:rPr>
                            <w:rFonts w:ascii="Cambria Math" w:hAnsi="Cambria Math"/>
                            <w:sz w:val="18"/>
                            <w:lang w:val="en-US"/>
                          </w:rPr>
                          <m:t>out</m:t>
                        </m:r>
                      </m:sup>
                    </m:sSubSup>
                  </m:e>
                </m:d>
                <m:r>
                  <w:rPr>
                    <w:rFonts w:ascii="Cambria Math" w:hAnsi="Cambria Math"/>
                    <w:sz w:val="18"/>
                    <w:lang w:val="en-US"/>
                  </w:rPr>
                  <m:t xml:space="preserve">    i=</m:t>
                </m:r>
                <m:d>
                  <m:dPr>
                    <m:begChr m:val="{"/>
                    <m:endChr m:val="}"/>
                    <m:ctrlPr>
                      <w:rPr>
                        <w:rFonts w:ascii="Cambria Math" w:hAnsi="Cambria Math"/>
                        <w:i/>
                        <w:sz w:val="18"/>
                        <w:lang w:val="en-US"/>
                      </w:rPr>
                    </m:ctrlPr>
                  </m:dPr>
                  <m:e>
                    <m:r>
                      <w:rPr>
                        <w:rFonts w:ascii="Cambria Math" w:hAnsi="Cambria Math"/>
                        <w:sz w:val="18"/>
                        <w:lang w:val="en-US"/>
                      </w:rPr>
                      <m:t>C</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4</m:t>
                        </m:r>
                      </m:sub>
                    </m:sSub>
                    <m:r>
                      <w:rPr>
                        <w:rFonts w:ascii="Cambria Math" w:hAnsi="Cambria Math"/>
                        <w:sz w:val="18"/>
                        <w:lang w:val="en-US"/>
                      </w:rPr>
                      <m:t>,CO,C</m:t>
                    </m:r>
                    <m:sSub>
                      <m:sSubPr>
                        <m:ctrlPr>
                          <w:rPr>
                            <w:rFonts w:ascii="Cambria Math" w:hAnsi="Cambria Math"/>
                            <w:i/>
                            <w:sz w:val="18"/>
                            <w:lang w:val="en-US"/>
                          </w:rPr>
                        </m:ctrlPr>
                      </m:sSubPr>
                      <m:e>
                        <m:r>
                          <w:rPr>
                            <w:rFonts w:ascii="Cambria Math" w:hAnsi="Cambria Math"/>
                            <w:sz w:val="18"/>
                            <w:lang w:val="en-US"/>
                          </w:rPr>
                          <m:t>O</m:t>
                        </m:r>
                      </m:e>
                      <m:sub>
                        <m:r>
                          <w:rPr>
                            <w:rFonts w:ascii="Cambria Math" w:hAnsi="Cambria Math"/>
                            <w:sz w:val="18"/>
                            <w:lang w:val="en-US"/>
                          </w:rPr>
                          <m:t>2</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2</m:t>
                        </m:r>
                      </m:sub>
                    </m:sSub>
                    <m:r>
                      <w:rPr>
                        <w:rFonts w:ascii="Cambria Math" w:hAnsi="Cambria Math"/>
                        <w:sz w:val="18"/>
                        <w:lang w:val="en-US"/>
                      </w:rPr>
                      <m:t>O,</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2</m:t>
                        </m:r>
                      </m:sub>
                    </m:sSub>
                  </m:e>
                </m:d>
              </m:oMath>
            </m:oMathPara>
          </w:p>
        </w:tc>
        <w:tc>
          <w:tcPr>
            <w:tcW w:w="850" w:type="dxa"/>
            <w:shd w:val="clear" w:color="auto" w:fill="auto"/>
            <w:vAlign w:val="center"/>
          </w:tcPr>
          <w:p w14:paraId="797DD7B3" w14:textId="77777777" w:rsidR="00DE45D1" w:rsidRPr="008B2319" w:rsidRDefault="00DE45D1" w:rsidP="00DE45D1">
            <w:pPr>
              <w:jc w:val="center"/>
              <w:rPr>
                <w:rFonts w:ascii="Cambria Math" w:hAnsi="Cambria Math"/>
                <w:i/>
                <w:sz w:val="18"/>
                <w:lang w:val="en-US"/>
              </w:rPr>
            </w:pPr>
            <w:r w:rsidRPr="008B2319">
              <w:t>(4)</w:t>
            </w:r>
          </w:p>
        </w:tc>
      </w:tr>
      <w:tr w:rsidR="008B2319" w:rsidRPr="008B2319" w14:paraId="1D352751" w14:textId="77777777" w:rsidTr="00DE45D1">
        <w:trPr>
          <w:jc w:val="center"/>
        </w:trPr>
        <w:tc>
          <w:tcPr>
            <w:tcW w:w="8504" w:type="dxa"/>
            <w:shd w:val="clear" w:color="auto" w:fill="auto"/>
            <w:vAlign w:val="center"/>
          </w:tcPr>
          <w:p w14:paraId="14CA31CE" w14:textId="77777777" w:rsidR="00DE45D1" w:rsidRPr="008B2319" w:rsidRDefault="00825D4F" w:rsidP="00DE45D1">
            <w:pPr>
              <w:spacing w:before="120"/>
              <w:jc w:val="center"/>
              <w:rPr>
                <w:rFonts w:ascii="Cambria Math" w:hAnsi="Cambria Math"/>
                <w:i/>
                <w:sz w:val="18"/>
                <w:lang w:val="en-US"/>
              </w:rPr>
            </w:pPr>
            <m:oMathPara>
              <m:oMath>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out</m:t>
                    </m:r>
                  </m:sub>
                  <m:sup>
                    <m:r>
                      <w:rPr>
                        <w:rFonts w:ascii="Cambria Math" w:hAnsi="Cambria Math"/>
                        <w:sz w:val="18"/>
                        <w:lang w:val="en-US"/>
                      </w:rPr>
                      <m:t>ref</m:t>
                    </m:r>
                  </m:sup>
                </m:sSubSup>
                <m:r>
                  <w:rPr>
                    <w:rFonts w:ascii="Cambria Math" w:hAnsi="Cambria Math"/>
                    <w:sz w:val="18"/>
                    <w:lang w:val="en-US"/>
                  </w:rPr>
                  <m:t>=</m:t>
                </m:r>
                <m:sSubSup>
                  <m:sSubSupPr>
                    <m:ctrlPr>
                      <w:rPr>
                        <w:rFonts w:ascii="Cambria Math" w:hAnsi="Cambria Math"/>
                        <w:i/>
                        <w:sz w:val="18"/>
                        <w:lang w:val="en-US"/>
                      </w:rPr>
                    </m:ctrlPr>
                  </m:sSubSupPr>
                  <m:e>
                    <m:acc>
                      <m:accPr>
                        <m:chr m:val="̇"/>
                        <m:ctrlPr>
                          <w:rPr>
                            <w:rFonts w:ascii="Cambria Math" w:hAnsi="Cambria Math"/>
                            <w:i/>
                            <w:sz w:val="18"/>
                            <w:lang w:val="en-US"/>
                          </w:rPr>
                        </m:ctrlPr>
                      </m:accPr>
                      <m:e>
                        <m:r>
                          <w:rPr>
                            <w:rFonts w:ascii="Cambria Math" w:hAnsi="Cambria Math"/>
                            <w:sz w:val="18"/>
                            <w:lang w:val="en-US"/>
                          </w:rPr>
                          <m:t>G</m:t>
                        </m:r>
                      </m:e>
                    </m:acc>
                  </m:e>
                  <m:sub>
                    <m:r>
                      <w:rPr>
                        <w:rFonts w:ascii="Cambria Math" w:hAnsi="Cambria Math"/>
                        <w:sz w:val="18"/>
                        <w:lang w:val="en-US"/>
                      </w:rPr>
                      <m:t>out</m:t>
                    </m:r>
                  </m:sub>
                  <m:sup>
                    <m:r>
                      <w:rPr>
                        <w:rFonts w:ascii="Cambria Math" w:hAnsi="Cambria Math"/>
                        <w:sz w:val="18"/>
                        <w:lang w:val="en-US"/>
                      </w:rPr>
                      <m:t>ref</m:t>
                    </m:r>
                  </m:sup>
                </m:sSubSup>
                <m:r>
                  <w:rPr>
                    <w:rFonts w:ascii="Cambria Math" w:hAnsi="Cambria Math"/>
                    <w:sz w:val="18"/>
                    <w:lang w:val="en-US"/>
                  </w:rPr>
                  <m:t>∙</m:t>
                </m:r>
                <m:nary>
                  <m:naryPr>
                    <m:chr m:val="∑"/>
                    <m:limLoc m:val="undOvr"/>
                    <m:ctrlPr>
                      <w:rPr>
                        <w:rFonts w:ascii="Cambria Math" w:hAnsi="Cambria Math"/>
                        <w:i/>
                        <w:sz w:val="18"/>
                        <w:lang w:val="en-US"/>
                      </w:rPr>
                    </m:ctrlPr>
                  </m:naryPr>
                  <m:sub>
                    <m:r>
                      <w:rPr>
                        <w:rFonts w:ascii="Cambria Math" w:hAnsi="Cambria Math"/>
                        <w:sz w:val="18"/>
                        <w:lang w:val="en-US"/>
                      </w:rPr>
                      <m:t>i=1</m:t>
                    </m:r>
                  </m:sub>
                  <m:sup>
                    <m:r>
                      <w:rPr>
                        <w:rFonts w:ascii="Cambria Math" w:hAnsi="Cambria Math"/>
                        <w:sz w:val="18"/>
                        <w:lang w:val="en-US"/>
                      </w:rPr>
                      <m:t>5</m:t>
                    </m:r>
                  </m:sup>
                  <m:e>
                    <m:sSubSup>
                      <m:sSubSupPr>
                        <m:ctrlPr>
                          <w:rPr>
                            <w:rFonts w:ascii="Cambria Math" w:hAnsi="Cambria Math"/>
                            <w:i/>
                            <w:sz w:val="18"/>
                            <w:lang w:val="en-US"/>
                          </w:rPr>
                        </m:ctrlPr>
                      </m:sSubSupPr>
                      <m:e>
                        <m:r>
                          <w:rPr>
                            <w:rFonts w:ascii="Cambria Math" w:hAnsi="Cambria Math"/>
                            <w:sz w:val="18"/>
                            <w:lang w:val="en-US"/>
                          </w:rPr>
                          <m:t>y</m:t>
                        </m:r>
                      </m:e>
                      <m:sub>
                        <m:r>
                          <w:rPr>
                            <w:rFonts w:ascii="Cambria Math" w:hAnsi="Cambria Math"/>
                            <w:sz w:val="18"/>
                            <w:lang w:val="en-US"/>
                          </w:rPr>
                          <m:t>i</m:t>
                        </m:r>
                      </m:sub>
                      <m:sup>
                        <m:r>
                          <w:rPr>
                            <w:rFonts w:ascii="Cambria Math" w:hAnsi="Cambria Math"/>
                            <w:sz w:val="18"/>
                            <w:lang w:val="en-US"/>
                          </w:rPr>
                          <m:t>ref,out</m:t>
                        </m:r>
                      </m:sup>
                    </m:sSubSup>
                    <m:r>
                      <w:rPr>
                        <w:rFonts w:ascii="Cambria Math" w:hAnsi="Cambria Math"/>
                        <w:sz w:val="18"/>
                        <w:lang w:val="en-US"/>
                      </w:rPr>
                      <m:t>∙</m:t>
                    </m:r>
                  </m:e>
                </m:nary>
                <m:sSubSup>
                  <m:sSubSupPr>
                    <m:ctrlPr>
                      <w:rPr>
                        <w:rFonts w:ascii="Cambria Math" w:hAnsi="Cambria Math"/>
                        <w:i/>
                        <w:sz w:val="18"/>
                        <w:lang w:val="en-US"/>
                      </w:rPr>
                    </m:ctrlPr>
                  </m:sSubSupPr>
                  <m:e>
                    <m:r>
                      <w:rPr>
                        <w:rFonts w:ascii="Cambria Math" w:hAnsi="Cambria Math"/>
                        <w:sz w:val="18"/>
                        <w:lang w:val="en-US"/>
                      </w:rPr>
                      <m:t>h</m:t>
                    </m:r>
                  </m:e>
                  <m:sub>
                    <m:r>
                      <w:rPr>
                        <w:rFonts w:ascii="Cambria Math" w:hAnsi="Cambria Math"/>
                        <w:sz w:val="18"/>
                        <w:lang w:val="en-US"/>
                      </w:rPr>
                      <m:t>i</m:t>
                    </m:r>
                  </m:sub>
                  <m:sup>
                    <m:r>
                      <w:rPr>
                        <w:rFonts w:ascii="Cambria Math" w:hAnsi="Cambria Math"/>
                        <w:sz w:val="18"/>
                        <w:lang w:val="en-US"/>
                      </w:rPr>
                      <m:t>ref,out</m:t>
                    </m:r>
                  </m:sup>
                </m:sSubSup>
                <m:d>
                  <m:dPr>
                    <m:ctrlPr>
                      <w:rPr>
                        <w:rFonts w:ascii="Cambria Math" w:hAnsi="Cambria Math"/>
                        <w:i/>
                        <w:sz w:val="18"/>
                        <w:lang w:val="en-US"/>
                      </w:rPr>
                    </m:ctrlPr>
                  </m:dPr>
                  <m:e>
                    <m:sSubSup>
                      <m:sSubSupPr>
                        <m:ctrlPr>
                          <w:rPr>
                            <w:rFonts w:ascii="Cambria Math" w:hAnsi="Cambria Math"/>
                            <w:i/>
                            <w:sz w:val="18"/>
                            <w:lang w:val="en-US"/>
                          </w:rPr>
                        </m:ctrlPr>
                      </m:sSubSupPr>
                      <m:e>
                        <m:r>
                          <w:rPr>
                            <w:rFonts w:ascii="Cambria Math" w:hAnsi="Cambria Math"/>
                            <w:sz w:val="18"/>
                            <w:lang w:val="en-US"/>
                          </w:rPr>
                          <m:t>T</m:t>
                        </m:r>
                      </m:e>
                      <m:sub>
                        <m:r>
                          <w:rPr>
                            <w:rFonts w:ascii="Cambria Math" w:hAnsi="Cambria Math"/>
                            <w:sz w:val="18"/>
                            <w:lang w:val="en-US"/>
                          </w:rPr>
                          <m:t>ref</m:t>
                        </m:r>
                      </m:sub>
                      <m:sup>
                        <m:r>
                          <w:rPr>
                            <w:rFonts w:ascii="Cambria Math" w:hAnsi="Cambria Math"/>
                            <w:sz w:val="18"/>
                            <w:lang w:val="en-US"/>
                          </w:rPr>
                          <m:t>out</m:t>
                        </m:r>
                      </m:sup>
                    </m:sSubSup>
                  </m:e>
                </m:d>
                <m:r>
                  <w:rPr>
                    <w:rFonts w:ascii="Cambria Math" w:hAnsi="Cambria Math"/>
                    <w:sz w:val="18"/>
                    <w:lang w:val="en-US"/>
                  </w:rPr>
                  <m:t xml:space="preserve"> i=</m:t>
                </m:r>
                <m:d>
                  <m:dPr>
                    <m:begChr m:val="{"/>
                    <m:endChr m:val="}"/>
                    <m:ctrlPr>
                      <w:rPr>
                        <w:rFonts w:ascii="Cambria Math" w:hAnsi="Cambria Math"/>
                        <w:i/>
                        <w:sz w:val="18"/>
                        <w:lang w:val="en-US"/>
                      </w:rPr>
                    </m:ctrlPr>
                  </m:dPr>
                  <m:e>
                    <m:r>
                      <w:rPr>
                        <w:rFonts w:ascii="Cambria Math" w:hAnsi="Cambria Math"/>
                        <w:sz w:val="18"/>
                        <w:lang w:val="en-US"/>
                      </w:rPr>
                      <m:t>C</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4</m:t>
                        </m:r>
                      </m:sub>
                    </m:sSub>
                    <m:r>
                      <w:rPr>
                        <w:rFonts w:ascii="Cambria Math" w:hAnsi="Cambria Math"/>
                        <w:sz w:val="18"/>
                        <w:lang w:val="en-US"/>
                      </w:rPr>
                      <m:t>,CO,C</m:t>
                    </m:r>
                    <m:sSub>
                      <m:sSubPr>
                        <m:ctrlPr>
                          <w:rPr>
                            <w:rFonts w:ascii="Cambria Math" w:hAnsi="Cambria Math"/>
                            <w:i/>
                            <w:sz w:val="18"/>
                            <w:lang w:val="en-US"/>
                          </w:rPr>
                        </m:ctrlPr>
                      </m:sSubPr>
                      <m:e>
                        <m:r>
                          <w:rPr>
                            <w:rFonts w:ascii="Cambria Math" w:hAnsi="Cambria Math"/>
                            <w:sz w:val="18"/>
                            <w:lang w:val="en-US"/>
                          </w:rPr>
                          <m:t>O</m:t>
                        </m:r>
                      </m:e>
                      <m:sub>
                        <m:r>
                          <w:rPr>
                            <w:rFonts w:ascii="Cambria Math" w:hAnsi="Cambria Math"/>
                            <w:sz w:val="18"/>
                            <w:lang w:val="en-US"/>
                          </w:rPr>
                          <m:t>2</m:t>
                        </m:r>
                      </m:sub>
                    </m:sSub>
                    <m: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2</m:t>
                        </m:r>
                      </m:sub>
                    </m:sSub>
                    <m:r>
                      <w:rPr>
                        <w:rFonts w:ascii="Cambria Math" w:hAnsi="Cambria Math"/>
                        <w:sz w:val="18"/>
                        <w:lang w:val="en-US"/>
                      </w:rPr>
                      <m:t>O,</m:t>
                    </m:r>
                    <m:sSub>
                      <m:sSubPr>
                        <m:ctrlPr>
                          <w:rPr>
                            <w:rFonts w:ascii="Cambria Math" w:hAnsi="Cambria Math"/>
                            <w:i/>
                            <w:sz w:val="18"/>
                            <w:lang w:val="en-US"/>
                          </w:rPr>
                        </m:ctrlPr>
                      </m:sSubPr>
                      <m:e>
                        <m:r>
                          <w:rPr>
                            <w:rFonts w:ascii="Cambria Math" w:hAnsi="Cambria Math"/>
                            <w:sz w:val="18"/>
                            <w:lang w:val="en-US"/>
                          </w:rPr>
                          <m:t>H</m:t>
                        </m:r>
                      </m:e>
                      <m:sub>
                        <m:r>
                          <w:rPr>
                            <w:rFonts w:ascii="Cambria Math" w:hAnsi="Cambria Math"/>
                            <w:sz w:val="18"/>
                            <w:lang w:val="en-US"/>
                          </w:rPr>
                          <m:t>2</m:t>
                        </m:r>
                      </m:sub>
                    </m:sSub>
                  </m:e>
                </m:d>
              </m:oMath>
            </m:oMathPara>
          </w:p>
        </w:tc>
        <w:tc>
          <w:tcPr>
            <w:tcW w:w="850" w:type="dxa"/>
            <w:shd w:val="clear" w:color="auto" w:fill="auto"/>
            <w:vAlign w:val="center"/>
          </w:tcPr>
          <w:p w14:paraId="2BE577E4" w14:textId="77777777" w:rsidR="00DE45D1" w:rsidRPr="008B2319" w:rsidRDefault="00DE45D1" w:rsidP="00DE45D1">
            <w:pPr>
              <w:jc w:val="center"/>
            </w:pPr>
            <w:r w:rsidRPr="008B2319">
              <w:t>(5)</w:t>
            </w:r>
          </w:p>
        </w:tc>
      </w:tr>
      <w:tr w:rsidR="008B2319" w:rsidRPr="008B2319" w14:paraId="5004400A" w14:textId="77777777" w:rsidTr="00DE45D1">
        <w:trPr>
          <w:jc w:val="center"/>
        </w:trPr>
        <w:tc>
          <w:tcPr>
            <w:tcW w:w="8504" w:type="dxa"/>
            <w:shd w:val="clear" w:color="auto" w:fill="auto"/>
            <w:vAlign w:val="center"/>
          </w:tcPr>
          <w:p w14:paraId="1B321ED4" w14:textId="77777777" w:rsidR="00DE45D1" w:rsidRPr="008B2319" w:rsidRDefault="00825D4F" w:rsidP="00DE45D1">
            <w:pPr>
              <w:spacing w:before="120"/>
              <w:jc w:val="center"/>
              <w:rPr>
                <w:rFonts w:ascii="Cambria Math" w:hAnsi="Cambria Math"/>
                <w:i/>
                <w:sz w:val="18"/>
                <w:lang w:val="en-US"/>
              </w:rPr>
            </w:pPr>
            <m:oMathPara>
              <m:oMath>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H2</m:t>
                    </m:r>
                  </m:sub>
                </m:sSub>
                <m:r>
                  <w:rPr>
                    <w:rFonts w:ascii="Cambria Math" w:hAnsi="Cambria Math"/>
                    <w:sz w:val="18"/>
                    <w:lang w:val="en-US"/>
                  </w:rPr>
                  <m:t>=</m:t>
                </m:r>
                <m:sSub>
                  <m:sSubPr>
                    <m:ctrlPr>
                      <w:rPr>
                        <w:rFonts w:ascii="Cambria Math" w:hAnsi="Cambria Math"/>
                        <w:i/>
                        <w:sz w:val="18"/>
                        <w:lang w:val="en-US"/>
                      </w:rPr>
                    </m:ctrlPr>
                  </m:sSubPr>
                  <m:e>
                    <m:sSub>
                      <m:sSubPr>
                        <m:ctrlPr>
                          <w:rPr>
                            <w:rFonts w:ascii="Cambria Math" w:hAnsi="Cambria Math"/>
                            <w:i/>
                            <w:sz w:val="18"/>
                            <w:lang w:val="en-US"/>
                          </w:rPr>
                        </m:ctrlPr>
                      </m:sSubPr>
                      <m:e>
                        <m:r>
                          <m:rPr>
                            <m:sty m:val="p"/>
                          </m:rPr>
                          <w:rPr>
                            <w:rFonts w:ascii="Cambria Math" w:hAnsi="Cambria Math"/>
                            <w:sz w:val="18"/>
                            <w:lang w:val="en-US"/>
                          </w:rPr>
                          <m:t>Φ</m:t>
                        </m:r>
                      </m:e>
                      <m:sub>
                        <m:r>
                          <w:rPr>
                            <w:rFonts w:ascii="Cambria Math" w:hAnsi="Cambria Math"/>
                            <w:sz w:val="18"/>
                            <w:lang w:val="en-US"/>
                          </w:rPr>
                          <m:t>H2</m:t>
                        </m:r>
                      </m:sub>
                    </m:sSub>
                  </m:e>
                  <m:sub>
                    <m:r>
                      <w:rPr>
                        <w:rFonts w:ascii="Cambria Math" w:hAnsi="Cambria Math"/>
                        <w:sz w:val="18"/>
                        <w:lang w:val="en-US"/>
                      </w:rPr>
                      <m:t>n</m:t>
                    </m:r>
                  </m:sub>
                </m:sSub>
                <m:r>
                  <m:rPr>
                    <m:lit/>
                  </m:rPr>
                  <w:rPr>
                    <w:rFonts w:ascii="Cambria Math" w:hAnsi="Cambria Math"/>
                    <w:sz w:val="18"/>
                    <w:lang w:val="en-US"/>
                  </w:rPr>
                  <m:t>∙</m:t>
                </m:r>
                <m:r>
                  <w:rPr>
                    <w:rFonts w:ascii="Cambria Math" w:hAnsi="Cambria Math"/>
                    <w:sz w:val="18"/>
                    <w:lang w:val="en-US"/>
                  </w:rPr>
                  <m:t>f∙ η</m:t>
                </m:r>
              </m:oMath>
            </m:oMathPara>
          </w:p>
        </w:tc>
        <w:tc>
          <w:tcPr>
            <w:tcW w:w="850" w:type="dxa"/>
            <w:shd w:val="clear" w:color="auto" w:fill="auto"/>
            <w:vAlign w:val="center"/>
          </w:tcPr>
          <w:p w14:paraId="6CD55AAB" w14:textId="77777777" w:rsidR="00DE45D1" w:rsidRPr="008B2319" w:rsidRDefault="00DE45D1" w:rsidP="00DE45D1">
            <w:pPr>
              <w:jc w:val="center"/>
            </w:pPr>
            <w:r w:rsidRPr="008B2319">
              <w:t>(6)</w:t>
            </w:r>
          </w:p>
        </w:tc>
      </w:tr>
    </w:tbl>
    <w:p w14:paraId="4E19AB74" w14:textId="77777777" w:rsidR="00DE45D1" w:rsidRPr="008B2319" w:rsidRDefault="00761C58" w:rsidP="006E2828">
      <w:pPr>
        <w:rPr>
          <w:rFonts w:eastAsiaTheme="minorEastAsia"/>
          <w:lang w:val="en-US"/>
        </w:rPr>
      </w:pPr>
      <w:r w:rsidRPr="008B2319">
        <w:rPr>
          <w:rFonts w:eastAsiaTheme="minorEastAsia"/>
          <w:lang w:val="en-US"/>
        </w:rPr>
        <w:t>w</w:t>
      </w:r>
      <w:r w:rsidR="00DE45D1" w:rsidRPr="008B2319">
        <w:rPr>
          <w:rFonts w:eastAsiaTheme="minorEastAsia"/>
          <w:lang w:val="en-US"/>
        </w:rPr>
        <w:t>here:</w:t>
      </w:r>
    </w:p>
    <w:p w14:paraId="49D36997" w14:textId="77777777" w:rsidR="0061069F" w:rsidRPr="008B2319" w:rsidRDefault="00825D4F" w:rsidP="0061069F">
      <w:pPr>
        <w:pStyle w:val="ListParagraph"/>
        <w:numPr>
          <w:ilvl w:val="0"/>
          <w:numId w:val="41"/>
        </w:numPr>
        <w:rPr>
          <w:rFonts w:eastAsiaTheme="minorEastAsia"/>
          <w:lang w:val="en-US"/>
        </w:rPr>
      </w:pPr>
      <m:oMath>
        <m:sSubSup>
          <m:sSubSupPr>
            <m:ctrlPr>
              <w:rPr>
                <w:rFonts w:ascii="Cambria Math" w:hAnsi="Cambria Math"/>
                <w:i/>
                <w:sz w:val="18"/>
                <w:lang w:val="en-US"/>
              </w:rPr>
            </m:ctrlPr>
          </m:sSubSupPr>
          <m:e>
            <m:r>
              <w:rPr>
                <w:rFonts w:ascii="Cambria Math" w:hAnsi="Cambria Math"/>
                <w:sz w:val="18"/>
                <w:lang w:val="en-US"/>
              </w:rPr>
              <m:t xml:space="preserve"> T</m:t>
            </m:r>
          </m:e>
          <m:sub>
            <m:r>
              <w:rPr>
                <w:rFonts w:ascii="Cambria Math" w:hAnsi="Cambria Math"/>
                <w:sz w:val="18"/>
                <w:lang w:val="en-US"/>
              </w:rPr>
              <m:t>eva</m:t>
            </m:r>
          </m:sub>
          <m:sup>
            <m:r>
              <w:rPr>
                <w:rFonts w:ascii="Cambria Math" w:hAnsi="Cambria Math"/>
                <w:sz w:val="18"/>
                <w:lang w:val="en-US"/>
              </w:rPr>
              <m:t>out</m:t>
            </m:r>
          </m:sup>
        </m:sSubSup>
        <m:r>
          <w:rPr>
            <w:rFonts w:ascii="Cambria Math" w:hAnsi="Cambria Math"/>
            <w:sz w:val="18"/>
            <w:lang w:val="en-US"/>
          </w:rPr>
          <m:t xml:space="preserve"> and</m:t>
        </m:r>
        <m:sSubSup>
          <m:sSubSupPr>
            <m:ctrlPr>
              <w:rPr>
                <w:rFonts w:ascii="Cambria Math" w:hAnsi="Cambria Math"/>
                <w:i/>
                <w:sz w:val="18"/>
                <w:lang w:val="en-US"/>
              </w:rPr>
            </m:ctrlPr>
          </m:sSubSupPr>
          <m:e>
            <m:r>
              <w:rPr>
                <w:rFonts w:ascii="Cambria Math" w:hAnsi="Cambria Math"/>
                <w:sz w:val="18"/>
                <w:lang w:val="en-US"/>
              </w:rPr>
              <m:t xml:space="preserve"> T</m:t>
            </m:r>
          </m:e>
          <m:sub>
            <m:r>
              <w:rPr>
                <w:rFonts w:ascii="Cambria Math" w:hAnsi="Cambria Math"/>
                <w:sz w:val="18"/>
                <w:lang w:val="en-US"/>
              </w:rPr>
              <m:t>ref</m:t>
            </m:r>
          </m:sub>
          <m:sup>
            <m:r>
              <w:rPr>
                <w:rFonts w:ascii="Cambria Math" w:hAnsi="Cambria Math"/>
                <w:sz w:val="18"/>
                <w:lang w:val="en-US"/>
              </w:rPr>
              <m:t>out</m:t>
            </m:r>
          </m:sup>
        </m:sSubSup>
      </m:oMath>
      <w:r w:rsidR="0061069F" w:rsidRPr="008B2319">
        <w:rPr>
          <w:rFonts w:eastAsiaTheme="minorEastAsia"/>
          <w:lang w:val="en-US"/>
        </w:rPr>
        <w:t xml:space="preserve"> are the reformer and evaporator leaving temperature</w:t>
      </w:r>
      <w:r w:rsidR="0061069F" w:rsidRPr="008B2319">
        <w:rPr>
          <w:lang w:val="en-US"/>
        </w:rPr>
        <w:t>, in [K];</w:t>
      </w:r>
    </w:p>
    <w:p w14:paraId="4E86A7A3" w14:textId="77777777" w:rsidR="0061069F" w:rsidRPr="008B2319" w:rsidRDefault="0061069F" w:rsidP="0061069F">
      <w:pPr>
        <w:pStyle w:val="ListParagraph"/>
        <w:numPr>
          <w:ilvl w:val="0"/>
          <w:numId w:val="41"/>
        </w:numPr>
        <w:rPr>
          <w:rFonts w:eastAsiaTheme="minorEastAsia"/>
          <w:lang w:val="en-US"/>
        </w:rPr>
      </w:pPr>
      <m:oMath>
        <m:r>
          <w:rPr>
            <w:rFonts w:ascii="Cambria Math" w:hAnsi="Cambria Math"/>
            <w:sz w:val="18"/>
            <w:lang w:val="en-US"/>
          </w:rPr>
          <m:t>f</m:t>
        </m:r>
      </m:oMath>
      <w:r w:rsidR="00120123" w:rsidRPr="008B2319">
        <w:rPr>
          <w:rFonts w:eastAsiaTheme="minorEastAsia"/>
          <w:lang w:val="en-US"/>
        </w:rPr>
        <w:t xml:space="preserve"> </w:t>
      </w:r>
      <w:r w:rsidRPr="008B2319">
        <w:rPr>
          <w:rFonts w:eastAsiaTheme="minorEastAsia"/>
          <w:lang w:val="en-US"/>
        </w:rPr>
        <w:t xml:space="preserve">is </w:t>
      </w:r>
      <w:r w:rsidR="0007251F" w:rsidRPr="008B2319">
        <w:rPr>
          <w:rFonts w:eastAsiaTheme="minorEastAsia"/>
          <w:lang w:val="en-US"/>
        </w:rPr>
        <w:t xml:space="preserve">a </w:t>
      </w:r>
      <w:r w:rsidRPr="008B2319">
        <w:rPr>
          <w:rFonts w:eastAsiaTheme="minorEastAsia"/>
          <w:lang w:val="en-US"/>
        </w:rPr>
        <w:t>percentage parameter managed by SIMULINK</w:t>
      </w:r>
      <w:r w:rsidRPr="008B2319">
        <w:rPr>
          <w:rFonts w:eastAsiaTheme="minorEastAsia" w:cs="Times New Roman"/>
          <w:vertAlign w:val="superscript"/>
          <w:lang w:val="en-US"/>
        </w:rPr>
        <w:t>®</w:t>
      </w:r>
      <w:r w:rsidRPr="008B2319">
        <w:rPr>
          <w:rFonts w:eastAsiaTheme="minorEastAsia" w:cs="Times New Roman"/>
          <w:lang w:val="en-US"/>
        </w:rPr>
        <w:t xml:space="preserve"> for the power modulation;</w:t>
      </w:r>
    </w:p>
    <w:p w14:paraId="1ED9F3A1" w14:textId="77777777" w:rsidR="0061069F" w:rsidRPr="008B2319" w:rsidRDefault="0061069F" w:rsidP="0061069F">
      <w:pPr>
        <w:pStyle w:val="ListParagraph"/>
        <w:numPr>
          <w:ilvl w:val="0"/>
          <w:numId w:val="41"/>
        </w:numPr>
        <w:rPr>
          <w:rFonts w:eastAsiaTheme="minorEastAsia"/>
          <w:lang w:val="en-US"/>
        </w:rPr>
      </w:pPr>
      <m:oMath>
        <m:r>
          <w:rPr>
            <w:rFonts w:ascii="Cambria Math" w:hAnsi="Cambria Math"/>
            <w:sz w:val="18"/>
            <w:lang w:val="en-US"/>
          </w:rPr>
          <m:t>η</m:t>
        </m:r>
      </m:oMath>
      <w:r w:rsidRPr="008B2319">
        <w:rPr>
          <w:rFonts w:eastAsiaTheme="minorEastAsia"/>
          <w:lang w:val="en-US"/>
        </w:rPr>
        <w:t xml:space="preserve"> is </w:t>
      </w:r>
      <w:r w:rsidR="0007251F" w:rsidRPr="008B2319">
        <w:rPr>
          <w:rFonts w:eastAsiaTheme="minorEastAsia"/>
          <w:lang w:val="en-US"/>
        </w:rPr>
        <w:t xml:space="preserve">the </w:t>
      </w:r>
      <w:r w:rsidRPr="008B2319">
        <w:rPr>
          <w:rFonts w:eastAsiaTheme="minorEastAsia"/>
          <w:lang w:val="en-US"/>
        </w:rPr>
        <w:t>electrical efficiency of heater;</w:t>
      </w:r>
    </w:p>
    <w:p w14:paraId="2A64320B" w14:textId="77777777" w:rsidR="0061069F" w:rsidRPr="008B2319" w:rsidRDefault="00825D4F" w:rsidP="0061069F">
      <w:pPr>
        <w:pStyle w:val="ListParagraph"/>
        <w:numPr>
          <w:ilvl w:val="0"/>
          <w:numId w:val="41"/>
        </w:numPr>
        <w:rPr>
          <w:rFonts w:eastAsiaTheme="minorEastAsia"/>
          <w:lang w:val="en-US"/>
        </w:rPr>
      </w:pPr>
      <m:oMath>
        <m:sSub>
          <m:sSubPr>
            <m:ctrlPr>
              <w:rPr>
                <w:rFonts w:ascii="Cambria Math" w:eastAsiaTheme="minorEastAsia" w:hAnsi="Cambria Math"/>
                <w:i/>
                <w:lang w:val="en-US"/>
              </w:rPr>
            </m:ctrlPr>
          </m:sSubPr>
          <m:e>
            <m:r>
              <m:rPr>
                <m:sty m:val="p"/>
              </m:rPr>
              <w:rPr>
                <w:rFonts w:ascii="Cambria Math" w:hAnsi="Cambria Math"/>
                <w:sz w:val="18"/>
                <w:lang w:val="en-US"/>
              </w:rPr>
              <m:t>Φ</m:t>
            </m:r>
          </m:e>
          <m:sub>
            <m:r>
              <w:rPr>
                <w:rFonts w:ascii="Cambria Math" w:eastAsiaTheme="minorEastAsia" w:hAnsi="Cambria Math"/>
                <w:lang w:val="en-US"/>
              </w:rPr>
              <m:t>H2,n</m:t>
            </m:r>
          </m:sub>
        </m:sSub>
      </m:oMath>
      <w:r w:rsidR="0061069F" w:rsidRPr="008B2319">
        <w:rPr>
          <w:lang w:val="en-US"/>
        </w:rPr>
        <w:t xml:space="preserve"> is the inlet power controlled by PID feedback (varying </w:t>
      </w:r>
      <m:oMath>
        <m:r>
          <w:rPr>
            <w:rFonts w:ascii="Cambria Math" w:eastAsiaTheme="minorEastAsia" w:hAnsi="Cambria Math"/>
            <w:lang w:val="en-US"/>
          </w:rPr>
          <m:t>f</m:t>
        </m:r>
      </m:oMath>
      <w:r w:rsidR="0061069F" w:rsidRPr="008B2319">
        <w:rPr>
          <w:lang w:val="en-US"/>
        </w:rPr>
        <w:t xml:space="preserve"> parameter)</w:t>
      </w:r>
      <w:r w:rsidR="00AD62D0" w:rsidRPr="008B2319">
        <w:rPr>
          <w:lang w:val="en-US"/>
        </w:rPr>
        <w:t>;</w:t>
      </w:r>
    </w:p>
    <w:p w14:paraId="60E09F91" w14:textId="77777777" w:rsidR="008A4B05" w:rsidRPr="008B2319" w:rsidRDefault="008A4B05" w:rsidP="008A4B05">
      <w:pPr>
        <w:rPr>
          <w:lang w:val="en-US"/>
        </w:rPr>
      </w:pPr>
      <w:r w:rsidRPr="008B2319">
        <w:rPr>
          <w:lang w:val="en-US"/>
        </w:rPr>
        <w:t>The development of the SOFC section follows these guidelines:</w:t>
      </w:r>
    </w:p>
    <w:p w14:paraId="24567A22" w14:textId="77777777" w:rsidR="008A4B05" w:rsidRPr="008B2319" w:rsidRDefault="008A4B05" w:rsidP="008A4B05">
      <w:pPr>
        <w:pStyle w:val="ListParagraph"/>
        <w:numPr>
          <w:ilvl w:val="0"/>
          <w:numId w:val="11"/>
        </w:numPr>
        <w:rPr>
          <w:lang w:val="en-US"/>
        </w:rPr>
      </w:pPr>
      <w:r w:rsidRPr="008B2319">
        <w:rPr>
          <w:lang w:val="en-US"/>
        </w:rPr>
        <w:t>The inlet anode composition is known;</w:t>
      </w:r>
    </w:p>
    <w:p w14:paraId="249838E1" w14:textId="77777777" w:rsidR="008A4B05" w:rsidRPr="008B2319" w:rsidRDefault="008A4B05" w:rsidP="008A4B05">
      <w:pPr>
        <w:pStyle w:val="ListParagraph"/>
        <w:numPr>
          <w:ilvl w:val="0"/>
          <w:numId w:val="11"/>
        </w:numPr>
        <w:rPr>
          <w:lang w:val="en-US"/>
        </w:rPr>
      </w:pPr>
      <w:r w:rsidRPr="008B2319">
        <w:rPr>
          <w:lang w:val="en-US"/>
        </w:rPr>
        <w:t>The air flow rate necessary for the stack thermal control is imposed by a PID controller;</w:t>
      </w:r>
    </w:p>
    <w:p w14:paraId="7ECAD0FF" w14:textId="77777777" w:rsidR="006E2828" w:rsidRPr="008B2319" w:rsidRDefault="005E77D6" w:rsidP="008A4B05">
      <w:pPr>
        <w:rPr>
          <w:lang w:val="en-US"/>
        </w:rPr>
      </w:pPr>
      <w:r w:rsidRPr="008B2319">
        <w:rPr>
          <w:lang w:val="en-US"/>
        </w:rPr>
        <w:t>Note</w:t>
      </w:r>
      <w:r w:rsidR="006E2828" w:rsidRPr="008B2319">
        <w:rPr>
          <w:lang w:val="en-US"/>
        </w:rPr>
        <w:t xml:space="preserve"> that also an “internal reforming” of possible residual methane are taken into account by </w:t>
      </w:r>
      <w:r w:rsidRPr="008B2319">
        <w:rPr>
          <w:lang w:val="en-US"/>
        </w:rPr>
        <w:t xml:space="preserve">the </w:t>
      </w:r>
      <w:r w:rsidR="006E2828" w:rsidRPr="008B2319">
        <w:rPr>
          <w:lang w:val="en-US"/>
        </w:rPr>
        <w:t>simulator. These calculations are the same used for the reformer section, implemented in the LPM previously discussed.</w:t>
      </w:r>
    </w:p>
    <w:p w14:paraId="45C0CEDB" w14:textId="77777777" w:rsidR="006E2828" w:rsidRPr="008B2319" w:rsidRDefault="006E2828" w:rsidP="008A4B05">
      <w:pPr>
        <w:rPr>
          <w:rFonts w:eastAsiaTheme="minorEastAsia"/>
          <w:lang w:val="en-US"/>
        </w:rPr>
      </w:pPr>
      <w:r w:rsidRPr="008B2319">
        <w:rPr>
          <w:lang w:val="en-US"/>
        </w:rPr>
        <w:t xml:space="preserve">Knowing the molar fraction of inlet/outlet compounds, the Nernst potential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0CV</m:t>
            </m:r>
          </m:sub>
        </m:sSub>
        <m:r>
          <w:rPr>
            <w:rFonts w:ascii="Cambria Math" w:eastAsiaTheme="minorEastAsia" w:hAnsi="Cambria Math"/>
            <w:lang w:val="en-US"/>
          </w:rPr>
          <m:t xml:space="preserve">) </m:t>
        </m:r>
      </m:oMath>
      <w:r w:rsidRPr="008B2319">
        <w:rPr>
          <w:lang w:val="en-US"/>
        </w:rPr>
        <w:t xml:space="preserve">calculation is done, considering the final value as the average between two different Nernst potentials: </w:t>
      </w:r>
    </w:p>
    <w:p w14:paraId="10CC8A18" w14:textId="77777777" w:rsidR="006E2828" w:rsidRPr="008B2319" w:rsidRDefault="006E2828" w:rsidP="008A4B05">
      <w:pPr>
        <w:pStyle w:val="ListParagraph"/>
        <w:numPr>
          <w:ilvl w:val="0"/>
          <w:numId w:val="12"/>
        </w:numPr>
        <w:rPr>
          <w:lang w:val="en-US"/>
        </w:rPr>
      </w:pPr>
      <w:r w:rsidRPr="008B2319">
        <w:rPr>
          <w:lang w:val="en-US"/>
        </w:rPr>
        <w:t xml:space="preserve">The first one is evaluated considering the SOFC inlet molar fraction of oxygen, </w:t>
      </w:r>
      <w:r w:rsidRPr="008B2319">
        <w:rPr>
          <w:noProof/>
          <w:lang w:val="en-US"/>
        </w:rPr>
        <w:t>hydrogen</w:t>
      </w:r>
      <w:r w:rsidR="00094ACE" w:rsidRPr="008B2319">
        <w:rPr>
          <w:noProof/>
          <w:lang w:val="en-US"/>
        </w:rPr>
        <w:t>,</w:t>
      </w:r>
      <w:r w:rsidRPr="008B2319">
        <w:rPr>
          <w:lang w:val="en-US"/>
        </w:rPr>
        <w:t xml:space="preserve"> and water;</w:t>
      </w:r>
    </w:p>
    <w:p w14:paraId="11DA68BA" w14:textId="77777777" w:rsidR="006E2828" w:rsidRPr="008B2319" w:rsidRDefault="006E2828" w:rsidP="008A4B05">
      <w:pPr>
        <w:pStyle w:val="ListParagraph"/>
        <w:numPr>
          <w:ilvl w:val="0"/>
          <w:numId w:val="12"/>
        </w:numPr>
        <w:rPr>
          <w:lang w:val="en-US"/>
        </w:rPr>
      </w:pPr>
      <w:r w:rsidRPr="008B2319">
        <w:rPr>
          <w:lang w:val="en-US"/>
        </w:rPr>
        <w:t xml:space="preserve">The second one </w:t>
      </w:r>
      <w:r w:rsidR="0007251F" w:rsidRPr="008B2319">
        <w:rPr>
          <w:lang w:val="en-US"/>
        </w:rPr>
        <w:t xml:space="preserve">is evaluated with </w:t>
      </w:r>
      <w:r w:rsidRPr="008B2319">
        <w:rPr>
          <w:lang w:val="en-US"/>
        </w:rPr>
        <w:t xml:space="preserve">all the terms </w:t>
      </w:r>
      <w:r w:rsidR="0007251F" w:rsidRPr="008B2319">
        <w:rPr>
          <w:lang w:val="en-US"/>
        </w:rPr>
        <w:t xml:space="preserve">considered </w:t>
      </w:r>
      <w:r w:rsidRPr="008B2319">
        <w:rPr>
          <w:lang w:val="en-US"/>
        </w:rPr>
        <w:t>at SOFC outlet conditions.</w:t>
      </w:r>
    </w:p>
    <w:p w14:paraId="02F06F48" w14:textId="77777777" w:rsidR="006E2828" w:rsidRPr="008B2319" w:rsidRDefault="006E2828" w:rsidP="008A4B05">
      <w:pPr>
        <w:rPr>
          <w:lang w:val="en-US"/>
        </w:rPr>
      </w:pPr>
      <w:r w:rsidRPr="008B2319">
        <w:rPr>
          <w:lang w:val="en-US"/>
        </w:rPr>
        <w:t xml:space="preserve">Finally, knowing the </w:t>
      </w:r>
      <w:r w:rsidR="005C09B0" w:rsidRPr="008B2319">
        <w:rPr>
          <w:lang w:val="en-US"/>
        </w:rPr>
        <w:t xml:space="preserve">average </w:t>
      </w:r>
      <w:r w:rsidRPr="008B2319">
        <w:rPr>
          <w:lang w:val="en-US"/>
        </w:rPr>
        <w:t>stack temperature it is possible to obtain the ASR value and calculate the output voltage of stack with the following equations: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41611096" w14:textId="77777777" w:rsidTr="00E911F5">
        <w:trPr>
          <w:jc w:val="center"/>
        </w:trPr>
        <w:tc>
          <w:tcPr>
            <w:tcW w:w="8504" w:type="dxa"/>
            <w:vAlign w:val="center"/>
          </w:tcPr>
          <w:p w14:paraId="5CE9CA1D" w14:textId="77777777" w:rsidR="002E0064" w:rsidRPr="008B2319" w:rsidRDefault="00825D4F" w:rsidP="00453681">
            <w:pPr>
              <w:spacing w:before="120"/>
              <w:jc w:val="center"/>
              <w:rPr>
                <w:rFonts w:asciiTheme="minorHAnsi" w:eastAsiaTheme="minorEastAsia" w:hAnsiTheme="minorHAnsi"/>
              </w:rPr>
            </w:pPr>
            <m:oMathPara>
              <m:oMath>
                <m:sSub>
                  <m:sSubPr>
                    <m:ctrlPr>
                      <w:rPr>
                        <w:rFonts w:ascii="Cambria Math" w:hAnsi="Cambria Math"/>
                        <w:i/>
                        <w:sz w:val="18"/>
                        <w:lang w:val="en-US"/>
                      </w:rPr>
                    </m:ctrlPr>
                  </m:sSubPr>
                  <m:e>
                    <m:sSub>
                      <m:sSubPr>
                        <m:ctrlPr>
                          <w:rPr>
                            <w:rFonts w:ascii="Cambria Math" w:hAnsi="Cambria Math"/>
                            <w:i/>
                            <w:sz w:val="18"/>
                            <w:lang w:val="en-US"/>
                          </w:rPr>
                        </m:ctrlPr>
                      </m:sSubPr>
                      <m:e>
                        <m:r>
                          <w:rPr>
                            <w:rFonts w:ascii="Cambria Math" w:hAnsi="Cambria Math"/>
                            <w:sz w:val="18"/>
                            <w:lang w:val="en-US"/>
                          </w:rPr>
                          <m:t>V</m:t>
                        </m:r>
                      </m:e>
                      <m:sub>
                        <m:r>
                          <w:rPr>
                            <w:rFonts w:ascii="Cambria Math" w:hAnsi="Cambria Math"/>
                            <w:sz w:val="18"/>
                            <w:lang w:val="en-US"/>
                          </w:rPr>
                          <m:t>cell</m:t>
                        </m:r>
                      </m:sub>
                    </m:sSub>
                    <m:r>
                      <w:rPr>
                        <w:rFonts w:ascii="Cambria Math" w:hAnsi="Cambria Math"/>
                        <w:sz w:val="18"/>
                        <w:lang w:val="en-US"/>
                      </w:rPr>
                      <m:t>=V</m:t>
                    </m:r>
                  </m:e>
                  <m:sub>
                    <m:r>
                      <w:rPr>
                        <w:rFonts w:ascii="Cambria Math" w:hAnsi="Cambria Math"/>
                        <w:sz w:val="18"/>
                        <w:lang w:val="en-US"/>
                      </w:rPr>
                      <m:t>0CV</m:t>
                    </m:r>
                  </m:sub>
                </m:sSub>
                <m:r>
                  <w:rPr>
                    <w:rFonts w:ascii="Cambria Math" w:hAnsi="Cambria Math"/>
                    <w:sz w:val="18"/>
                    <w:lang w:val="en-US"/>
                  </w:rPr>
                  <m:t>-ASR(</m:t>
                </m:r>
                <m:sSub>
                  <m:sSubPr>
                    <m:ctrlPr>
                      <w:rPr>
                        <w:rFonts w:ascii="Cambria Math" w:hAnsi="Cambria Math"/>
                        <w:i/>
                        <w:sz w:val="18"/>
                        <w:lang w:val="en-US"/>
                      </w:rPr>
                    </m:ctrlPr>
                  </m:sSubPr>
                  <m:e>
                    <m:acc>
                      <m:accPr>
                        <m:chr m:val="̅"/>
                        <m:ctrlPr>
                          <w:rPr>
                            <w:rFonts w:ascii="Cambria Math" w:hAnsi="Cambria Math"/>
                            <w:i/>
                            <w:sz w:val="18"/>
                            <w:lang w:val="en-US"/>
                          </w:rPr>
                        </m:ctrlPr>
                      </m:accPr>
                      <m:e>
                        <m:r>
                          <w:rPr>
                            <w:rFonts w:ascii="Cambria Math" w:hAnsi="Cambria Math"/>
                            <w:sz w:val="18"/>
                            <w:lang w:val="en-US"/>
                          </w:rPr>
                          <m:t>T</m:t>
                        </m:r>
                      </m:e>
                    </m:acc>
                  </m:e>
                  <m:sub>
                    <m:r>
                      <w:rPr>
                        <w:rFonts w:ascii="Cambria Math" w:hAnsi="Cambria Math"/>
                        <w:sz w:val="18"/>
                        <w:lang w:val="en-US"/>
                      </w:rPr>
                      <m:t>stack</m:t>
                    </m:r>
                  </m:sub>
                </m:sSub>
                <m:r>
                  <w:rPr>
                    <w:rFonts w:ascii="Cambria Math" w:hAnsi="Cambria Math"/>
                    <w:sz w:val="18"/>
                    <w:lang w:val="en-US"/>
                  </w:rPr>
                  <m:t>)∙i</m:t>
                </m:r>
              </m:oMath>
            </m:oMathPara>
          </w:p>
        </w:tc>
        <w:tc>
          <w:tcPr>
            <w:tcW w:w="850" w:type="dxa"/>
            <w:vAlign w:val="center"/>
          </w:tcPr>
          <w:p w14:paraId="0FFB93C8" w14:textId="77777777" w:rsidR="002E0064" w:rsidRPr="008B2319" w:rsidRDefault="002E0064" w:rsidP="002E0064">
            <w:pPr>
              <w:jc w:val="center"/>
            </w:pPr>
            <w:r w:rsidRPr="008B2319">
              <w:t>(7)</w:t>
            </w:r>
          </w:p>
        </w:tc>
      </w:tr>
    </w:tbl>
    <w:p w14:paraId="43C6156C" w14:textId="77777777" w:rsidR="00120123" w:rsidRPr="008B2319" w:rsidRDefault="00761C58" w:rsidP="00120123">
      <w:pPr>
        <w:rPr>
          <w:lang w:val="en-US"/>
        </w:rPr>
      </w:pPr>
      <w:r w:rsidRPr="008B2319">
        <w:rPr>
          <w:lang w:val="en-US"/>
        </w:rPr>
        <w:t>w</w:t>
      </w:r>
      <w:r w:rsidR="00120123" w:rsidRPr="008B2319">
        <w:rPr>
          <w:lang w:val="en-US"/>
        </w:rPr>
        <w:t>here:</w:t>
      </w:r>
    </w:p>
    <w:p w14:paraId="21309C4A" w14:textId="77777777" w:rsidR="00120123" w:rsidRPr="008B2319" w:rsidRDefault="00120123" w:rsidP="00120123">
      <w:pPr>
        <w:pStyle w:val="ListParagraph"/>
        <w:numPr>
          <w:ilvl w:val="0"/>
          <w:numId w:val="42"/>
        </w:numPr>
        <w:rPr>
          <w:lang w:val="en-US"/>
        </w:rPr>
      </w:pPr>
      <w:r w:rsidRPr="008B2319">
        <w:rPr>
          <w:lang w:val="en-US"/>
        </w:rPr>
        <w:t>ASR, is the Area specific resistance, in [</w:t>
      </w:r>
      <w:r w:rsidRPr="008B2319">
        <w:rPr>
          <w:rFonts w:cs="Times New Roman"/>
          <w:lang w:val="en-US"/>
        </w:rPr>
        <w:t>Ω</w:t>
      </w:r>
      <w:r w:rsidRPr="008B2319">
        <w:rPr>
          <w:lang w:val="en-US"/>
        </w:rPr>
        <w:t xml:space="preserve"> cm</w:t>
      </w:r>
      <w:r w:rsidRPr="008B2319">
        <w:rPr>
          <w:vertAlign w:val="superscript"/>
          <w:lang w:val="en-US"/>
        </w:rPr>
        <w:t>2</w:t>
      </w:r>
      <w:r w:rsidRPr="008B2319">
        <w:rPr>
          <w:lang w:val="en-US"/>
        </w:rPr>
        <w:t>]</w:t>
      </w:r>
    </w:p>
    <w:p w14:paraId="60E8845E" w14:textId="77777777" w:rsidR="00120123" w:rsidRPr="008B2319" w:rsidRDefault="00120123" w:rsidP="00120123">
      <w:pPr>
        <w:pStyle w:val="ListParagraph"/>
        <w:numPr>
          <w:ilvl w:val="0"/>
          <w:numId w:val="42"/>
        </w:numPr>
        <w:rPr>
          <w:lang w:val="en-US"/>
        </w:rPr>
      </w:pPr>
      <w:r w:rsidRPr="008B2319">
        <w:rPr>
          <w:i/>
          <w:lang w:val="en-US"/>
        </w:rPr>
        <w:t>i</w:t>
      </w:r>
      <w:r w:rsidRPr="008B2319">
        <w:rPr>
          <w:lang w:val="en-US"/>
        </w:rPr>
        <w:t xml:space="preserve"> is the current density [A/cm</w:t>
      </w:r>
      <w:r w:rsidRPr="008B2319">
        <w:rPr>
          <w:vertAlign w:val="superscript"/>
          <w:lang w:val="en-US"/>
        </w:rPr>
        <w:t>2</w:t>
      </w:r>
      <w:r w:rsidRPr="008B2319">
        <w:rPr>
          <w:lang w:val="en-US"/>
        </w:rPr>
        <w:t>];</w:t>
      </w:r>
    </w:p>
    <w:p w14:paraId="532B00E9" w14:textId="77777777" w:rsidR="006E2828" w:rsidRPr="008B2319" w:rsidRDefault="006E2828" w:rsidP="006E2828">
      <w:pPr>
        <w:rPr>
          <w:lang w:val="en-US"/>
        </w:rPr>
      </w:pPr>
      <w:r w:rsidRPr="008B2319">
        <w:rPr>
          <w:lang w:val="en-US"/>
        </w:rPr>
        <w:t xml:space="preserve">The </w:t>
      </w:r>
      <w:r w:rsidR="001F163E" w:rsidRPr="008B2319">
        <w:rPr>
          <w:lang w:val="en-US"/>
        </w:rPr>
        <w:t xml:space="preserve">electric </w:t>
      </w:r>
      <w:r w:rsidRPr="008B2319">
        <w:rPr>
          <w:lang w:val="en-US"/>
        </w:rPr>
        <w:t xml:space="preserve">power produced </w:t>
      </w:r>
      <w:r w:rsidR="001F163E" w:rsidRPr="008B2319">
        <w:rPr>
          <w:lang w:val="en-US"/>
        </w:rPr>
        <w:t>is calculated as follows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36B945CF" w14:textId="77777777" w:rsidTr="00E911F5">
        <w:trPr>
          <w:jc w:val="center"/>
        </w:trPr>
        <w:tc>
          <w:tcPr>
            <w:tcW w:w="8504" w:type="dxa"/>
            <w:vAlign w:val="center"/>
          </w:tcPr>
          <w:p w14:paraId="33CEC0AA" w14:textId="77777777" w:rsidR="002E0064" w:rsidRPr="008B2319" w:rsidRDefault="00825D4F" w:rsidP="001F163E">
            <w:pPr>
              <w:spacing w:before="120"/>
              <w:jc w:val="center"/>
              <w:rPr>
                <w:rFonts w:asciiTheme="minorHAnsi" w:eastAsiaTheme="minorEastAsia" w:hAnsiTheme="minorHAnsi"/>
              </w:rPr>
            </w:pPr>
            <m:oMathPara>
              <m:oMath>
                <m:sSub>
                  <m:sSubPr>
                    <m:ctrlPr>
                      <w:rPr>
                        <w:rFonts w:ascii="Cambria Math" w:hAnsi="Cambria Math"/>
                        <w:i/>
                        <w:sz w:val="18"/>
                        <w:lang w:val="en-US"/>
                      </w:rPr>
                    </m:ctrlPr>
                  </m:sSubPr>
                  <m:e>
                    <m:sSub>
                      <m:sSubPr>
                        <m:ctrlPr>
                          <w:rPr>
                            <w:rFonts w:ascii="Cambria Math" w:hAnsi="Cambria Math"/>
                            <w:i/>
                            <w:sz w:val="18"/>
                            <w:lang w:val="en-US"/>
                          </w:rPr>
                        </m:ctrlPr>
                      </m:sSubPr>
                      <m:e>
                        <m:r>
                          <w:rPr>
                            <w:rFonts w:ascii="Cambria Math" w:hAnsi="Cambria Math"/>
                            <w:sz w:val="18"/>
                            <w:lang w:val="en-US"/>
                          </w:rPr>
                          <m:t>W</m:t>
                        </m:r>
                      </m:e>
                      <m:sub>
                        <m:r>
                          <w:rPr>
                            <w:rFonts w:ascii="Cambria Math" w:hAnsi="Cambria Math"/>
                            <w:sz w:val="18"/>
                            <w:lang w:val="en-US"/>
                          </w:rPr>
                          <m:t>el</m:t>
                        </m:r>
                      </m:sub>
                    </m:sSub>
                    <m:r>
                      <w:rPr>
                        <w:rFonts w:ascii="Cambria Math" w:hAnsi="Cambria Math"/>
                        <w:sz w:val="18"/>
                        <w:lang w:val="en-US"/>
                      </w:rPr>
                      <m:t>=V</m:t>
                    </m:r>
                  </m:e>
                  <m:sub>
                    <m:r>
                      <w:rPr>
                        <w:rFonts w:ascii="Cambria Math" w:hAnsi="Cambria Math"/>
                        <w:sz w:val="18"/>
                        <w:lang w:val="en-US"/>
                      </w:rPr>
                      <m:t>cell</m:t>
                    </m:r>
                  </m:sub>
                </m:sSub>
                <m:r>
                  <m:rPr>
                    <m:lit/>
                  </m:rPr>
                  <w:rPr>
                    <w:rFonts w:ascii="Cambria Math" w:hAnsi="Cambria Math"/>
                    <w:sz w:val="18"/>
                    <w:lang w:val="en-US"/>
                  </w:rPr>
                  <m:t>∙</m:t>
                </m:r>
                <m:r>
                  <w:rPr>
                    <w:rFonts w:ascii="Cambria Math" w:hAnsi="Cambria Math"/>
                    <w:sz w:val="18"/>
                    <w:lang w:val="en-US"/>
                  </w:rPr>
                  <m:t>i</m:t>
                </m:r>
                <m:r>
                  <m:rPr>
                    <m:lit/>
                  </m:rP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A</m:t>
                    </m:r>
                  </m:e>
                  <m:sub>
                    <m:r>
                      <w:rPr>
                        <w:rFonts w:ascii="Cambria Math" w:hAnsi="Cambria Math"/>
                        <w:sz w:val="18"/>
                        <w:lang w:val="en-US"/>
                      </w:rPr>
                      <m:t>cell</m:t>
                    </m:r>
                  </m:sub>
                </m:sSub>
                <m:r>
                  <m:rPr>
                    <m:lit/>
                  </m:rPr>
                  <w:rPr>
                    <w:rFonts w:ascii="Cambria Math" w:hAnsi="Cambria Math"/>
                    <w:sz w:val="18"/>
                    <w:lang w:val="en-US"/>
                  </w:rPr>
                  <m:t>∙</m:t>
                </m:r>
                <m:sSub>
                  <m:sSubPr>
                    <m:ctrlPr>
                      <w:rPr>
                        <w:rFonts w:ascii="Cambria Math" w:hAnsi="Cambria Math"/>
                        <w:i/>
                        <w:sz w:val="18"/>
                        <w:lang w:val="en-US"/>
                      </w:rPr>
                    </m:ctrlPr>
                  </m:sSubPr>
                  <m:e>
                    <m:r>
                      <w:rPr>
                        <w:rFonts w:ascii="Cambria Math" w:hAnsi="Cambria Math"/>
                        <w:sz w:val="18"/>
                        <w:lang w:val="en-US"/>
                      </w:rPr>
                      <m:t>n</m:t>
                    </m:r>
                  </m:e>
                  <m:sub>
                    <m:r>
                      <w:rPr>
                        <w:rFonts w:ascii="Cambria Math" w:hAnsi="Cambria Math"/>
                        <w:sz w:val="18"/>
                        <w:lang w:val="en-US"/>
                      </w:rPr>
                      <m:t>cell</m:t>
                    </m:r>
                  </m:sub>
                </m:sSub>
              </m:oMath>
            </m:oMathPara>
          </w:p>
        </w:tc>
        <w:tc>
          <w:tcPr>
            <w:tcW w:w="850" w:type="dxa"/>
            <w:vAlign w:val="center"/>
          </w:tcPr>
          <w:p w14:paraId="1DC20151" w14:textId="77777777" w:rsidR="002E0064" w:rsidRPr="008B2319" w:rsidRDefault="002E0064" w:rsidP="002E0064">
            <w:pPr>
              <w:jc w:val="center"/>
            </w:pPr>
            <w:r w:rsidRPr="008B2319">
              <w:t>(8)</w:t>
            </w:r>
          </w:p>
        </w:tc>
      </w:tr>
    </w:tbl>
    <w:p w14:paraId="7CB7F7AD" w14:textId="77777777" w:rsidR="006E2828" w:rsidRPr="008B2319" w:rsidRDefault="006E2828" w:rsidP="00EA30B9">
      <w:pPr>
        <w:rPr>
          <w:lang w:val="en-US"/>
        </w:rPr>
      </w:pPr>
      <w:r w:rsidRPr="008B2319">
        <w:rPr>
          <w:lang w:val="en-US"/>
        </w:rPr>
        <w:t xml:space="preserve">where </w:t>
      </w:r>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cell</m:t>
            </m:r>
          </m:sub>
        </m:sSub>
      </m:oMath>
      <w:r w:rsidRPr="008B2319">
        <w:rPr>
          <w:lang w:val="en-US"/>
        </w:rPr>
        <w:t xml:space="preserve"> is the surface of a single cell (127.8 cm</w:t>
      </w:r>
      <w:r w:rsidRPr="008B2319">
        <w:rPr>
          <w:vertAlign w:val="superscript"/>
          <w:lang w:val="en-US"/>
        </w:rPr>
        <w:t>2</w:t>
      </w:r>
      <w:r w:rsidRPr="008B2319">
        <w:rPr>
          <w:lang w:val="en-US"/>
        </w:rPr>
        <w:t>).</w:t>
      </w:r>
      <w:r w:rsidR="00EA30B9" w:rsidRPr="008B2319">
        <w:rPr>
          <w:lang w:val="en-US"/>
        </w:rPr>
        <w:t xml:space="preserve"> </w:t>
      </w:r>
    </w:p>
    <w:p w14:paraId="38A5B41D" w14:textId="77777777" w:rsidR="006E2828" w:rsidRPr="008B2319" w:rsidRDefault="006E2828" w:rsidP="006E2828">
      <w:pPr>
        <w:rPr>
          <w:lang w:val="en-US"/>
        </w:rPr>
      </w:pPr>
      <w:r w:rsidRPr="008B2319">
        <w:rPr>
          <w:lang w:val="en-US"/>
        </w:rPr>
        <w:t>The implemented thermal energy balance is reported below:</w:t>
      </w:r>
      <w:r w:rsidR="00D91721" w:rsidRPr="008B2319">
        <w:rPr>
          <w:lang w:val="en-US"/>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gridCol w:w="850"/>
      </w:tblGrid>
      <w:tr w:rsidR="008B2319" w:rsidRPr="008B2319" w14:paraId="0E691C81" w14:textId="77777777" w:rsidTr="00E911F5">
        <w:trPr>
          <w:jc w:val="center"/>
        </w:trPr>
        <w:tc>
          <w:tcPr>
            <w:tcW w:w="8504" w:type="dxa"/>
            <w:vAlign w:val="center"/>
          </w:tcPr>
          <w:p w14:paraId="47FB9793" w14:textId="4C2054EE" w:rsidR="002E0064" w:rsidRPr="008B2319" w:rsidRDefault="00825D4F" w:rsidP="00C03619">
            <w:pPr>
              <w:spacing w:before="120"/>
              <w:jc w:val="center"/>
              <w:rPr>
                <w:rFonts w:asciiTheme="minorHAnsi" w:eastAsiaTheme="minorEastAsia" w:hAnsiTheme="minorHAnsi"/>
                <w:sz w:val="18"/>
                <w:szCs w:val="18"/>
              </w:rPr>
            </w:pPr>
            <m:oMathPara>
              <m:oMath>
                <m:d>
                  <m:dPr>
                    <m:ctrlPr>
                      <w:rPr>
                        <w:rFonts w:ascii="Cambria Math" w:hAnsi="Cambria Math"/>
                        <w:i/>
                        <w:sz w:val="18"/>
                        <w:szCs w:val="18"/>
                        <w:lang w:val="en-US"/>
                      </w:rPr>
                    </m:ctrlPr>
                  </m:dPr>
                  <m:e>
                    <m:sSub>
                      <m:sSubPr>
                        <m:ctrlPr>
                          <w:rPr>
                            <w:rFonts w:ascii="Cambria Math" w:hAnsi="Cambria Math"/>
                            <w:i/>
                            <w:sz w:val="18"/>
                            <w:szCs w:val="18"/>
                            <w:lang w:val="en-US"/>
                          </w:rPr>
                        </m:ctrlPr>
                      </m:sSubPr>
                      <m:e>
                        <m:r>
                          <w:rPr>
                            <w:rFonts w:ascii="Cambria Math" w:hAnsi="Cambria Math"/>
                            <w:sz w:val="18"/>
                            <w:szCs w:val="18"/>
                            <w:lang w:val="en-US"/>
                          </w:rPr>
                          <m:t>C</m:t>
                        </m:r>
                      </m:e>
                      <m:sub>
                        <m:r>
                          <w:rPr>
                            <w:rFonts w:ascii="Cambria Math" w:hAnsi="Cambria Math"/>
                            <w:sz w:val="18"/>
                            <w:szCs w:val="18"/>
                            <w:lang w:val="en-US"/>
                          </w:rPr>
                          <m:t>p</m:t>
                        </m:r>
                      </m:sub>
                    </m:sSub>
                    <m:sSub>
                      <m:sSubPr>
                        <m:ctrlPr>
                          <w:rPr>
                            <w:rFonts w:ascii="Cambria Math" w:hAnsi="Cambria Math"/>
                            <w:i/>
                            <w:sz w:val="18"/>
                            <w:szCs w:val="18"/>
                            <w:lang w:val="en-US"/>
                          </w:rPr>
                        </m:ctrlPr>
                      </m:sSubPr>
                      <m:e>
                        <m:r>
                          <w:rPr>
                            <w:rFonts w:ascii="Cambria Math" w:hAnsi="Cambria Math"/>
                            <w:sz w:val="18"/>
                            <w:szCs w:val="18"/>
                            <w:lang w:val="en-US"/>
                          </w:rPr>
                          <m:t>,</m:t>
                        </m:r>
                      </m:e>
                      <m:sub>
                        <m:r>
                          <w:rPr>
                            <w:rFonts w:ascii="Cambria Math" w:hAnsi="Cambria Math"/>
                            <w:sz w:val="18"/>
                            <w:szCs w:val="18"/>
                            <w:lang w:val="en-US"/>
                          </w:rPr>
                          <m:t>isol</m:t>
                        </m:r>
                      </m:sub>
                    </m:sSub>
                    <m:r>
                      <w:rPr>
                        <w:rFonts w:ascii="Cambria Math" w:eastAsiaTheme="minorEastAsia"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M</m:t>
                        </m:r>
                      </m:e>
                      <m:sub>
                        <m:r>
                          <w:rPr>
                            <w:rFonts w:ascii="Cambria Math" w:hAnsi="Cambria Math"/>
                            <w:sz w:val="18"/>
                            <w:szCs w:val="18"/>
                            <w:lang w:val="en-US"/>
                          </w:rPr>
                          <m:t>isol</m:t>
                        </m:r>
                      </m:sub>
                    </m:sSub>
                    <m:r>
                      <w:rPr>
                        <w:rFonts w:ascii="Cambria Math"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C</m:t>
                        </m:r>
                      </m:e>
                      <m:sub>
                        <m:r>
                          <w:rPr>
                            <w:rFonts w:ascii="Cambria Math" w:hAnsi="Cambria Math"/>
                            <w:sz w:val="18"/>
                            <w:szCs w:val="18"/>
                            <w:lang w:val="en-US"/>
                          </w:rPr>
                          <m:t>p</m:t>
                        </m:r>
                      </m:sub>
                    </m:sSub>
                    <m:sSub>
                      <m:sSubPr>
                        <m:ctrlPr>
                          <w:rPr>
                            <w:rFonts w:ascii="Cambria Math" w:hAnsi="Cambria Math"/>
                            <w:i/>
                            <w:sz w:val="18"/>
                            <w:szCs w:val="18"/>
                            <w:lang w:val="en-US"/>
                          </w:rPr>
                        </m:ctrlPr>
                      </m:sSubPr>
                      <m:e>
                        <m:r>
                          <w:rPr>
                            <w:rFonts w:ascii="Cambria Math" w:hAnsi="Cambria Math"/>
                            <w:sz w:val="18"/>
                            <w:szCs w:val="18"/>
                            <w:lang w:val="en-US"/>
                          </w:rPr>
                          <m:t>,</m:t>
                        </m:r>
                      </m:e>
                      <m:sub>
                        <m:r>
                          <w:rPr>
                            <w:rFonts w:ascii="Cambria Math" w:hAnsi="Cambria Math"/>
                            <w:sz w:val="18"/>
                            <w:szCs w:val="18"/>
                            <w:lang w:val="en-US"/>
                          </w:rPr>
                          <m:t>MEA</m:t>
                        </m:r>
                      </m:sub>
                    </m:sSub>
                    <m:r>
                      <w:rPr>
                        <w:rFonts w:ascii="Cambria Math" w:eastAsiaTheme="minorEastAsia"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M</m:t>
                        </m:r>
                      </m:e>
                      <m:sub>
                        <m:r>
                          <w:rPr>
                            <w:rFonts w:ascii="Cambria Math" w:hAnsi="Cambria Math"/>
                            <w:sz w:val="18"/>
                            <w:szCs w:val="18"/>
                            <w:lang w:val="en-US"/>
                          </w:rPr>
                          <m:t>MEA</m:t>
                        </m:r>
                      </m:sub>
                    </m:sSub>
                    <m:r>
                      <w:rPr>
                        <w:rFonts w:ascii="Cambria Math"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C</m:t>
                        </m:r>
                      </m:e>
                      <m:sub>
                        <m:r>
                          <w:rPr>
                            <w:rFonts w:ascii="Cambria Math" w:hAnsi="Cambria Math"/>
                            <w:sz w:val="18"/>
                            <w:szCs w:val="18"/>
                            <w:lang w:val="en-US"/>
                          </w:rPr>
                          <m:t>p</m:t>
                        </m:r>
                      </m:sub>
                    </m:sSub>
                    <m:sSub>
                      <m:sSubPr>
                        <m:ctrlPr>
                          <w:rPr>
                            <w:rFonts w:ascii="Cambria Math" w:hAnsi="Cambria Math"/>
                            <w:i/>
                            <w:sz w:val="18"/>
                            <w:szCs w:val="18"/>
                            <w:lang w:val="en-US"/>
                          </w:rPr>
                        </m:ctrlPr>
                      </m:sSubPr>
                      <m:e>
                        <m:r>
                          <w:rPr>
                            <w:rFonts w:ascii="Cambria Math" w:hAnsi="Cambria Math"/>
                            <w:sz w:val="18"/>
                            <w:szCs w:val="18"/>
                            <w:lang w:val="en-US"/>
                          </w:rPr>
                          <m:t>,</m:t>
                        </m:r>
                      </m:e>
                      <m:sub>
                        <m:r>
                          <w:rPr>
                            <w:rFonts w:ascii="Cambria Math" w:hAnsi="Cambria Math"/>
                            <w:sz w:val="18"/>
                            <w:szCs w:val="18"/>
                            <w:lang w:val="en-US"/>
                          </w:rPr>
                          <m:t>INTER</m:t>
                        </m:r>
                      </m:sub>
                    </m:sSub>
                    <m:r>
                      <w:rPr>
                        <w:rFonts w:ascii="Cambria Math" w:eastAsiaTheme="minorEastAsia" w:hAnsi="Cambria Math"/>
                        <w:sz w:val="18"/>
                        <w:szCs w:val="18"/>
                        <w:lang w:val="en-US"/>
                      </w:rPr>
                      <m:t>∙</m:t>
                    </m:r>
                    <m:sSub>
                      <m:sSubPr>
                        <m:ctrlPr>
                          <w:rPr>
                            <w:rFonts w:ascii="Cambria Math" w:hAnsi="Cambria Math"/>
                            <w:i/>
                            <w:sz w:val="18"/>
                            <w:szCs w:val="18"/>
                            <w:lang w:val="en-US"/>
                          </w:rPr>
                        </m:ctrlPr>
                      </m:sSubPr>
                      <m:e>
                        <m:r>
                          <w:rPr>
                            <w:rFonts w:ascii="Cambria Math" w:hAnsi="Cambria Math"/>
                            <w:sz w:val="18"/>
                            <w:szCs w:val="18"/>
                            <w:lang w:val="en-US"/>
                          </w:rPr>
                          <m:t>M</m:t>
                        </m:r>
                      </m:e>
                      <m:sub>
                        <m:r>
                          <w:rPr>
                            <w:rFonts w:ascii="Cambria Math" w:hAnsi="Cambria Math"/>
                            <w:sz w:val="18"/>
                            <w:szCs w:val="18"/>
                            <w:lang w:val="en-US"/>
                          </w:rPr>
                          <m:t>INTER</m:t>
                        </m:r>
                      </m:sub>
                    </m:sSub>
                  </m:e>
                </m:d>
                <m:r>
                  <w:rPr>
                    <w:rFonts w:ascii="Cambria Math" w:eastAsiaTheme="minorEastAsia" w:hAnsi="Cambria Math"/>
                    <w:sz w:val="18"/>
                    <w:szCs w:val="18"/>
                    <w:lang w:val="en-US"/>
                  </w:rPr>
                  <m:t>∙</m:t>
                </m:r>
                <m:f>
                  <m:fPr>
                    <m:ctrlPr>
                      <w:rPr>
                        <w:rFonts w:ascii="Cambria Math" w:hAnsi="Cambria Math"/>
                        <w:i/>
                        <w:sz w:val="18"/>
                        <w:szCs w:val="18"/>
                        <w:lang w:val="en-US"/>
                      </w:rPr>
                    </m:ctrlPr>
                  </m:fPr>
                  <m:num>
                    <m:r>
                      <w:rPr>
                        <w:rFonts w:ascii="Cambria Math" w:hAnsi="Cambria Math"/>
                        <w:sz w:val="18"/>
                        <w:szCs w:val="18"/>
                        <w:lang w:val="en-US"/>
                      </w:rPr>
                      <m:t>d</m:t>
                    </m:r>
                    <m:sSubSup>
                      <m:sSubSupPr>
                        <m:ctrlPr>
                          <w:rPr>
                            <w:rFonts w:ascii="Cambria Math" w:hAnsi="Cambria Math"/>
                            <w:i/>
                            <w:sz w:val="18"/>
                            <w:szCs w:val="18"/>
                            <w:lang w:val="en-US"/>
                          </w:rPr>
                        </m:ctrlPr>
                      </m:sSubSupPr>
                      <m:e>
                        <m:r>
                          <w:rPr>
                            <w:rFonts w:ascii="Cambria Math" w:hAnsi="Cambria Math"/>
                            <w:sz w:val="18"/>
                            <w:szCs w:val="18"/>
                            <w:lang w:val="en-US"/>
                          </w:rPr>
                          <m:t>T</m:t>
                        </m:r>
                      </m:e>
                      <m:sub>
                        <m:r>
                          <w:rPr>
                            <w:rFonts w:ascii="Cambria Math" w:hAnsi="Cambria Math"/>
                            <w:sz w:val="18"/>
                            <w:szCs w:val="18"/>
                            <w:lang w:val="en-US"/>
                          </w:rPr>
                          <m:t>SOFC</m:t>
                        </m:r>
                      </m:sub>
                      <m:sup>
                        <m:r>
                          <w:rPr>
                            <w:rFonts w:ascii="Cambria Math" w:hAnsi="Cambria Math"/>
                            <w:sz w:val="18"/>
                            <w:szCs w:val="18"/>
                            <w:lang w:val="en-US"/>
                          </w:rPr>
                          <m:t>out</m:t>
                        </m:r>
                      </m:sup>
                    </m:sSubSup>
                  </m:num>
                  <m:den>
                    <m:r>
                      <w:rPr>
                        <w:rFonts w:ascii="Cambria Math" w:hAnsi="Cambria Math"/>
                        <w:sz w:val="18"/>
                        <w:szCs w:val="18"/>
                        <w:lang w:val="en-US"/>
                      </w:rPr>
                      <m:t>dt</m:t>
                    </m:r>
                  </m:den>
                </m:f>
                <m:r>
                  <w:rPr>
                    <w:rFonts w:ascii="Cambria Math" w:hAnsi="Cambria Math"/>
                    <w:sz w:val="18"/>
                    <w:szCs w:val="18"/>
                    <w:lang w:val="en-US"/>
                  </w:rPr>
                  <m:t>=</m:t>
                </m:r>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in</m:t>
                    </m:r>
                  </m:sub>
                  <m:sup>
                    <m:r>
                      <w:rPr>
                        <w:rFonts w:ascii="Cambria Math" w:hAnsi="Cambria Math"/>
                        <w:sz w:val="18"/>
                        <w:szCs w:val="18"/>
                        <w:lang w:val="en-US"/>
                      </w:rPr>
                      <m:t>an</m:t>
                    </m:r>
                  </m:sup>
                </m:sSubSup>
                <m:r>
                  <w:rPr>
                    <w:rFonts w:ascii="Cambria Math" w:hAnsi="Cambria Math"/>
                    <w:sz w:val="18"/>
                    <w:szCs w:val="18"/>
                    <w:lang w:val="en-US"/>
                  </w:rPr>
                  <m:t>+</m:t>
                </m:r>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out</m:t>
                    </m:r>
                  </m:sub>
                  <m:sup>
                    <m:r>
                      <w:rPr>
                        <w:rFonts w:ascii="Cambria Math" w:hAnsi="Cambria Math"/>
                        <w:sz w:val="18"/>
                        <w:szCs w:val="18"/>
                        <w:lang w:val="en-US"/>
                      </w:rPr>
                      <m:t>an</m:t>
                    </m:r>
                  </m:sup>
                </m:sSubSup>
                <m:r>
                  <w:rPr>
                    <w:rFonts w:ascii="Cambria Math" w:eastAsiaTheme="minorEastAsia" w:hAnsi="Cambria Math"/>
                    <w:sz w:val="18"/>
                    <w:szCs w:val="18"/>
                    <w:lang w:val="en-US"/>
                  </w:rPr>
                  <m:t>+</m:t>
                </m:r>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in</m:t>
                    </m:r>
                  </m:sub>
                  <m:sup>
                    <m:r>
                      <w:rPr>
                        <w:rFonts w:ascii="Cambria Math" w:hAnsi="Cambria Math"/>
                        <w:sz w:val="18"/>
                        <w:szCs w:val="18"/>
                        <w:lang w:val="en-US"/>
                      </w:rPr>
                      <m:t>cat</m:t>
                    </m:r>
                  </m:sup>
                </m:sSubSup>
                <m:r>
                  <w:rPr>
                    <w:rFonts w:ascii="Cambria Math" w:hAnsi="Cambria Math"/>
                    <w:sz w:val="18"/>
                    <w:szCs w:val="18"/>
                    <w:lang w:val="en-US"/>
                  </w:rPr>
                  <m:t>+</m:t>
                </m:r>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out</m:t>
                    </m:r>
                  </m:sub>
                  <m:sup>
                    <m:r>
                      <w:rPr>
                        <w:rFonts w:ascii="Cambria Math" w:hAnsi="Cambria Math"/>
                        <w:sz w:val="18"/>
                        <w:szCs w:val="18"/>
                        <w:lang w:val="en-US"/>
                      </w:rPr>
                      <m:t>cat</m:t>
                    </m:r>
                  </m:sup>
                </m:sSubSup>
                <m:r>
                  <w:rPr>
                    <w:rFonts w:ascii="Cambria Math" w:eastAsiaTheme="minorEastAsia" w:hAnsi="Cambria Math"/>
                    <w:sz w:val="18"/>
                    <w:szCs w:val="18"/>
                    <w:lang w:val="en-US"/>
                  </w:rPr>
                  <m:t>-</m:t>
                </m:r>
                <m:sSub>
                  <m:sSubPr>
                    <m:ctrlPr>
                      <w:rPr>
                        <w:rFonts w:ascii="Cambria Math" w:hAnsi="Cambria Math"/>
                        <w:i/>
                        <w:sz w:val="18"/>
                        <w:lang w:val="en-US"/>
                      </w:rPr>
                    </m:ctrlPr>
                  </m:sSubPr>
                  <m:e>
                    <m:r>
                      <w:rPr>
                        <w:rFonts w:ascii="Cambria Math" w:hAnsi="Cambria Math"/>
                        <w:sz w:val="18"/>
                        <w:lang w:val="en-US"/>
                      </w:rPr>
                      <m:t>W</m:t>
                    </m:r>
                  </m:e>
                  <m:sub>
                    <m:r>
                      <w:rPr>
                        <w:rFonts w:ascii="Cambria Math" w:hAnsi="Cambria Math"/>
                        <w:sz w:val="18"/>
                        <w:lang w:val="en-US"/>
                      </w:rPr>
                      <m:t>el</m:t>
                    </m:r>
                  </m:sub>
                </m:sSub>
              </m:oMath>
            </m:oMathPara>
          </w:p>
        </w:tc>
        <w:tc>
          <w:tcPr>
            <w:tcW w:w="850" w:type="dxa"/>
            <w:vAlign w:val="center"/>
          </w:tcPr>
          <w:p w14:paraId="19F2B07B" w14:textId="77777777" w:rsidR="002E0064" w:rsidRPr="008B2319" w:rsidRDefault="002E0064" w:rsidP="00615429">
            <w:pPr>
              <w:spacing w:before="120"/>
              <w:jc w:val="center"/>
            </w:pPr>
            <w:r w:rsidRPr="008B2319">
              <w:t>(9)</w:t>
            </w:r>
          </w:p>
        </w:tc>
      </w:tr>
      <w:tr w:rsidR="008B2319" w:rsidRPr="008B2319" w14:paraId="5F58DA75" w14:textId="77777777" w:rsidTr="00E911F5">
        <w:trPr>
          <w:jc w:val="center"/>
        </w:trPr>
        <w:tc>
          <w:tcPr>
            <w:tcW w:w="8504" w:type="dxa"/>
            <w:vAlign w:val="center"/>
          </w:tcPr>
          <w:p w14:paraId="71772EB7" w14:textId="77777777" w:rsidR="002E0064" w:rsidRPr="008B2319" w:rsidRDefault="00825D4F" w:rsidP="00615429">
            <w:pPr>
              <w:spacing w:before="120"/>
              <w:jc w:val="center"/>
              <w:rPr>
                <w:rFonts w:eastAsia="Calibri" w:cs="Times New Roman"/>
                <w:sz w:val="18"/>
                <w:szCs w:val="18"/>
                <w:lang w:val="en-US"/>
              </w:rPr>
            </w:pPr>
            <m:oMathPara>
              <m:oMath>
                <m:sSubSup>
                  <m:sSubSupPr>
                    <m:ctrlPr>
                      <w:rPr>
                        <w:rFonts w:ascii="Cambria Math" w:hAnsi="Cambria Math"/>
                        <w:i/>
                        <w:sz w:val="18"/>
                        <w:lang w:val="en-US"/>
                      </w:rPr>
                    </m:ctrlPr>
                  </m:sSubSupPr>
                  <m:e>
                    <m:r>
                      <m:rPr>
                        <m:sty m:val="p"/>
                      </m:rPr>
                      <w:rPr>
                        <w:rFonts w:ascii="Cambria Math" w:hAnsi="Cambria Math"/>
                        <w:sz w:val="18"/>
                        <w:lang w:val="en-US"/>
                      </w:rPr>
                      <m:t>Φ</m:t>
                    </m:r>
                  </m:e>
                  <m:sub>
                    <m:r>
                      <w:rPr>
                        <w:rFonts w:ascii="Cambria Math" w:hAnsi="Cambria Math"/>
                        <w:sz w:val="18"/>
                        <w:lang w:val="en-US"/>
                      </w:rPr>
                      <m:t>in</m:t>
                    </m:r>
                  </m:sub>
                  <m:sup>
                    <m:r>
                      <w:rPr>
                        <w:rFonts w:ascii="Cambria Math" w:hAnsi="Cambria Math"/>
                        <w:sz w:val="18"/>
                        <w:lang w:val="en-US"/>
                      </w:rPr>
                      <m:t>an</m:t>
                    </m:r>
                  </m:sup>
                </m:sSubSup>
                <m:r>
                  <w:rPr>
                    <w:rFonts w:ascii="Cambria Math" w:eastAsiaTheme="minorEastAsia" w:hAnsi="Cambria Math"/>
                    <w:sz w:val="18"/>
                    <w:lang w:val="en-US"/>
                  </w:rPr>
                  <m:t>=</m:t>
                </m:r>
                <m:sSubSup>
                  <m:sSubSupPr>
                    <m:ctrlPr>
                      <w:rPr>
                        <w:rFonts w:ascii="Cambria Math" w:eastAsiaTheme="minorEastAsia" w:hAnsi="Cambria Math"/>
                        <w:i/>
                        <w:sz w:val="18"/>
                        <w:lang w:val="en-US"/>
                      </w:rPr>
                    </m:ctrlPr>
                  </m:sSubSupPr>
                  <m:e>
                    <m:acc>
                      <m:accPr>
                        <m:chr m:val="̇"/>
                        <m:ctrlPr>
                          <w:rPr>
                            <w:rFonts w:ascii="Cambria Math" w:eastAsiaTheme="minorEastAsia" w:hAnsi="Cambria Math"/>
                            <w:i/>
                            <w:sz w:val="18"/>
                            <w:lang w:val="en-US"/>
                          </w:rPr>
                        </m:ctrlPr>
                      </m:accPr>
                      <m:e>
                        <m:r>
                          <w:rPr>
                            <w:rFonts w:ascii="Cambria Math" w:eastAsiaTheme="minorEastAsia" w:hAnsi="Cambria Math"/>
                            <w:sz w:val="18"/>
                            <w:lang w:val="en-US"/>
                          </w:rPr>
                          <m:t>G</m:t>
                        </m:r>
                      </m:e>
                    </m:acc>
                  </m:e>
                  <m:sub>
                    <m:r>
                      <w:rPr>
                        <w:rFonts w:ascii="Cambria Math" w:eastAsiaTheme="minorEastAsia" w:hAnsi="Cambria Math"/>
                        <w:sz w:val="18"/>
                        <w:lang w:val="en-US"/>
                      </w:rPr>
                      <m:t>in</m:t>
                    </m:r>
                  </m:sub>
                  <m:sup>
                    <m:r>
                      <w:rPr>
                        <w:rFonts w:ascii="Cambria Math" w:eastAsiaTheme="minorEastAsia" w:hAnsi="Cambria Math"/>
                        <w:sz w:val="18"/>
                        <w:lang w:val="en-US"/>
                      </w:rPr>
                      <m:t>an</m:t>
                    </m:r>
                  </m:sup>
                </m:sSubSup>
                <m:r>
                  <w:rPr>
                    <w:rFonts w:ascii="Cambria Math" w:eastAsiaTheme="minorEastAsia" w:hAnsi="Cambria Math"/>
                    <w:sz w:val="18"/>
                    <w:lang w:val="en-US"/>
                  </w:rPr>
                  <m:t>∙</m:t>
                </m:r>
                <m:nary>
                  <m:naryPr>
                    <m:chr m:val="∑"/>
                    <m:limLoc m:val="undOvr"/>
                    <m:ctrlPr>
                      <w:rPr>
                        <w:rFonts w:ascii="Cambria Math" w:eastAsiaTheme="minorEastAsia" w:hAnsi="Cambria Math"/>
                        <w:i/>
                        <w:sz w:val="18"/>
                        <w:lang w:val="en-US"/>
                      </w:rPr>
                    </m:ctrlPr>
                  </m:naryPr>
                  <m:sub>
                    <m:r>
                      <w:rPr>
                        <w:rFonts w:ascii="Cambria Math" w:eastAsiaTheme="minorEastAsia" w:hAnsi="Cambria Math"/>
                        <w:sz w:val="18"/>
                        <w:lang w:val="en-US"/>
                      </w:rPr>
                      <m:t>i=1</m:t>
                    </m:r>
                  </m:sub>
                  <m:sup>
                    <m:r>
                      <w:rPr>
                        <w:rFonts w:ascii="Cambria Math" w:eastAsiaTheme="minorEastAsia" w:hAnsi="Cambria Math"/>
                        <w:sz w:val="18"/>
                        <w:lang w:val="en-US"/>
                      </w:rPr>
                      <m:t>5</m:t>
                    </m:r>
                  </m:sup>
                  <m:e>
                    <m:sSubSup>
                      <m:sSubSupPr>
                        <m:ctrlPr>
                          <w:rPr>
                            <w:rFonts w:ascii="Cambria Math" w:eastAsiaTheme="minorEastAsia" w:hAnsi="Cambria Math"/>
                            <w:i/>
                            <w:sz w:val="18"/>
                            <w:lang w:val="en-US"/>
                          </w:rPr>
                        </m:ctrlPr>
                      </m:sSubSupPr>
                      <m:e>
                        <m:r>
                          <w:rPr>
                            <w:rFonts w:ascii="Cambria Math" w:eastAsiaTheme="minorEastAsia" w:hAnsi="Cambria Math"/>
                            <w:sz w:val="18"/>
                            <w:lang w:val="en-US"/>
                          </w:rPr>
                          <m:t>y</m:t>
                        </m:r>
                      </m:e>
                      <m:sub>
                        <m:r>
                          <w:rPr>
                            <w:rFonts w:ascii="Cambria Math" w:eastAsiaTheme="minorEastAsia" w:hAnsi="Cambria Math"/>
                            <w:sz w:val="18"/>
                            <w:lang w:val="en-US"/>
                          </w:rPr>
                          <m:t>i</m:t>
                        </m:r>
                      </m:sub>
                      <m:sup>
                        <m:r>
                          <w:rPr>
                            <w:rFonts w:ascii="Cambria Math" w:eastAsiaTheme="minorEastAsia" w:hAnsi="Cambria Math"/>
                            <w:sz w:val="18"/>
                            <w:lang w:val="en-US"/>
                          </w:rPr>
                          <m:t>an,in</m:t>
                        </m:r>
                      </m:sup>
                    </m:sSubSup>
                    <m:r>
                      <w:rPr>
                        <w:rFonts w:ascii="Cambria Math" w:eastAsiaTheme="minorEastAsia" w:hAnsi="Cambria Math"/>
                        <w:sz w:val="18"/>
                        <w:lang w:val="en-US"/>
                      </w:rPr>
                      <m:t>∙</m:t>
                    </m:r>
                  </m:e>
                </m:nary>
                <m:sSubSup>
                  <m:sSubSupPr>
                    <m:ctrlPr>
                      <w:rPr>
                        <w:rFonts w:ascii="Cambria Math" w:eastAsiaTheme="minorEastAsia" w:hAnsi="Cambria Math"/>
                        <w:i/>
                        <w:sz w:val="18"/>
                        <w:lang w:val="en-US"/>
                      </w:rPr>
                    </m:ctrlPr>
                  </m:sSubSupPr>
                  <m:e>
                    <m:r>
                      <w:rPr>
                        <w:rFonts w:ascii="Cambria Math" w:eastAsiaTheme="minorEastAsia" w:hAnsi="Cambria Math"/>
                        <w:sz w:val="18"/>
                        <w:lang w:val="en-US"/>
                      </w:rPr>
                      <m:t>h</m:t>
                    </m:r>
                  </m:e>
                  <m:sub>
                    <m:r>
                      <w:rPr>
                        <w:rFonts w:ascii="Cambria Math" w:eastAsiaTheme="minorEastAsia" w:hAnsi="Cambria Math"/>
                        <w:sz w:val="18"/>
                        <w:lang w:val="en-US"/>
                      </w:rPr>
                      <m:t>i</m:t>
                    </m:r>
                  </m:sub>
                  <m:sup>
                    <m:r>
                      <w:rPr>
                        <w:rFonts w:ascii="Cambria Math" w:eastAsiaTheme="minorEastAsia" w:hAnsi="Cambria Math"/>
                        <w:sz w:val="18"/>
                        <w:lang w:val="en-US"/>
                      </w:rPr>
                      <m:t>an</m:t>
                    </m:r>
                  </m:sup>
                </m:sSubSup>
                <m:r>
                  <w:rPr>
                    <w:rFonts w:ascii="Cambria Math" w:eastAsiaTheme="minorEastAsia" w:hAnsi="Cambria Math"/>
                    <w:sz w:val="18"/>
                    <w:lang w:val="en-US"/>
                  </w:rPr>
                  <m:t>(</m:t>
                </m:r>
                <m:sSubSup>
                  <m:sSubSupPr>
                    <m:ctrlPr>
                      <w:rPr>
                        <w:rFonts w:ascii="Cambria Math" w:hAnsi="Cambria Math"/>
                        <w:i/>
                        <w:sz w:val="16"/>
                        <w:lang w:val="en-US"/>
                      </w:rPr>
                    </m:ctrlPr>
                  </m:sSubSupPr>
                  <m:e>
                    <m:r>
                      <w:rPr>
                        <w:rFonts w:ascii="Cambria Math" w:hAnsi="Cambria Math"/>
                        <w:sz w:val="16"/>
                        <w:lang w:val="en-US"/>
                      </w:rPr>
                      <m:t>T</m:t>
                    </m:r>
                  </m:e>
                  <m:sub>
                    <m:r>
                      <w:rPr>
                        <w:rFonts w:ascii="Cambria Math" w:hAnsi="Cambria Math"/>
                        <w:sz w:val="16"/>
                        <w:lang w:val="en-US"/>
                      </w:rPr>
                      <m:t>pipe</m:t>
                    </m:r>
                  </m:sub>
                  <m:sup>
                    <m:r>
                      <w:rPr>
                        <w:rFonts w:ascii="Cambria Math" w:hAnsi="Cambria Math"/>
                        <w:sz w:val="16"/>
                        <w:lang w:val="en-US"/>
                      </w:rPr>
                      <m:t>out</m:t>
                    </m:r>
                  </m:sup>
                </m:sSubSup>
                <m:r>
                  <w:rPr>
                    <w:rFonts w:ascii="Cambria Math" w:eastAsiaTheme="minorEastAsia" w:hAnsi="Cambria Math"/>
                    <w:sz w:val="18"/>
                    <w:lang w:val="en-US"/>
                  </w:rPr>
                  <m:t xml:space="preserve">)     </m:t>
                </m:r>
                <m:r>
                  <w:rPr>
                    <w:rFonts w:ascii="Cambria Math" w:eastAsiaTheme="minorEastAsia" w:hAnsi="Cambria Math"/>
                    <w:sz w:val="16"/>
                    <w:lang w:val="en-US"/>
                  </w:rPr>
                  <m:t>i=</m:t>
                </m:r>
                <m:d>
                  <m:dPr>
                    <m:begChr m:val="{"/>
                    <m:endChr m:val="}"/>
                    <m:ctrlPr>
                      <w:rPr>
                        <w:rFonts w:ascii="Cambria Math" w:eastAsiaTheme="minorEastAsia" w:hAnsi="Cambria Math"/>
                        <w:i/>
                        <w:sz w:val="16"/>
                        <w:lang w:val="en-US"/>
                      </w:rPr>
                    </m:ctrlPr>
                  </m:dPr>
                  <m:e>
                    <m:r>
                      <w:rPr>
                        <w:rFonts w:ascii="Cambria Math" w:eastAsiaTheme="minorEastAsia" w:hAnsi="Cambria Math"/>
                        <w:sz w:val="16"/>
                        <w:lang w:val="en-US"/>
                      </w:rPr>
                      <m:t>C</m:t>
                    </m:r>
                    <m:sSub>
                      <m:sSubPr>
                        <m:ctrlPr>
                          <w:rPr>
                            <w:rFonts w:ascii="Cambria Math" w:eastAsiaTheme="minorEastAsia" w:hAnsi="Cambria Math"/>
                            <w:i/>
                            <w:sz w:val="16"/>
                            <w:lang w:val="en-US"/>
                          </w:rPr>
                        </m:ctrlPr>
                      </m:sSubPr>
                      <m:e>
                        <m:r>
                          <w:rPr>
                            <w:rFonts w:ascii="Cambria Math" w:eastAsiaTheme="minorEastAsia" w:hAnsi="Cambria Math"/>
                            <w:sz w:val="16"/>
                            <w:lang w:val="en-US"/>
                          </w:rPr>
                          <m:t>H</m:t>
                        </m:r>
                      </m:e>
                      <m:sub>
                        <m:r>
                          <w:rPr>
                            <w:rFonts w:ascii="Cambria Math" w:eastAsiaTheme="minorEastAsia" w:hAnsi="Cambria Math"/>
                            <w:sz w:val="16"/>
                            <w:lang w:val="en-US"/>
                          </w:rPr>
                          <m:t>4</m:t>
                        </m:r>
                      </m:sub>
                    </m:sSub>
                    <m:r>
                      <w:rPr>
                        <w:rFonts w:ascii="Cambria Math" w:eastAsiaTheme="minorEastAsia" w:hAnsi="Cambria Math"/>
                        <w:sz w:val="16"/>
                        <w:lang w:val="en-US"/>
                      </w:rPr>
                      <m:t>,CO,C</m:t>
                    </m:r>
                    <m:sSub>
                      <m:sSubPr>
                        <m:ctrlPr>
                          <w:rPr>
                            <w:rFonts w:ascii="Cambria Math" w:eastAsiaTheme="minorEastAsia" w:hAnsi="Cambria Math"/>
                            <w:i/>
                            <w:sz w:val="16"/>
                            <w:lang w:val="en-US"/>
                          </w:rPr>
                        </m:ctrlPr>
                      </m:sSubPr>
                      <m:e>
                        <m:r>
                          <w:rPr>
                            <w:rFonts w:ascii="Cambria Math" w:eastAsiaTheme="minorEastAsia" w:hAnsi="Cambria Math"/>
                            <w:sz w:val="16"/>
                            <w:lang w:val="en-US"/>
                          </w:rPr>
                          <m:t>O</m:t>
                        </m:r>
                      </m:e>
                      <m:sub>
                        <m:r>
                          <w:rPr>
                            <w:rFonts w:ascii="Cambria Math" w:eastAsiaTheme="minorEastAsia" w:hAnsi="Cambria Math"/>
                            <w:sz w:val="16"/>
                            <w:lang w:val="en-US"/>
                          </w:rPr>
                          <m:t>2</m:t>
                        </m:r>
                      </m:sub>
                    </m:sSub>
                    <m:r>
                      <w:rPr>
                        <w:rFonts w:ascii="Cambria Math" w:eastAsiaTheme="minorEastAsia" w:hAnsi="Cambria Math"/>
                        <w:sz w:val="16"/>
                        <w:lang w:val="en-US"/>
                      </w:rPr>
                      <m:t>,</m:t>
                    </m:r>
                    <m:sSub>
                      <m:sSubPr>
                        <m:ctrlPr>
                          <w:rPr>
                            <w:rFonts w:ascii="Cambria Math" w:eastAsiaTheme="minorEastAsia" w:hAnsi="Cambria Math"/>
                            <w:i/>
                            <w:sz w:val="16"/>
                            <w:lang w:val="en-US"/>
                          </w:rPr>
                        </m:ctrlPr>
                      </m:sSubPr>
                      <m:e>
                        <m:r>
                          <w:rPr>
                            <w:rFonts w:ascii="Cambria Math" w:eastAsiaTheme="minorEastAsia" w:hAnsi="Cambria Math"/>
                            <w:sz w:val="16"/>
                            <w:lang w:val="en-US"/>
                          </w:rPr>
                          <m:t>H</m:t>
                        </m:r>
                      </m:e>
                      <m:sub>
                        <m:r>
                          <w:rPr>
                            <w:rFonts w:ascii="Cambria Math" w:eastAsiaTheme="minorEastAsia" w:hAnsi="Cambria Math"/>
                            <w:sz w:val="16"/>
                            <w:lang w:val="en-US"/>
                          </w:rPr>
                          <m:t>2</m:t>
                        </m:r>
                      </m:sub>
                    </m:sSub>
                    <m:r>
                      <w:rPr>
                        <w:rFonts w:ascii="Cambria Math" w:eastAsiaTheme="minorEastAsia" w:hAnsi="Cambria Math"/>
                        <w:sz w:val="16"/>
                        <w:lang w:val="en-US"/>
                      </w:rPr>
                      <m:t>O,</m:t>
                    </m:r>
                    <m:sSub>
                      <m:sSubPr>
                        <m:ctrlPr>
                          <w:rPr>
                            <w:rFonts w:ascii="Cambria Math" w:eastAsiaTheme="minorEastAsia" w:hAnsi="Cambria Math"/>
                            <w:i/>
                            <w:sz w:val="16"/>
                            <w:lang w:val="en-US"/>
                          </w:rPr>
                        </m:ctrlPr>
                      </m:sSubPr>
                      <m:e>
                        <m:r>
                          <w:rPr>
                            <w:rFonts w:ascii="Cambria Math" w:eastAsiaTheme="minorEastAsia" w:hAnsi="Cambria Math"/>
                            <w:sz w:val="16"/>
                            <w:lang w:val="en-US"/>
                          </w:rPr>
                          <m:t>H</m:t>
                        </m:r>
                      </m:e>
                      <m:sub>
                        <m:r>
                          <w:rPr>
                            <w:rFonts w:ascii="Cambria Math" w:eastAsiaTheme="minorEastAsia" w:hAnsi="Cambria Math"/>
                            <w:sz w:val="16"/>
                            <w:lang w:val="en-US"/>
                          </w:rPr>
                          <m:t>2</m:t>
                        </m:r>
                      </m:sub>
                    </m:sSub>
                  </m:e>
                </m:d>
              </m:oMath>
            </m:oMathPara>
          </w:p>
        </w:tc>
        <w:tc>
          <w:tcPr>
            <w:tcW w:w="850" w:type="dxa"/>
            <w:vAlign w:val="center"/>
          </w:tcPr>
          <w:p w14:paraId="044828FB" w14:textId="77777777" w:rsidR="002E0064" w:rsidRPr="008B2319" w:rsidRDefault="002E0064" w:rsidP="00615429">
            <w:pPr>
              <w:spacing w:before="120"/>
              <w:jc w:val="center"/>
            </w:pPr>
            <w:r w:rsidRPr="008B2319">
              <w:t>(10)</w:t>
            </w:r>
          </w:p>
        </w:tc>
      </w:tr>
      <w:tr w:rsidR="008B2319" w:rsidRPr="008B2319" w14:paraId="6AA003D7" w14:textId="77777777" w:rsidTr="00E911F5">
        <w:trPr>
          <w:jc w:val="center"/>
        </w:trPr>
        <w:tc>
          <w:tcPr>
            <w:tcW w:w="8504" w:type="dxa"/>
            <w:vAlign w:val="center"/>
          </w:tcPr>
          <w:p w14:paraId="6EC199F6" w14:textId="77777777" w:rsidR="00E911F5" w:rsidRPr="008B2319" w:rsidRDefault="00825D4F" w:rsidP="00615429">
            <w:pPr>
              <w:spacing w:before="120"/>
              <w:jc w:val="center"/>
              <w:rPr>
                <w:rFonts w:eastAsia="Calibri" w:cs="Times New Roman"/>
                <w:sz w:val="18"/>
                <w:szCs w:val="18"/>
                <w:lang w:val="en-US"/>
              </w:rPr>
            </w:pPr>
            <m:oMathPara>
              <m:oMath>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out</m:t>
                    </m:r>
                  </m:sub>
                  <m:sup>
                    <m:r>
                      <w:rPr>
                        <w:rFonts w:ascii="Cambria Math" w:hAnsi="Cambria Math"/>
                        <w:sz w:val="18"/>
                        <w:szCs w:val="18"/>
                        <w:lang w:val="en-US"/>
                      </w:rPr>
                      <m:t>an</m:t>
                    </m:r>
                  </m:sup>
                </m:sSubSup>
                <m:r>
                  <w:rPr>
                    <w:rFonts w:ascii="Cambria Math" w:eastAsiaTheme="minorEastAsia" w:hAnsi="Cambria Math"/>
                    <w:sz w:val="18"/>
                    <w:szCs w:val="18"/>
                    <w:lang w:val="en-US"/>
                  </w:rPr>
                  <m:t>=</m:t>
                </m:r>
                <m:sSubSup>
                  <m:sSubSupPr>
                    <m:ctrlPr>
                      <w:rPr>
                        <w:rFonts w:ascii="Cambria Math" w:eastAsiaTheme="minorEastAsia" w:hAnsi="Cambria Math"/>
                        <w:i/>
                        <w:sz w:val="18"/>
                        <w:szCs w:val="18"/>
                        <w:lang w:val="en-US"/>
                      </w:rPr>
                    </m:ctrlPr>
                  </m:sSubSupPr>
                  <m:e>
                    <m:acc>
                      <m:accPr>
                        <m:chr m:val="̇"/>
                        <m:ctrlPr>
                          <w:rPr>
                            <w:rFonts w:ascii="Cambria Math" w:eastAsiaTheme="minorEastAsia" w:hAnsi="Cambria Math"/>
                            <w:i/>
                            <w:sz w:val="18"/>
                            <w:szCs w:val="18"/>
                            <w:lang w:val="en-US"/>
                          </w:rPr>
                        </m:ctrlPr>
                      </m:accPr>
                      <m:e>
                        <m:r>
                          <w:rPr>
                            <w:rFonts w:ascii="Cambria Math" w:eastAsiaTheme="minorEastAsia" w:hAnsi="Cambria Math"/>
                            <w:sz w:val="18"/>
                            <w:szCs w:val="18"/>
                            <w:lang w:val="en-US"/>
                          </w:rPr>
                          <m:t>G</m:t>
                        </m:r>
                      </m:e>
                    </m:acc>
                  </m:e>
                  <m:sub>
                    <m:r>
                      <w:rPr>
                        <w:rFonts w:ascii="Cambria Math" w:eastAsiaTheme="minorEastAsia" w:hAnsi="Cambria Math"/>
                        <w:sz w:val="18"/>
                        <w:szCs w:val="18"/>
                        <w:lang w:val="en-US"/>
                      </w:rPr>
                      <m:t>out</m:t>
                    </m:r>
                  </m:sub>
                  <m:sup>
                    <m:r>
                      <w:rPr>
                        <w:rFonts w:ascii="Cambria Math" w:eastAsiaTheme="minorEastAsia" w:hAnsi="Cambria Math"/>
                        <w:sz w:val="18"/>
                        <w:szCs w:val="18"/>
                        <w:lang w:val="en-US"/>
                      </w:rPr>
                      <m:t>an</m:t>
                    </m:r>
                  </m:sup>
                </m:sSubSup>
                <m:r>
                  <w:rPr>
                    <w:rFonts w:ascii="Cambria Math" w:eastAsiaTheme="minorEastAsia" w:hAnsi="Cambria Math"/>
                    <w:sz w:val="18"/>
                    <w:szCs w:val="18"/>
                    <w:lang w:val="en-US"/>
                  </w:rPr>
                  <m:t>∙</m:t>
                </m:r>
                <m:nary>
                  <m:naryPr>
                    <m:chr m:val="∑"/>
                    <m:limLoc m:val="undOvr"/>
                    <m:ctrlPr>
                      <w:rPr>
                        <w:rFonts w:ascii="Cambria Math" w:eastAsiaTheme="minorEastAsia" w:hAnsi="Cambria Math"/>
                        <w:i/>
                        <w:sz w:val="18"/>
                        <w:szCs w:val="18"/>
                        <w:lang w:val="en-US"/>
                      </w:rPr>
                    </m:ctrlPr>
                  </m:naryPr>
                  <m:sub>
                    <m:r>
                      <w:rPr>
                        <w:rFonts w:ascii="Cambria Math" w:eastAsiaTheme="minorEastAsia" w:hAnsi="Cambria Math"/>
                        <w:sz w:val="18"/>
                        <w:szCs w:val="18"/>
                        <w:lang w:val="en-US"/>
                      </w:rPr>
                      <m:t>i=1</m:t>
                    </m:r>
                  </m:sub>
                  <m:sup>
                    <m:r>
                      <w:rPr>
                        <w:rFonts w:ascii="Cambria Math" w:eastAsiaTheme="minorEastAsia" w:hAnsi="Cambria Math"/>
                        <w:sz w:val="18"/>
                        <w:szCs w:val="18"/>
                        <w:lang w:val="en-US"/>
                      </w:rPr>
                      <m:t>5</m:t>
                    </m:r>
                  </m:sup>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y</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an,out</m:t>
                        </m:r>
                      </m:sup>
                    </m:sSubSup>
                    <m:r>
                      <w:rPr>
                        <w:rFonts w:ascii="Cambria Math" w:eastAsiaTheme="minorEastAsia" w:hAnsi="Cambria Math"/>
                        <w:sz w:val="18"/>
                        <w:szCs w:val="18"/>
                        <w:lang w:val="en-US"/>
                      </w:rPr>
                      <m:t>∙</m:t>
                    </m:r>
                  </m:e>
                </m:nary>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h</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an</m:t>
                    </m:r>
                  </m:sup>
                </m:sSubSup>
                <m:d>
                  <m:dPr>
                    <m:ctrlPr>
                      <w:rPr>
                        <w:rFonts w:ascii="Cambria Math" w:eastAsiaTheme="minorEastAsia" w:hAnsi="Cambria Math"/>
                        <w:i/>
                        <w:sz w:val="18"/>
                        <w:szCs w:val="18"/>
                        <w:lang w:val="en-US"/>
                      </w:rPr>
                    </m:ctrlPr>
                  </m:dPr>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T</m:t>
                        </m:r>
                      </m:e>
                      <m:sub>
                        <m:r>
                          <w:rPr>
                            <w:rFonts w:ascii="Cambria Math" w:eastAsiaTheme="minorEastAsia" w:hAnsi="Cambria Math"/>
                            <w:sz w:val="18"/>
                            <w:szCs w:val="18"/>
                            <w:lang w:val="en-US"/>
                          </w:rPr>
                          <m:t>SOFC</m:t>
                        </m:r>
                      </m:sub>
                      <m:sup>
                        <m:r>
                          <w:rPr>
                            <w:rFonts w:ascii="Cambria Math" w:eastAsiaTheme="minorEastAsia" w:hAnsi="Cambria Math"/>
                            <w:sz w:val="18"/>
                            <w:szCs w:val="18"/>
                            <w:lang w:val="en-US"/>
                          </w:rPr>
                          <m:t>out</m:t>
                        </m:r>
                      </m:sup>
                    </m:sSubSup>
                  </m:e>
                </m:d>
                <m:r>
                  <w:rPr>
                    <w:rFonts w:ascii="Cambria Math" w:eastAsiaTheme="minorEastAsia" w:hAnsi="Cambria Math"/>
                    <w:sz w:val="18"/>
                    <w:szCs w:val="18"/>
                    <w:lang w:val="en-US"/>
                  </w:rPr>
                  <m:t xml:space="preserve">  i=</m:t>
                </m:r>
                <m:d>
                  <m:dPr>
                    <m:begChr m:val="{"/>
                    <m:endChr m:val="}"/>
                    <m:ctrlPr>
                      <w:rPr>
                        <w:rFonts w:ascii="Cambria Math" w:eastAsiaTheme="minorEastAsia" w:hAnsi="Cambria Math"/>
                        <w:i/>
                        <w:sz w:val="18"/>
                        <w:szCs w:val="18"/>
                        <w:lang w:val="en-US"/>
                      </w:rPr>
                    </m:ctrlPr>
                  </m:dPr>
                  <m:e>
                    <m:r>
                      <w:rPr>
                        <w:rFonts w:ascii="Cambria Math" w:eastAsiaTheme="minorEastAsia" w:hAnsi="Cambria Math"/>
                        <w:sz w:val="18"/>
                        <w:szCs w:val="18"/>
                        <w:lang w:val="en-US"/>
                      </w:rPr>
                      <m:t>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4</m:t>
                        </m:r>
                      </m:sub>
                    </m:sSub>
                    <m:r>
                      <w:rPr>
                        <w:rFonts w:ascii="Cambria Math" w:eastAsiaTheme="minorEastAsia" w:hAnsi="Cambria Math"/>
                        <w:sz w:val="18"/>
                        <w:szCs w:val="18"/>
                        <w:lang w:val="en-US"/>
                      </w:rPr>
                      <m:t>,CO,C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O</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O,</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e>
                </m:d>
              </m:oMath>
            </m:oMathPara>
          </w:p>
        </w:tc>
        <w:tc>
          <w:tcPr>
            <w:tcW w:w="850" w:type="dxa"/>
            <w:vAlign w:val="center"/>
          </w:tcPr>
          <w:p w14:paraId="143C5BF2" w14:textId="77777777" w:rsidR="00E911F5" w:rsidRPr="008B2319" w:rsidRDefault="00E911F5" w:rsidP="00615429">
            <w:pPr>
              <w:spacing w:before="120"/>
              <w:jc w:val="center"/>
            </w:pPr>
            <w:r w:rsidRPr="008B2319">
              <w:t>(11)</w:t>
            </w:r>
          </w:p>
        </w:tc>
      </w:tr>
      <w:tr w:rsidR="008B2319" w:rsidRPr="008B2319" w14:paraId="7494D4A8" w14:textId="77777777" w:rsidTr="00E911F5">
        <w:trPr>
          <w:jc w:val="center"/>
        </w:trPr>
        <w:tc>
          <w:tcPr>
            <w:tcW w:w="8504" w:type="dxa"/>
            <w:vAlign w:val="center"/>
          </w:tcPr>
          <w:p w14:paraId="17C04066" w14:textId="77777777" w:rsidR="00E911F5" w:rsidRPr="008B2319" w:rsidRDefault="00825D4F" w:rsidP="00615429">
            <w:pPr>
              <w:spacing w:before="120"/>
              <w:jc w:val="center"/>
              <w:rPr>
                <w:rFonts w:eastAsia="Calibri" w:cs="Times New Roman"/>
                <w:sz w:val="18"/>
                <w:szCs w:val="18"/>
                <w:lang w:val="en-US"/>
              </w:rPr>
            </w:pPr>
            <m:oMathPara>
              <m:oMath>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in</m:t>
                    </m:r>
                  </m:sub>
                  <m:sup>
                    <m:r>
                      <w:rPr>
                        <w:rFonts w:ascii="Cambria Math" w:hAnsi="Cambria Math"/>
                        <w:sz w:val="18"/>
                        <w:szCs w:val="18"/>
                        <w:lang w:val="en-US"/>
                      </w:rPr>
                      <m:t>cat</m:t>
                    </m:r>
                  </m:sup>
                </m:sSubSup>
                <m:r>
                  <w:rPr>
                    <w:rFonts w:ascii="Cambria Math" w:eastAsiaTheme="minorEastAsia" w:hAnsi="Cambria Math"/>
                    <w:sz w:val="18"/>
                    <w:szCs w:val="18"/>
                    <w:lang w:val="en-US"/>
                  </w:rPr>
                  <m:t>=</m:t>
                </m:r>
                <m:sSubSup>
                  <m:sSubSupPr>
                    <m:ctrlPr>
                      <w:rPr>
                        <w:rFonts w:ascii="Cambria Math" w:eastAsiaTheme="minorEastAsia" w:hAnsi="Cambria Math"/>
                        <w:i/>
                        <w:sz w:val="18"/>
                        <w:szCs w:val="18"/>
                        <w:lang w:val="en-US"/>
                      </w:rPr>
                    </m:ctrlPr>
                  </m:sSubSupPr>
                  <m:e>
                    <m:acc>
                      <m:accPr>
                        <m:chr m:val="̇"/>
                        <m:ctrlPr>
                          <w:rPr>
                            <w:rFonts w:ascii="Cambria Math" w:eastAsiaTheme="minorEastAsia" w:hAnsi="Cambria Math"/>
                            <w:i/>
                            <w:sz w:val="18"/>
                            <w:szCs w:val="18"/>
                            <w:lang w:val="en-US"/>
                          </w:rPr>
                        </m:ctrlPr>
                      </m:accPr>
                      <m:e>
                        <m:r>
                          <w:rPr>
                            <w:rFonts w:ascii="Cambria Math" w:eastAsiaTheme="minorEastAsia" w:hAnsi="Cambria Math"/>
                            <w:sz w:val="18"/>
                            <w:szCs w:val="18"/>
                            <w:lang w:val="en-US"/>
                          </w:rPr>
                          <m:t>G</m:t>
                        </m:r>
                      </m:e>
                    </m:acc>
                  </m:e>
                  <m:sub>
                    <m:r>
                      <w:rPr>
                        <w:rFonts w:ascii="Cambria Math" w:eastAsiaTheme="minorEastAsia" w:hAnsi="Cambria Math"/>
                        <w:sz w:val="18"/>
                        <w:szCs w:val="18"/>
                        <w:lang w:val="en-US"/>
                      </w:rPr>
                      <m:t>in</m:t>
                    </m:r>
                  </m:sub>
                  <m:sup>
                    <m:r>
                      <w:rPr>
                        <w:rFonts w:ascii="Cambria Math" w:eastAsiaTheme="minorEastAsia" w:hAnsi="Cambria Math"/>
                        <w:sz w:val="18"/>
                        <w:szCs w:val="18"/>
                        <w:lang w:val="en-US"/>
                      </w:rPr>
                      <m:t>cat</m:t>
                    </m:r>
                  </m:sup>
                </m:sSubSup>
                <m:r>
                  <w:rPr>
                    <w:rFonts w:ascii="Cambria Math" w:eastAsiaTheme="minorEastAsia" w:hAnsi="Cambria Math"/>
                    <w:sz w:val="18"/>
                    <w:szCs w:val="18"/>
                    <w:lang w:val="en-US"/>
                  </w:rPr>
                  <m:t>∙</m:t>
                </m:r>
                <m:nary>
                  <m:naryPr>
                    <m:chr m:val="∑"/>
                    <m:limLoc m:val="undOvr"/>
                    <m:ctrlPr>
                      <w:rPr>
                        <w:rFonts w:ascii="Cambria Math" w:eastAsiaTheme="minorEastAsia" w:hAnsi="Cambria Math"/>
                        <w:i/>
                        <w:sz w:val="18"/>
                        <w:szCs w:val="18"/>
                        <w:lang w:val="en-US"/>
                      </w:rPr>
                    </m:ctrlPr>
                  </m:naryPr>
                  <m:sub>
                    <m:r>
                      <w:rPr>
                        <w:rFonts w:ascii="Cambria Math" w:eastAsiaTheme="minorEastAsia" w:hAnsi="Cambria Math"/>
                        <w:sz w:val="18"/>
                        <w:szCs w:val="18"/>
                        <w:lang w:val="en-US"/>
                      </w:rPr>
                      <m:t>i=1</m:t>
                    </m:r>
                  </m:sub>
                  <m:sup>
                    <m:r>
                      <w:rPr>
                        <w:rFonts w:ascii="Cambria Math" w:eastAsiaTheme="minorEastAsia" w:hAnsi="Cambria Math"/>
                        <w:sz w:val="18"/>
                        <w:szCs w:val="18"/>
                        <w:lang w:val="en-US"/>
                      </w:rPr>
                      <m:t>5</m:t>
                    </m:r>
                  </m:sup>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y</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cat,in</m:t>
                        </m:r>
                      </m:sup>
                    </m:sSubSup>
                    <m:r>
                      <w:rPr>
                        <w:rFonts w:ascii="Cambria Math" w:eastAsiaTheme="minorEastAsia" w:hAnsi="Cambria Math"/>
                        <w:sz w:val="18"/>
                        <w:szCs w:val="18"/>
                        <w:lang w:val="en-US"/>
                      </w:rPr>
                      <m:t>∙</m:t>
                    </m:r>
                  </m:e>
                </m:nary>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h</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cat</m:t>
                    </m:r>
                  </m:sup>
                </m:sSubSup>
                <m:d>
                  <m:dPr>
                    <m:ctrlPr>
                      <w:rPr>
                        <w:rFonts w:ascii="Cambria Math" w:eastAsiaTheme="minorEastAsia" w:hAnsi="Cambria Math"/>
                        <w:i/>
                        <w:sz w:val="18"/>
                        <w:szCs w:val="18"/>
                        <w:lang w:val="en-US"/>
                      </w:rPr>
                    </m:ctrlPr>
                  </m:dPr>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T</m:t>
                        </m:r>
                      </m:e>
                      <m:sub>
                        <m:r>
                          <w:rPr>
                            <w:rFonts w:ascii="Cambria Math" w:eastAsiaTheme="minorEastAsia" w:hAnsi="Cambria Math"/>
                            <w:sz w:val="18"/>
                            <w:szCs w:val="18"/>
                            <w:lang w:val="en-US"/>
                          </w:rPr>
                          <m:t>air</m:t>
                        </m:r>
                      </m:sub>
                      <m:sup>
                        <m:r>
                          <w:rPr>
                            <w:rFonts w:ascii="Cambria Math" w:eastAsiaTheme="minorEastAsia" w:hAnsi="Cambria Math"/>
                            <w:sz w:val="18"/>
                            <w:szCs w:val="18"/>
                            <w:lang w:val="en-US"/>
                          </w:rPr>
                          <m:t>out</m:t>
                        </m:r>
                      </m:sup>
                    </m:sSubSup>
                  </m:e>
                </m:d>
                <m:r>
                  <w:rPr>
                    <w:rFonts w:ascii="Cambria Math" w:eastAsia="Calibri" w:hAnsi="Cambria Math" w:cs="Times New Roman"/>
                    <w:sz w:val="18"/>
                    <w:szCs w:val="18"/>
                    <w:lang w:val="en-US"/>
                  </w:rPr>
                  <m:t xml:space="preserve">  </m:t>
                </m:r>
                <m:r>
                  <w:rPr>
                    <w:rFonts w:ascii="Cambria Math" w:eastAsiaTheme="minorEastAsia" w:hAnsi="Cambria Math"/>
                    <w:sz w:val="18"/>
                    <w:szCs w:val="18"/>
                    <w:lang w:val="en-US"/>
                  </w:rPr>
                  <m:t>i=</m:t>
                </m:r>
                <m:d>
                  <m:dPr>
                    <m:begChr m:val="{"/>
                    <m:endChr m:val="}"/>
                    <m:ctrlPr>
                      <w:rPr>
                        <w:rFonts w:ascii="Cambria Math" w:eastAsiaTheme="minorEastAsia" w:hAnsi="Cambria Math"/>
                        <w:i/>
                        <w:sz w:val="18"/>
                        <w:szCs w:val="18"/>
                        <w:lang w:val="en-US"/>
                      </w:rPr>
                    </m:ctrlPr>
                  </m:dPr>
                  <m:e>
                    <m:r>
                      <w:rPr>
                        <w:rFonts w:ascii="Cambria Math" w:eastAsiaTheme="minorEastAsia" w:hAnsi="Cambria Math"/>
                        <w:sz w:val="18"/>
                        <w:szCs w:val="18"/>
                        <w:lang w:val="en-US"/>
                      </w:rPr>
                      <m:t>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4</m:t>
                        </m:r>
                      </m:sub>
                    </m:sSub>
                    <m:r>
                      <w:rPr>
                        <w:rFonts w:ascii="Cambria Math" w:eastAsiaTheme="minorEastAsia" w:hAnsi="Cambria Math"/>
                        <w:sz w:val="18"/>
                        <w:szCs w:val="18"/>
                        <w:lang w:val="en-US"/>
                      </w:rPr>
                      <m:t>,CO,C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O</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O,</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e>
                </m:d>
              </m:oMath>
            </m:oMathPara>
          </w:p>
        </w:tc>
        <w:tc>
          <w:tcPr>
            <w:tcW w:w="850" w:type="dxa"/>
            <w:vAlign w:val="center"/>
          </w:tcPr>
          <w:p w14:paraId="4573551B" w14:textId="77777777" w:rsidR="00E911F5" w:rsidRPr="008B2319" w:rsidRDefault="00E911F5" w:rsidP="00615429">
            <w:pPr>
              <w:spacing w:before="120"/>
              <w:jc w:val="center"/>
            </w:pPr>
            <w:r w:rsidRPr="008B2319">
              <w:t>(12)</w:t>
            </w:r>
          </w:p>
        </w:tc>
      </w:tr>
      <w:tr w:rsidR="00E911F5" w:rsidRPr="008B2319" w14:paraId="43DA42A1" w14:textId="77777777" w:rsidTr="00E911F5">
        <w:trPr>
          <w:jc w:val="center"/>
        </w:trPr>
        <w:tc>
          <w:tcPr>
            <w:tcW w:w="8504" w:type="dxa"/>
            <w:vAlign w:val="center"/>
          </w:tcPr>
          <w:p w14:paraId="0CAF27CC" w14:textId="77777777" w:rsidR="00E911F5" w:rsidRPr="008B2319" w:rsidRDefault="00825D4F" w:rsidP="00615429">
            <w:pPr>
              <w:spacing w:before="120"/>
              <w:jc w:val="center"/>
              <w:rPr>
                <w:rFonts w:eastAsia="Calibri" w:cs="Times New Roman"/>
                <w:sz w:val="18"/>
                <w:szCs w:val="18"/>
                <w:lang w:val="en-US"/>
              </w:rPr>
            </w:pPr>
            <m:oMathPara>
              <m:oMath>
                <m:sSubSup>
                  <m:sSubSupPr>
                    <m:ctrlPr>
                      <w:rPr>
                        <w:rFonts w:ascii="Cambria Math" w:hAnsi="Cambria Math"/>
                        <w:i/>
                        <w:sz w:val="18"/>
                        <w:szCs w:val="18"/>
                        <w:lang w:val="en-US"/>
                      </w:rPr>
                    </m:ctrlPr>
                  </m:sSubSupPr>
                  <m:e>
                    <m:r>
                      <m:rPr>
                        <m:sty m:val="p"/>
                      </m:rPr>
                      <w:rPr>
                        <w:rFonts w:ascii="Cambria Math" w:hAnsi="Cambria Math"/>
                        <w:sz w:val="18"/>
                        <w:lang w:val="en-US"/>
                      </w:rPr>
                      <m:t>Φ</m:t>
                    </m:r>
                  </m:e>
                  <m:sub>
                    <m:r>
                      <w:rPr>
                        <w:rFonts w:ascii="Cambria Math" w:hAnsi="Cambria Math"/>
                        <w:sz w:val="18"/>
                        <w:szCs w:val="18"/>
                        <w:lang w:val="en-US"/>
                      </w:rPr>
                      <m:t>out</m:t>
                    </m:r>
                  </m:sub>
                  <m:sup>
                    <m:r>
                      <w:rPr>
                        <w:rFonts w:ascii="Cambria Math" w:hAnsi="Cambria Math"/>
                        <w:sz w:val="18"/>
                        <w:szCs w:val="18"/>
                        <w:lang w:val="en-US"/>
                      </w:rPr>
                      <m:t>cat</m:t>
                    </m:r>
                  </m:sup>
                </m:sSubSup>
                <m:r>
                  <w:rPr>
                    <w:rFonts w:ascii="Cambria Math" w:eastAsiaTheme="minorEastAsia" w:hAnsi="Cambria Math"/>
                    <w:sz w:val="18"/>
                    <w:szCs w:val="18"/>
                    <w:lang w:val="en-US"/>
                  </w:rPr>
                  <m:t>=</m:t>
                </m:r>
                <m:sSubSup>
                  <m:sSubSupPr>
                    <m:ctrlPr>
                      <w:rPr>
                        <w:rFonts w:ascii="Cambria Math" w:eastAsiaTheme="minorEastAsia" w:hAnsi="Cambria Math"/>
                        <w:i/>
                        <w:sz w:val="18"/>
                        <w:szCs w:val="18"/>
                        <w:lang w:val="en-US"/>
                      </w:rPr>
                    </m:ctrlPr>
                  </m:sSubSupPr>
                  <m:e>
                    <m:acc>
                      <m:accPr>
                        <m:chr m:val="̇"/>
                        <m:ctrlPr>
                          <w:rPr>
                            <w:rFonts w:ascii="Cambria Math" w:eastAsiaTheme="minorEastAsia" w:hAnsi="Cambria Math"/>
                            <w:i/>
                            <w:sz w:val="18"/>
                            <w:szCs w:val="18"/>
                            <w:lang w:val="en-US"/>
                          </w:rPr>
                        </m:ctrlPr>
                      </m:accPr>
                      <m:e>
                        <m:r>
                          <w:rPr>
                            <w:rFonts w:ascii="Cambria Math" w:eastAsiaTheme="minorEastAsia" w:hAnsi="Cambria Math"/>
                            <w:sz w:val="18"/>
                            <w:szCs w:val="18"/>
                            <w:lang w:val="en-US"/>
                          </w:rPr>
                          <m:t>G</m:t>
                        </m:r>
                      </m:e>
                    </m:acc>
                  </m:e>
                  <m:sub>
                    <m:r>
                      <w:rPr>
                        <w:rFonts w:ascii="Cambria Math" w:eastAsiaTheme="minorEastAsia" w:hAnsi="Cambria Math"/>
                        <w:sz w:val="18"/>
                        <w:szCs w:val="18"/>
                        <w:lang w:val="en-US"/>
                      </w:rPr>
                      <m:t>out</m:t>
                    </m:r>
                  </m:sub>
                  <m:sup>
                    <m:r>
                      <w:rPr>
                        <w:rFonts w:ascii="Cambria Math" w:eastAsiaTheme="minorEastAsia" w:hAnsi="Cambria Math"/>
                        <w:sz w:val="18"/>
                        <w:szCs w:val="18"/>
                        <w:lang w:val="en-US"/>
                      </w:rPr>
                      <m:t>cat</m:t>
                    </m:r>
                  </m:sup>
                </m:sSubSup>
                <m:r>
                  <w:rPr>
                    <w:rFonts w:ascii="Cambria Math" w:eastAsiaTheme="minorEastAsia" w:hAnsi="Cambria Math"/>
                    <w:sz w:val="18"/>
                    <w:szCs w:val="18"/>
                    <w:lang w:val="en-US"/>
                  </w:rPr>
                  <m:t>∙</m:t>
                </m:r>
                <m:nary>
                  <m:naryPr>
                    <m:chr m:val="∑"/>
                    <m:limLoc m:val="undOvr"/>
                    <m:ctrlPr>
                      <w:rPr>
                        <w:rFonts w:ascii="Cambria Math" w:eastAsiaTheme="minorEastAsia" w:hAnsi="Cambria Math"/>
                        <w:i/>
                        <w:sz w:val="18"/>
                        <w:szCs w:val="18"/>
                        <w:lang w:val="en-US"/>
                      </w:rPr>
                    </m:ctrlPr>
                  </m:naryPr>
                  <m:sub>
                    <m:r>
                      <w:rPr>
                        <w:rFonts w:ascii="Cambria Math" w:eastAsiaTheme="minorEastAsia" w:hAnsi="Cambria Math"/>
                        <w:sz w:val="18"/>
                        <w:szCs w:val="18"/>
                        <w:lang w:val="en-US"/>
                      </w:rPr>
                      <m:t>i=1</m:t>
                    </m:r>
                  </m:sub>
                  <m:sup>
                    <m:r>
                      <w:rPr>
                        <w:rFonts w:ascii="Cambria Math" w:eastAsiaTheme="minorEastAsia" w:hAnsi="Cambria Math"/>
                        <w:sz w:val="18"/>
                        <w:szCs w:val="18"/>
                        <w:lang w:val="en-US"/>
                      </w:rPr>
                      <m:t>5</m:t>
                    </m:r>
                  </m:sup>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y</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cat,out</m:t>
                        </m:r>
                      </m:sup>
                    </m:sSubSup>
                    <m:r>
                      <w:rPr>
                        <w:rFonts w:ascii="Cambria Math" w:eastAsiaTheme="minorEastAsia" w:hAnsi="Cambria Math"/>
                        <w:sz w:val="18"/>
                        <w:szCs w:val="18"/>
                        <w:lang w:val="en-US"/>
                      </w:rPr>
                      <m:t>∙</m:t>
                    </m:r>
                  </m:e>
                </m:nary>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h</m:t>
                    </m:r>
                  </m:e>
                  <m:sub>
                    <m:r>
                      <w:rPr>
                        <w:rFonts w:ascii="Cambria Math" w:eastAsiaTheme="minorEastAsia" w:hAnsi="Cambria Math"/>
                        <w:sz w:val="18"/>
                        <w:szCs w:val="18"/>
                        <w:lang w:val="en-US"/>
                      </w:rPr>
                      <m:t>i</m:t>
                    </m:r>
                  </m:sub>
                  <m:sup>
                    <m:r>
                      <w:rPr>
                        <w:rFonts w:ascii="Cambria Math" w:eastAsiaTheme="minorEastAsia" w:hAnsi="Cambria Math"/>
                        <w:sz w:val="18"/>
                        <w:szCs w:val="18"/>
                        <w:lang w:val="en-US"/>
                      </w:rPr>
                      <m:t>cat</m:t>
                    </m:r>
                  </m:sup>
                </m:sSubSup>
                <m:d>
                  <m:dPr>
                    <m:ctrlPr>
                      <w:rPr>
                        <w:rFonts w:ascii="Cambria Math" w:eastAsiaTheme="minorEastAsia" w:hAnsi="Cambria Math"/>
                        <w:i/>
                        <w:sz w:val="18"/>
                        <w:szCs w:val="18"/>
                        <w:lang w:val="en-US"/>
                      </w:rPr>
                    </m:ctrlPr>
                  </m:dPr>
                  <m:e>
                    <m:sSubSup>
                      <m:sSubSupPr>
                        <m:ctrlPr>
                          <w:rPr>
                            <w:rFonts w:ascii="Cambria Math" w:eastAsiaTheme="minorEastAsia" w:hAnsi="Cambria Math"/>
                            <w:i/>
                            <w:sz w:val="18"/>
                            <w:szCs w:val="18"/>
                            <w:lang w:val="en-US"/>
                          </w:rPr>
                        </m:ctrlPr>
                      </m:sSubSupPr>
                      <m:e>
                        <m:r>
                          <w:rPr>
                            <w:rFonts w:ascii="Cambria Math" w:eastAsiaTheme="minorEastAsia" w:hAnsi="Cambria Math"/>
                            <w:sz w:val="18"/>
                            <w:szCs w:val="18"/>
                            <w:lang w:val="en-US"/>
                          </w:rPr>
                          <m:t>T</m:t>
                        </m:r>
                      </m:e>
                      <m:sub>
                        <m:r>
                          <w:rPr>
                            <w:rFonts w:ascii="Cambria Math" w:eastAsiaTheme="minorEastAsia" w:hAnsi="Cambria Math"/>
                            <w:sz w:val="18"/>
                            <w:szCs w:val="18"/>
                            <w:lang w:val="en-US"/>
                          </w:rPr>
                          <m:t>SOFC</m:t>
                        </m:r>
                      </m:sub>
                      <m:sup>
                        <m:r>
                          <w:rPr>
                            <w:rFonts w:ascii="Cambria Math" w:eastAsiaTheme="minorEastAsia" w:hAnsi="Cambria Math"/>
                            <w:sz w:val="18"/>
                            <w:szCs w:val="18"/>
                            <w:lang w:val="en-US"/>
                          </w:rPr>
                          <m:t>out</m:t>
                        </m:r>
                      </m:sup>
                    </m:sSubSup>
                  </m:e>
                </m:d>
                <m:r>
                  <w:rPr>
                    <w:rFonts w:ascii="Cambria Math" w:eastAsiaTheme="minorEastAsia" w:hAnsi="Cambria Math"/>
                    <w:sz w:val="18"/>
                    <w:szCs w:val="18"/>
                    <w:lang w:val="en-US"/>
                  </w:rPr>
                  <m:t xml:space="preserve"> i=</m:t>
                </m:r>
                <m:d>
                  <m:dPr>
                    <m:begChr m:val="{"/>
                    <m:endChr m:val="}"/>
                    <m:ctrlPr>
                      <w:rPr>
                        <w:rFonts w:ascii="Cambria Math" w:eastAsiaTheme="minorEastAsia" w:hAnsi="Cambria Math"/>
                        <w:i/>
                        <w:sz w:val="18"/>
                        <w:szCs w:val="18"/>
                        <w:lang w:val="en-US"/>
                      </w:rPr>
                    </m:ctrlPr>
                  </m:dPr>
                  <m:e>
                    <m:r>
                      <w:rPr>
                        <w:rFonts w:ascii="Cambria Math" w:eastAsiaTheme="minorEastAsia" w:hAnsi="Cambria Math"/>
                        <w:sz w:val="18"/>
                        <w:szCs w:val="18"/>
                        <w:lang w:val="en-US"/>
                      </w:rPr>
                      <m:t>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4</m:t>
                        </m:r>
                      </m:sub>
                    </m:sSub>
                    <m:r>
                      <w:rPr>
                        <w:rFonts w:ascii="Cambria Math" w:eastAsiaTheme="minorEastAsia" w:hAnsi="Cambria Math"/>
                        <w:sz w:val="18"/>
                        <w:szCs w:val="18"/>
                        <w:lang w:val="en-US"/>
                      </w:rPr>
                      <m:t>,CO,C</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O</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r>
                      <w:rPr>
                        <w:rFonts w:ascii="Cambria Math" w:eastAsiaTheme="minorEastAsia" w:hAnsi="Cambria Math"/>
                        <w:sz w:val="18"/>
                        <w:szCs w:val="18"/>
                        <w:lang w:val="en-US"/>
                      </w:rPr>
                      <m:t>O,</m:t>
                    </m:r>
                    <m:sSub>
                      <m:sSubPr>
                        <m:ctrlPr>
                          <w:rPr>
                            <w:rFonts w:ascii="Cambria Math" w:eastAsiaTheme="minorEastAsia" w:hAnsi="Cambria Math"/>
                            <w:i/>
                            <w:sz w:val="18"/>
                            <w:szCs w:val="18"/>
                            <w:lang w:val="en-US"/>
                          </w:rPr>
                        </m:ctrlPr>
                      </m:sSubPr>
                      <m:e>
                        <m:r>
                          <w:rPr>
                            <w:rFonts w:ascii="Cambria Math" w:eastAsiaTheme="minorEastAsia" w:hAnsi="Cambria Math"/>
                            <w:sz w:val="18"/>
                            <w:szCs w:val="18"/>
                            <w:lang w:val="en-US"/>
                          </w:rPr>
                          <m:t>H</m:t>
                        </m:r>
                      </m:e>
                      <m:sub>
                        <m:r>
                          <w:rPr>
                            <w:rFonts w:ascii="Cambria Math" w:eastAsiaTheme="minorEastAsia" w:hAnsi="Cambria Math"/>
                            <w:sz w:val="18"/>
                            <w:szCs w:val="18"/>
                            <w:lang w:val="en-US"/>
                          </w:rPr>
                          <m:t>2</m:t>
                        </m:r>
                      </m:sub>
                    </m:sSub>
                  </m:e>
                </m:d>
              </m:oMath>
            </m:oMathPara>
          </w:p>
        </w:tc>
        <w:tc>
          <w:tcPr>
            <w:tcW w:w="850" w:type="dxa"/>
            <w:vAlign w:val="center"/>
          </w:tcPr>
          <w:p w14:paraId="36966CD7" w14:textId="77777777" w:rsidR="00E911F5" w:rsidRPr="008B2319" w:rsidRDefault="00E911F5" w:rsidP="00615429">
            <w:pPr>
              <w:spacing w:before="120"/>
              <w:jc w:val="center"/>
            </w:pPr>
            <w:r w:rsidRPr="008B2319">
              <w:t>(13)</w:t>
            </w:r>
          </w:p>
        </w:tc>
      </w:tr>
    </w:tbl>
    <w:p w14:paraId="1DCCF465" w14:textId="77777777" w:rsidR="00A64D13" w:rsidRPr="008B2319" w:rsidRDefault="00A64D13" w:rsidP="00890C07">
      <w:pPr>
        <w:rPr>
          <w:lang w:val="en-US"/>
        </w:rPr>
      </w:pPr>
      <w:bookmarkStart w:id="10" w:name="_Toc444608478"/>
    </w:p>
    <w:p w14:paraId="5AC882B5" w14:textId="77777777" w:rsidR="006E2828" w:rsidRPr="008B2319" w:rsidRDefault="006E2828" w:rsidP="006E2828">
      <w:pPr>
        <w:pStyle w:val="Heading1"/>
        <w:contextualSpacing/>
        <w:rPr>
          <w:sz w:val="28"/>
          <w:szCs w:val="28"/>
        </w:rPr>
      </w:pPr>
      <w:r w:rsidRPr="008B2319">
        <w:rPr>
          <w:sz w:val="28"/>
          <w:szCs w:val="28"/>
        </w:rPr>
        <w:t>Model validation</w:t>
      </w:r>
      <w:bookmarkEnd w:id="10"/>
    </w:p>
    <w:p w14:paraId="594B468C" w14:textId="77777777" w:rsidR="006E2828" w:rsidRPr="008B2319" w:rsidRDefault="006E2828" w:rsidP="006E2828">
      <w:r w:rsidRPr="008B2319">
        <w:t xml:space="preserve">The dynamic model is validated </w:t>
      </w:r>
      <w:r w:rsidR="005E77D6" w:rsidRPr="008B2319">
        <w:t>according to</w:t>
      </w:r>
      <w:r w:rsidRPr="008B2319">
        <w:t xml:space="preserve"> two different approach</w:t>
      </w:r>
      <w:r w:rsidR="005E77D6" w:rsidRPr="008B2319">
        <w:t>es</w:t>
      </w:r>
      <w:r w:rsidRPr="008B2319">
        <w:t>:</w:t>
      </w:r>
    </w:p>
    <w:p w14:paraId="37DE5F2C" w14:textId="77777777" w:rsidR="006E2828" w:rsidRPr="008B2319" w:rsidRDefault="001F163E" w:rsidP="00B53F43">
      <w:pPr>
        <w:pStyle w:val="ListParagraph"/>
        <w:numPr>
          <w:ilvl w:val="0"/>
          <w:numId w:val="32"/>
        </w:numPr>
        <w:rPr>
          <w:lang w:val="en-US"/>
        </w:rPr>
      </w:pPr>
      <w:r w:rsidRPr="008B2319">
        <w:rPr>
          <w:lang w:val="en-US"/>
        </w:rPr>
        <w:t>the</w:t>
      </w:r>
      <w:r w:rsidR="006E2828" w:rsidRPr="008B2319">
        <w:rPr>
          <w:lang w:val="en-US"/>
        </w:rPr>
        <w:t xml:space="preserve"> first benchmark session </w:t>
      </w:r>
      <w:r w:rsidR="005E77D6" w:rsidRPr="008B2319">
        <w:rPr>
          <w:lang w:val="en-US"/>
        </w:rPr>
        <w:t xml:space="preserve">is carried out against </w:t>
      </w:r>
      <w:r w:rsidR="006E2828" w:rsidRPr="008B2319">
        <w:rPr>
          <w:lang w:val="en-US"/>
        </w:rPr>
        <w:t>data provided by the SOFC manufacturer;</w:t>
      </w:r>
    </w:p>
    <w:p w14:paraId="68F5ED8E" w14:textId="77777777" w:rsidR="006E2828" w:rsidRPr="008B2319" w:rsidRDefault="001F163E" w:rsidP="00B53F43">
      <w:pPr>
        <w:pStyle w:val="ListParagraph"/>
        <w:numPr>
          <w:ilvl w:val="0"/>
          <w:numId w:val="32"/>
        </w:numPr>
        <w:rPr>
          <w:lang w:val="en-US"/>
        </w:rPr>
      </w:pPr>
      <w:r w:rsidRPr="008B2319">
        <w:rPr>
          <w:lang w:val="en-US"/>
        </w:rPr>
        <w:t>the</w:t>
      </w:r>
      <w:r w:rsidR="006E2828" w:rsidRPr="008B2319">
        <w:rPr>
          <w:lang w:val="en-US"/>
        </w:rPr>
        <w:t xml:space="preserve"> second benchmark session </w:t>
      </w:r>
      <w:r w:rsidR="005E77D6" w:rsidRPr="008B2319">
        <w:rPr>
          <w:lang w:val="en-US"/>
        </w:rPr>
        <w:t xml:space="preserve">is carried out </w:t>
      </w:r>
      <w:r w:rsidR="006E2828" w:rsidRPr="008B2319">
        <w:rPr>
          <w:lang w:val="en-US"/>
        </w:rPr>
        <w:t xml:space="preserve">with results </w:t>
      </w:r>
      <w:r w:rsidR="005E77D6" w:rsidRPr="008B2319">
        <w:rPr>
          <w:lang w:val="en-US"/>
        </w:rPr>
        <w:t>collected during</w:t>
      </w:r>
      <w:r w:rsidR="006E2828" w:rsidRPr="008B2319">
        <w:rPr>
          <w:lang w:val="en-US"/>
        </w:rPr>
        <w:t xml:space="preserve"> the tests </w:t>
      </w:r>
      <w:r w:rsidR="005E77D6" w:rsidRPr="008B2319">
        <w:rPr>
          <w:lang w:val="en-US"/>
        </w:rPr>
        <w:t xml:space="preserve">performed during </w:t>
      </w:r>
      <w:r w:rsidR="006E2828" w:rsidRPr="008B2319">
        <w:rPr>
          <w:lang w:val="en-US"/>
        </w:rPr>
        <w:t xml:space="preserve">the </w:t>
      </w:r>
      <w:r w:rsidR="00571F30" w:rsidRPr="008B2319">
        <w:rPr>
          <w:lang w:val="en-US"/>
        </w:rPr>
        <w:t xml:space="preserve">SOFCOM </w:t>
      </w:r>
      <w:r w:rsidR="006E2828" w:rsidRPr="008B2319">
        <w:rPr>
          <w:lang w:val="en-US"/>
        </w:rPr>
        <w:t>proof-of-concept</w:t>
      </w:r>
      <w:r w:rsidR="005E77D6" w:rsidRPr="008B2319">
        <w:rPr>
          <w:lang w:val="en-US"/>
        </w:rPr>
        <w:t xml:space="preserve"> operation</w:t>
      </w:r>
      <w:r w:rsidR="006E2828" w:rsidRPr="008B2319">
        <w:rPr>
          <w:lang w:val="en-US"/>
        </w:rPr>
        <w:t>.</w:t>
      </w:r>
    </w:p>
    <w:p w14:paraId="3DA740DF" w14:textId="77777777" w:rsidR="006E2828" w:rsidRPr="008B2319" w:rsidRDefault="005E77D6" w:rsidP="006E2828">
      <w:pPr>
        <w:rPr>
          <w:lang w:val="en-US"/>
        </w:rPr>
      </w:pPr>
      <w:r w:rsidRPr="008B2319">
        <w:rPr>
          <w:lang w:val="en-US"/>
        </w:rPr>
        <w:t>Model validation is carried out by</w:t>
      </w:r>
      <w:r w:rsidR="006E2828" w:rsidRPr="008B2319">
        <w:rPr>
          <w:lang w:val="en-US"/>
        </w:rPr>
        <w:t xml:space="preserve"> </w:t>
      </w:r>
      <w:r w:rsidRPr="008B2319">
        <w:rPr>
          <w:lang w:val="en-US"/>
        </w:rPr>
        <w:t xml:space="preserve">initially </w:t>
      </w:r>
      <w:r w:rsidR="006E2828" w:rsidRPr="008B2319">
        <w:rPr>
          <w:lang w:val="en-US"/>
        </w:rPr>
        <w:t xml:space="preserve">setting </w:t>
      </w:r>
      <w:r w:rsidRPr="008B2319">
        <w:rPr>
          <w:lang w:val="en-US"/>
        </w:rPr>
        <w:t>the model</w:t>
      </w:r>
      <w:r w:rsidR="001F163E" w:rsidRPr="008B2319">
        <w:rPr>
          <w:lang w:val="en-US"/>
        </w:rPr>
        <w:t xml:space="preserve"> in the same initial condition as</w:t>
      </w:r>
      <w:r w:rsidR="006E2828" w:rsidRPr="008B2319">
        <w:rPr>
          <w:lang w:val="en-US"/>
        </w:rPr>
        <w:t xml:space="preserve"> the</w:t>
      </w:r>
      <w:r w:rsidR="001F163E" w:rsidRPr="008B2319">
        <w:rPr>
          <w:lang w:val="en-US"/>
        </w:rPr>
        <w:t xml:space="preserve"> experimental</w:t>
      </w:r>
      <w:r w:rsidR="006E2828" w:rsidRPr="008B2319">
        <w:rPr>
          <w:lang w:val="en-US"/>
        </w:rPr>
        <w:t xml:space="preserve"> tests. </w:t>
      </w:r>
    </w:p>
    <w:p w14:paraId="54706E26" w14:textId="494B100D" w:rsidR="006E2828" w:rsidRPr="008B2319" w:rsidRDefault="006E2828" w:rsidP="00397BE5">
      <w:pPr>
        <w:pStyle w:val="Heading2"/>
        <w:rPr>
          <w:rStyle w:val="Heading2Char"/>
          <w:b/>
        </w:rPr>
      </w:pPr>
      <w:bookmarkStart w:id="11" w:name="_Toc444608479"/>
      <w:r w:rsidRPr="008B2319">
        <w:rPr>
          <w:rStyle w:val="Heading2Char"/>
          <w:b/>
        </w:rPr>
        <w:t xml:space="preserve">Model validation </w:t>
      </w:r>
      <w:r w:rsidR="00BF0972" w:rsidRPr="008B2319">
        <w:rPr>
          <w:rStyle w:val="Heading2Char"/>
          <w:b/>
        </w:rPr>
        <w:t>with</w:t>
      </w:r>
      <w:r w:rsidRPr="008B2319">
        <w:rPr>
          <w:rStyle w:val="Heading2Char"/>
          <w:b/>
        </w:rPr>
        <w:t xml:space="preserve"> manufacture</w:t>
      </w:r>
      <w:r w:rsidR="008E5842" w:rsidRPr="008B2319">
        <w:rPr>
          <w:rStyle w:val="Heading2Char"/>
          <w:b/>
        </w:rPr>
        <w:t>r’s</w:t>
      </w:r>
      <w:r w:rsidRPr="008B2319">
        <w:rPr>
          <w:rStyle w:val="Heading2Char"/>
          <w:b/>
        </w:rPr>
        <w:t xml:space="preserve"> performance</w:t>
      </w:r>
      <w:bookmarkEnd w:id="11"/>
    </w:p>
    <w:p w14:paraId="783E780D" w14:textId="77777777" w:rsidR="006E2828" w:rsidRPr="008B2319" w:rsidRDefault="005E77D6" w:rsidP="006E2828">
      <w:pPr>
        <w:rPr>
          <w:lang w:val="en-US"/>
        </w:rPr>
      </w:pPr>
      <w:r w:rsidRPr="008B2319">
        <w:rPr>
          <w:lang w:val="en-US"/>
        </w:rPr>
        <w:t>The stack operating conditions at three different operating points are given in Table 5.</w:t>
      </w:r>
    </w:p>
    <w:p w14:paraId="0F90792C" w14:textId="77777777" w:rsidR="00E911F5" w:rsidRPr="008B2319" w:rsidRDefault="00E911F5" w:rsidP="00E911F5">
      <w:pPr>
        <w:pStyle w:val="Caption"/>
        <w:keepNext/>
      </w:pPr>
      <w:bookmarkStart w:id="12" w:name="_Ref448243951"/>
      <w:r w:rsidRPr="008B2319">
        <w:lastRenderedPageBreak/>
        <w:t xml:space="preserve">Table </w:t>
      </w:r>
      <w:r w:rsidR="00825D4F" w:rsidRPr="008B2319">
        <w:fldChar w:fldCharType="begin"/>
      </w:r>
      <w:r w:rsidR="00825D4F" w:rsidRPr="008B2319">
        <w:instrText xml:space="preserve"> SEQ Table \* ARABIC </w:instrText>
      </w:r>
      <w:r w:rsidR="00825D4F" w:rsidRPr="008B2319">
        <w:fldChar w:fldCharType="separate"/>
      </w:r>
      <w:r w:rsidR="00B53F43" w:rsidRPr="008B2319">
        <w:rPr>
          <w:noProof/>
        </w:rPr>
        <w:t>5</w:t>
      </w:r>
      <w:r w:rsidR="00825D4F" w:rsidRPr="008B2319">
        <w:rPr>
          <w:noProof/>
        </w:rPr>
        <w:fldChar w:fldCharType="end"/>
      </w:r>
      <w:bookmarkEnd w:id="12"/>
      <w:r w:rsidRPr="008B2319">
        <w:t>. Reference test data from manufacturer</w:t>
      </w:r>
      <w:r w:rsidR="00EA30B9" w:rsidRPr="008B2319">
        <w:t xml:space="preserve">. </w:t>
      </w:r>
    </w:p>
    <w:tbl>
      <w:tblPr>
        <w:tblStyle w:val="GridTable1Light1"/>
        <w:tblW w:w="9640" w:type="dxa"/>
        <w:jc w:val="center"/>
        <w:tblLayout w:type="fixed"/>
        <w:tblLook w:val="04A0" w:firstRow="1" w:lastRow="0" w:firstColumn="1" w:lastColumn="0" w:noHBand="0" w:noVBand="1"/>
      </w:tblPr>
      <w:tblGrid>
        <w:gridCol w:w="964"/>
        <w:gridCol w:w="964"/>
        <w:gridCol w:w="964"/>
        <w:gridCol w:w="964"/>
        <w:gridCol w:w="964"/>
        <w:gridCol w:w="964"/>
        <w:gridCol w:w="964"/>
        <w:gridCol w:w="964"/>
        <w:gridCol w:w="964"/>
        <w:gridCol w:w="964"/>
      </w:tblGrid>
      <w:tr w:rsidR="008B2319" w:rsidRPr="008B2319" w14:paraId="5B9B8868" w14:textId="77777777" w:rsidTr="00571F30">
        <w:trPr>
          <w:cnfStyle w:val="100000000000" w:firstRow="1" w:lastRow="0" w:firstColumn="0" w:lastColumn="0" w:oddVBand="0" w:evenVBand="0" w:oddHBand="0"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64" w:type="dxa"/>
            <w:noWrap/>
            <w:hideMark/>
          </w:tcPr>
          <w:p w14:paraId="34853692" w14:textId="77777777" w:rsidR="00571F30" w:rsidRPr="008B2319" w:rsidRDefault="00571F30" w:rsidP="00E911F5">
            <w:pPr>
              <w:spacing w:line="240" w:lineRule="auto"/>
              <w:jc w:val="center"/>
              <w:rPr>
                <w:b w:val="0"/>
                <w:bCs w:val="0"/>
                <w:iCs/>
                <w:sz w:val="20"/>
                <w:szCs w:val="20"/>
                <w:lang w:val="en-US" w:eastAsia="it-IT"/>
              </w:rPr>
            </w:pPr>
            <w:r w:rsidRPr="008B2319">
              <w:rPr>
                <w:b w:val="0"/>
                <w:bCs w:val="0"/>
                <w:iCs/>
                <w:sz w:val="20"/>
                <w:szCs w:val="20"/>
                <w:lang w:val="en-US" w:eastAsia="it-IT"/>
              </w:rPr>
              <w:t>I [A]</w:t>
            </w:r>
          </w:p>
        </w:tc>
        <w:tc>
          <w:tcPr>
            <w:tcW w:w="964" w:type="dxa"/>
          </w:tcPr>
          <w:p w14:paraId="758B519B" w14:textId="77777777" w:rsidR="00571F30" w:rsidRPr="008B2319" w:rsidRDefault="00751B5D"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I [A/cm</w:t>
            </w:r>
            <w:r w:rsidRPr="008B2319">
              <w:rPr>
                <w:b w:val="0"/>
                <w:bCs w:val="0"/>
                <w:iCs/>
                <w:sz w:val="20"/>
                <w:szCs w:val="20"/>
                <w:vertAlign w:val="superscript"/>
                <w:lang w:val="en-US" w:eastAsia="it-IT"/>
              </w:rPr>
              <w:t>2</w:t>
            </w:r>
            <w:r w:rsidRPr="008B2319">
              <w:rPr>
                <w:b w:val="0"/>
                <w:bCs w:val="0"/>
                <w:iCs/>
                <w:sz w:val="20"/>
                <w:szCs w:val="20"/>
                <w:lang w:val="en-US" w:eastAsia="it-IT"/>
              </w:rPr>
              <w:t>]</w:t>
            </w:r>
          </w:p>
        </w:tc>
        <w:tc>
          <w:tcPr>
            <w:tcW w:w="964" w:type="dxa"/>
            <w:noWrap/>
            <w:hideMark/>
          </w:tcPr>
          <w:p w14:paraId="7CC6ADF4"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V [V]</w:t>
            </w:r>
          </w:p>
        </w:tc>
        <w:tc>
          <w:tcPr>
            <w:tcW w:w="964" w:type="dxa"/>
            <w:noWrap/>
            <w:hideMark/>
          </w:tcPr>
          <w:p w14:paraId="6D0C5336"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H</w:t>
            </w:r>
            <w:r w:rsidRPr="008B2319">
              <w:rPr>
                <w:b w:val="0"/>
                <w:bCs w:val="0"/>
                <w:iCs/>
                <w:sz w:val="20"/>
                <w:szCs w:val="20"/>
                <w:vertAlign w:val="subscript"/>
                <w:lang w:val="en-US" w:eastAsia="it-IT"/>
              </w:rPr>
              <w:t>2</w:t>
            </w:r>
            <w:r w:rsidRPr="008B2319">
              <w:rPr>
                <w:b w:val="0"/>
                <w:bCs w:val="0"/>
                <w:iCs/>
                <w:sz w:val="20"/>
                <w:szCs w:val="20"/>
                <w:lang w:val="en-US" w:eastAsia="it-IT"/>
              </w:rPr>
              <w:t xml:space="preserve"> [Nl/min]</w:t>
            </w:r>
          </w:p>
        </w:tc>
        <w:tc>
          <w:tcPr>
            <w:tcW w:w="964" w:type="dxa"/>
            <w:noWrap/>
            <w:hideMark/>
          </w:tcPr>
          <w:p w14:paraId="0CE13C46"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N</w:t>
            </w:r>
            <w:r w:rsidRPr="008B2319">
              <w:rPr>
                <w:b w:val="0"/>
                <w:bCs w:val="0"/>
                <w:iCs/>
                <w:sz w:val="20"/>
                <w:szCs w:val="20"/>
                <w:vertAlign w:val="subscript"/>
                <w:lang w:val="en-US" w:eastAsia="it-IT"/>
              </w:rPr>
              <w:t>2</w:t>
            </w:r>
            <w:r w:rsidRPr="008B2319">
              <w:rPr>
                <w:b w:val="0"/>
                <w:bCs w:val="0"/>
                <w:iCs/>
                <w:sz w:val="20"/>
                <w:szCs w:val="20"/>
                <w:lang w:val="en-US" w:eastAsia="it-IT"/>
              </w:rPr>
              <w:t xml:space="preserve"> [Nl/min]</w:t>
            </w:r>
          </w:p>
        </w:tc>
        <w:tc>
          <w:tcPr>
            <w:tcW w:w="964" w:type="dxa"/>
            <w:noWrap/>
            <w:hideMark/>
          </w:tcPr>
          <w:p w14:paraId="37D2146F"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Air [Nl/min]</w:t>
            </w:r>
          </w:p>
        </w:tc>
        <w:tc>
          <w:tcPr>
            <w:tcW w:w="964" w:type="dxa"/>
            <w:noWrap/>
            <w:hideMark/>
          </w:tcPr>
          <w:p w14:paraId="1166B959"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T2001 [°C]</w:t>
            </w:r>
          </w:p>
        </w:tc>
        <w:tc>
          <w:tcPr>
            <w:tcW w:w="964" w:type="dxa"/>
            <w:noWrap/>
            <w:hideMark/>
          </w:tcPr>
          <w:p w14:paraId="2CE148B3"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T1001 [°C]</w:t>
            </w:r>
          </w:p>
        </w:tc>
        <w:tc>
          <w:tcPr>
            <w:tcW w:w="964" w:type="dxa"/>
            <w:noWrap/>
            <w:hideMark/>
          </w:tcPr>
          <w:p w14:paraId="59AECBCC"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T2111 [°C]</w:t>
            </w:r>
          </w:p>
        </w:tc>
        <w:tc>
          <w:tcPr>
            <w:tcW w:w="964" w:type="dxa"/>
            <w:noWrap/>
            <w:hideMark/>
          </w:tcPr>
          <w:p w14:paraId="21CD49F9" w14:textId="77777777" w:rsidR="00571F30" w:rsidRPr="008B2319" w:rsidRDefault="00571F30" w:rsidP="00E911F5">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Cs/>
                <w:sz w:val="20"/>
                <w:szCs w:val="20"/>
                <w:lang w:val="en-US" w:eastAsia="it-IT"/>
              </w:rPr>
            </w:pPr>
            <w:r w:rsidRPr="008B2319">
              <w:rPr>
                <w:b w:val="0"/>
                <w:bCs w:val="0"/>
                <w:iCs/>
                <w:sz w:val="20"/>
                <w:szCs w:val="20"/>
                <w:lang w:val="en-US" w:eastAsia="it-IT"/>
              </w:rPr>
              <w:t>P</w:t>
            </w:r>
            <w:r w:rsidRPr="008B2319">
              <w:rPr>
                <w:b w:val="0"/>
                <w:bCs w:val="0"/>
                <w:iCs/>
                <w:sz w:val="20"/>
                <w:szCs w:val="20"/>
                <w:vertAlign w:val="subscript"/>
                <w:lang w:val="en-US" w:eastAsia="it-IT"/>
              </w:rPr>
              <w:t>el</w:t>
            </w:r>
            <w:r w:rsidRPr="008B2319">
              <w:rPr>
                <w:b w:val="0"/>
                <w:bCs w:val="0"/>
                <w:iCs/>
                <w:sz w:val="20"/>
                <w:szCs w:val="20"/>
                <w:lang w:val="en-US" w:eastAsia="it-IT"/>
              </w:rPr>
              <w:t xml:space="preserve"> [W]</w:t>
            </w:r>
          </w:p>
        </w:tc>
      </w:tr>
      <w:tr w:rsidR="008B2319" w:rsidRPr="008B2319" w14:paraId="26693D45" w14:textId="77777777" w:rsidTr="00571F30">
        <w:trPr>
          <w:trHeight w:val="20"/>
          <w:jc w:val="center"/>
        </w:trPr>
        <w:tc>
          <w:tcPr>
            <w:cnfStyle w:val="001000000000" w:firstRow="0" w:lastRow="0" w:firstColumn="1" w:lastColumn="0" w:oddVBand="0" w:evenVBand="0" w:oddHBand="0" w:evenHBand="0" w:firstRowFirstColumn="0" w:firstRowLastColumn="0" w:lastRowFirstColumn="0" w:lastRowLastColumn="0"/>
            <w:tcW w:w="964" w:type="dxa"/>
            <w:noWrap/>
            <w:vAlign w:val="center"/>
            <w:hideMark/>
          </w:tcPr>
          <w:p w14:paraId="78CCEB66" w14:textId="77777777" w:rsidR="00571F30" w:rsidRPr="008B2319" w:rsidRDefault="00571F30" w:rsidP="00380644">
            <w:pPr>
              <w:spacing w:line="240" w:lineRule="auto"/>
              <w:jc w:val="center"/>
              <w:rPr>
                <w:sz w:val="20"/>
                <w:szCs w:val="20"/>
                <w:lang w:val="en-US" w:eastAsia="en-GB"/>
              </w:rPr>
            </w:pPr>
            <w:r w:rsidRPr="008B2319">
              <w:rPr>
                <w:sz w:val="20"/>
                <w:szCs w:val="20"/>
                <w:lang w:val="en-US" w:eastAsia="en-GB"/>
              </w:rPr>
              <w:t>24</w:t>
            </w:r>
          </w:p>
        </w:tc>
        <w:tc>
          <w:tcPr>
            <w:tcW w:w="964" w:type="dxa"/>
          </w:tcPr>
          <w:p w14:paraId="686F9E4A" w14:textId="77777777" w:rsidR="00571F30" w:rsidRPr="008B2319" w:rsidRDefault="00751B5D"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0,18</w:t>
            </w:r>
          </w:p>
        </w:tc>
        <w:tc>
          <w:tcPr>
            <w:tcW w:w="964" w:type="dxa"/>
            <w:noWrap/>
            <w:vAlign w:val="center"/>
            <w:hideMark/>
          </w:tcPr>
          <w:p w14:paraId="1D186F00"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62</w:t>
            </w:r>
          </w:p>
        </w:tc>
        <w:tc>
          <w:tcPr>
            <w:tcW w:w="964" w:type="dxa"/>
            <w:noWrap/>
            <w:vAlign w:val="center"/>
            <w:hideMark/>
          </w:tcPr>
          <w:p w14:paraId="4D671EFA"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20.1</w:t>
            </w:r>
          </w:p>
        </w:tc>
        <w:tc>
          <w:tcPr>
            <w:tcW w:w="964" w:type="dxa"/>
            <w:noWrap/>
            <w:vAlign w:val="center"/>
            <w:hideMark/>
          </w:tcPr>
          <w:p w14:paraId="081C3DB5"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30.1</w:t>
            </w:r>
          </w:p>
        </w:tc>
        <w:tc>
          <w:tcPr>
            <w:tcW w:w="964" w:type="dxa"/>
            <w:noWrap/>
            <w:vAlign w:val="center"/>
            <w:hideMark/>
          </w:tcPr>
          <w:p w14:paraId="3E77F6E9"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210-235</w:t>
            </w:r>
          </w:p>
        </w:tc>
        <w:tc>
          <w:tcPr>
            <w:tcW w:w="964" w:type="dxa"/>
            <w:noWrap/>
            <w:vAlign w:val="center"/>
            <w:hideMark/>
          </w:tcPr>
          <w:p w14:paraId="1B481E4A"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650</w:t>
            </w:r>
          </w:p>
        </w:tc>
        <w:tc>
          <w:tcPr>
            <w:tcW w:w="964" w:type="dxa"/>
            <w:noWrap/>
            <w:vAlign w:val="center"/>
            <w:hideMark/>
          </w:tcPr>
          <w:p w14:paraId="38BEC7F6"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750</w:t>
            </w:r>
          </w:p>
        </w:tc>
        <w:tc>
          <w:tcPr>
            <w:tcW w:w="964" w:type="dxa"/>
            <w:noWrap/>
            <w:vAlign w:val="center"/>
            <w:hideMark/>
          </w:tcPr>
          <w:p w14:paraId="0A0A025C"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855</w:t>
            </w:r>
          </w:p>
        </w:tc>
        <w:tc>
          <w:tcPr>
            <w:tcW w:w="964" w:type="dxa"/>
            <w:noWrap/>
            <w:vAlign w:val="center"/>
            <w:hideMark/>
          </w:tcPr>
          <w:p w14:paraId="3D093CAB"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1500</w:t>
            </w:r>
          </w:p>
        </w:tc>
      </w:tr>
      <w:tr w:rsidR="008B2319" w:rsidRPr="008B2319" w14:paraId="63CDB057" w14:textId="77777777" w:rsidTr="00571F30">
        <w:trPr>
          <w:trHeight w:val="20"/>
          <w:jc w:val="center"/>
        </w:trPr>
        <w:tc>
          <w:tcPr>
            <w:cnfStyle w:val="001000000000" w:firstRow="0" w:lastRow="0" w:firstColumn="1" w:lastColumn="0" w:oddVBand="0" w:evenVBand="0" w:oddHBand="0" w:evenHBand="0" w:firstRowFirstColumn="0" w:firstRowLastColumn="0" w:lastRowFirstColumn="0" w:lastRowLastColumn="0"/>
            <w:tcW w:w="964" w:type="dxa"/>
            <w:noWrap/>
            <w:vAlign w:val="center"/>
            <w:hideMark/>
          </w:tcPr>
          <w:p w14:paraId="2E604F0B" w14:textId="77777777" w:rsidR="00571F30" w:rsidRPr="008B2319" w:rsidRDefault="00571F30" w:rsidP="00380644">
            <w:pPr>
              <w:spacing w:line="240" w:lineRule="auto"/>
              <w:jc w:val="center"/>
              <w:rPr>
                <w:sz w:val="20"/>
                <w:szCs w:val="20"/>
                <w:lang w:val="en-US" w:eastAsia="en-GB"/>
              </w:rPr>
            </w:pPr>
            <w:r w:rsidRPr="008B2319">
              <w:rPr>
                <w:sz w:val="20"/>
                <w:szCs w:val="20"/>
                <w:lang w:val="en-US" w:eastAsia="en-GB"/>
              </w:rPr>
              <w:t>29</w:t>
            </w:r>
          </w:p>
        </w:tc>
        <w:tc>
          <w:tcPr>
            <w:tcW w:w="964" w:type="dxa"/>
          </w:tcPr>
          <w:p w14:paraId="3FC51DB5" w14:textId="77777777" w:rsidR="00571F30" w:rsidRPr="008B2319" w:rsidRDefault="00751B5D"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0,23</w:t>
            </w:r>
          </w:p>
        </w:tc>
        <w:tc>
          <w:tcPr>
            <w:tcW w:w="964" w:type="dxa"/>
            <w:noWrap/>
            <w:vAlign w:val="center"/>
            <w:hideMark/>
          </w:tcPr>
          <w:p w14:paraId="081171E3"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58</w:t>
            </w:r>
          </w:p>
        </w:tc>
        <w:tc>
          <w:tcPr>
            <w:tcW w:w="964" w:type="dxa"/>
            <w:noWrap/>
            <w:vAlign w:val="center"/>
            <w:hideMark/>
          </w:tcPr>
          <w:p w14:paraId="204ACFBC"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24.1</w:t>
            </w:r>
          </w:p>
        </w:tc>
        <w:tc>
          <w:tcPr>
            <w:tcW w:w="964" w:type="dxa"/>
            <w:noWrap/>
            <w:vAlign w:val="center"/>
            <w:hideMark/>
          </w:tcPr>
          <w:p w14:paraId="71101099"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36.1</w:t>
            </w:r>
          </w:p>
        </w:tc>
        <w:tc>
          <w:tcPr>
            <w:tcW w:w="964" w:type="dxa"/>
            <w:noWrap/>
            <w:vAlign w:val="center"/>
            <w:hideMark/>
          </w:tcPr>
          <w:p w14:paraId="1059AB5B"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315-330</w:t>
            </w:r>
          </w:p>
        </w:tc>
        <w:tc>
          <w:tcPr>
            <w:tcW w:w="964" w:type="dxa"/>
            <w:noWrap/>
            <w:vAlign w:val="center"/>
            <w:hideMark/>
          </w:tcPr>
          <w:p w14:paraId="5B0F7994"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650</w:t>
            </w:r>
          </w:p>
        </w:tc>
        <w:tc>
          <w:tcPr>
            <w:tcW w:w="964" w:type="dxa"/>
            <w:noWrap/>
            <w:vAlign w:val="center"/>
            <w:hideMark/>
          </w:tcPr>
          <w:p w14:paraId="7BB81374"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750</w:t>
            </w:r>
          </w:p>
        </w:tc>
        <w:tc>
          <w:tcPr>
            <w:tcW w:w="964" w:type="dxa"/>
            <w:noWrap/>
            <w:vAlign w:val="center"/>
            <w:hideMark/>
          </w:tcPr>
          <w:p w14:paraId="5FCF5089"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855</w:t>
            </w:r>
          </w:p>
        </w:tc>
        <w:tc>
          <w:tcPr>
            <w:tcW w:w="964" w:type="dxa"/>
            <w:noWrap/>
            <w:vAlign w:val="center"/>
            <w:hideMark/>
          </w:tcPr>
          <w:p w14:paraId="2F517A4D"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1680</w:t>
            </w:r>
          </w:p>
        </w:tc>
      </w:tr>
      <w:tr w:rsidR="008B2319" w:rsidRPr="008B2319" w14:paraId="24C91A41" w14:textId="77777777" w:rsidTr="00571F30">
        <w:trPr>
          <w:trHeight w:val="20"/>
          <w:jc w:val="center"/>
        </w:trPr>
        <w:tc>
          <w:tcPr>
            <w:cnfStyle w:val="001000000000" w:firstRow="0" w:lastRow="0" w:firstColumn="1" w:lastColumn="0" w:oddVBand="0" w:evenVBand="0" w:oddHBand="0" w:evenHBand="0" w:firstRowFirstColumn="0" w:firstRowLastColumn="0" w:lastRowFirstColumn="0" w:lastRowLastColumn="0"/>
            <w:tcW w:w="964" w:type="dxa"/>
            <w:noWrap/>
            <w:vAlign w:val="center"/>
            <w:hideMark/>
          </w:tcPr>
          <w:p w14:paraId="64F2E7AC" w14:textId="77777777" w:rsidR="00571F30" w:rsidRPr="008B2319" w:rsidRDefault="00571F30" w:rsidP="00380644">
            <w:pPr>
              <w:spacing w:line="240" w:lineRule="auto"/>
              <w:jc w:val="center"/>
              <w:rPr>
                <w:sz w:val="20"/>
                <w:szCs w:val="20"/>
                <w:lang w:val="en-US" w:eastAsia="en-GB"/>
              </w:rPr>
            </w:pPr>
            <w:r w:rsidRPr="008B2319">
              <w:rPr>
                <w:sz w:val="20"/>
                <w:szCs w:val="20"/>
                <w:lang w:val="en-US" w:eastAsia="en-GB"/>
              </w:rPr>
              <w:t>34</w:t>
            </w:r>
          </w:p>
        </w:tc>
        <w:tc>
          <w:tcPr>
            <w:tcW w:w="964" w:type="dxa"/>
          </w:tcPr>
          <w:p w14:paraId="55AEAB2B" w14:textId="77777777" w:rsidR="00571F30" w:rsidRPr="008B2319" w:rsidRDefault="00751B5D"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0,27</w:t>
            </w:r>
          </w:p>
        </w:tc>
        <w:tc>
          <w:tcPr>
            <w:tcW w:w="964" w:type="dxa"/>
            <w:noWrap/>
            <w:vAlign w:val="center"/>
            <w:hideMark/>
          </w:tcPr>
          <w:p w14:paraId="28E969DD"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55</w:t>
            </w:r>
          </w:p>
        </w:tc>
        <w:tc>
          <w:tcPr>
            <w:tcW w:w="964" w:type="dxa"/>
            <w:noWrap/>
            <w:vAlign w:val="center"/>
            <w:hideMark/>
          </w:tcPr>
          <w:p w14:paraId="1D8F0393"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28</w:t>
            </w:r>
          </w:p>
        </w:tc>
        <w:tc>
          <w:tcPr>
            <w:tcW w:w="964" w:type="dxa"/>
            <w:noWrap/>
            <w:vAlign w:val="center"/>
            <w:hideMark/>
          </w:tcPr>
          <w:p w14:paraId="1288F266"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42</w:t>
            </w:r>
          </w:p>
        </w:tc>
        <w:tc>
          <w:tcPr>
            <w:tcW w:w="964" w:type="dxa"/>
            <w:noWrap/>
            <w:vAlign w:val="center"/>
            <w:hideMark/>
          </w:tcPr>
          <w:p w14:paraId="2AC7FE49"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400</w:t>
            </w:r>
          </w:p>
        </w:tc>
        <w:tc>
          <w:tcPr>
            <w:tcW w:w="964" w:type="dxa"/>
            <w:noWrap/>
            <w:vAlign w:val="center"/>
            <w:hideMark/>
          </w:tcPr>
          <w:p w14:paraId="5572F815"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650</w:t>
            </w:r>
          </w:p>
        </w:tc>
        <w:tc>
          <w:tcPr>
            <w:tcW w:w="964" w:type="dxa"/>
            <w:noWrap/>
            <w:vAlign w:val="center"/>
            <w:hideMark/>
          </w:tcPr>
          <w:p w14:paraId="36A414FF"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750</w:t>
            </w:r>
          </w:p>
        </w:tc>
        <w:tc>
          <w:tcPr>
            <w:tcW w:w="964" w:type="dxa"/>
            <w:noWrap/>
            <w:vAlign w:val="center"/>
            <w:hideMark/>
          </w:tcPr>
          <w:p w14:paraId="4FC64C88" w14:textId="77777777" w:rsidR="00571F30" w:rsidRPr="008B2319" w:rsidRDefault="00571F30" w:rsidP="00380644">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862</w:t>
            </w:r>
          </w:p>
        </w:tc>
        <w:tc>
          <w:tcPr>
            <w:tcW w:w="964" w:type="dxa"/>
            <w:noWrap/>
            <w:vAlign w:val="center"/>
            <w:hideMark/>
          </w:tcPr>
          <w:p w14:paraId="0572EBB4" w14:textId="77777777" w:rsidR="00571F30" w:rsidRPr="008B2319" w:rsidRDefault="00571F30" w:rsidP="00380644">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lang w:val="en-US" w:eastAsia="en-GB"/>
              </w:rPr>
            </w:pPr>
            <w:r w:rsidRPr="008B2319">
              <w:rPr>
                <w:sz w:val="20"/>
                <w:szCs w:val="20"/>
                <w:lang w:val="en-US" w:eastAsia="en-GB"/>
              </w:rPr>
              <w:t>1880</w:t>
            </w:r>
          </w:p>
        </w:tc>
      </w:tr>
    </w:tbl>
    <w:p w14:paraId="5200FC7D" w14:textId="77777777" w:rsidR="00380644" w:rsidRPr="008B2319" w:rsidRDefault="00380644" w:rsidP="00380644">
      <w:pPr>
        <w:spacing w:after="0"/>
      </w:pPr>
    </w:p>
    <w:p w14:paraId="0AE32F30" w14:textId="77777777" w:rsidR="006E2828" w:rsidRPr="008B2319" w:rsidRDefault="006E2828" w:rsidP="00380644">
      <w:pPr>
        <w:spacing w:after="0"/>
      </w:pPr>
      <w:r w:rsidRPr="008B2319">
        <w:t xml:space="preserve">The stack temperature is detected by six type-N thermocouples disposed along the package of the cells. </w:t>
      </w:r>
      <w:r w:rsidR="004F2EA9" w:rsidRPr="008B2319">
        <w:t xml:space="preserve">Other four thermocouples are installed to monitor the input/output anode and cathode temperatures. </w:t>
      </w:r>
      <w:r w:rsidRPr="008B2319">
        <w:t>The main thermocouples used as reference indicate:</w:t>
      </w:r>
    </w:p>
    <w:p w14:paraId="48960DDE" w14:textId="77777777" w:rsidR="006E2828" w:rsidRPr="008B2319" w:rsidRDefault="006E2828" w:rsidP="00380644">
      <w:pPr>
        <w:pStyle w:val="ListParagraph"/>
        <w:numPr>
          <w:ilvl w:val="0"/>
          <w:numId w:val="23"/>
        </w:numPr>
        <w:spacing w:after="0"/>
      </w:pPr>
      <w:r w:rsidRPr="008B2319">
        <w:t xml:space="preserve">T2001 measure the inlet </w:t>
      </w:r>
      <w:r w:rsidRPr="008B2319">
        <w:rPr>
          <w:i/>
        </w:rPr>
        <w:t>cathode</w:t>
      </w:r>
      <w:r w:rsidRPr="008B2319">
        <w:t xml:space="preserve"> temperature;</w:t>
      </w:r>
    </w:p>
    <w:p w14:paraId="3F9ED7CA" w14:textId="77777777" w:rsidR="006E2828" w:rsidRPr="008B2319" w:rsidRDefault="006E2828" w:rsidP="00380644">
      <w:pPr>
        <w:pStyle w:val="ListParagraph"/>
        <w:numPr>
          <w:ilvl w:val="0"/>
          <w:numId w:val="23"/>
        </w:numPr>
        <w:spacing w:after="0"/>
      </w:pPr>
      <w:r w:rsidRPr="008B2319">
        <w:t xml:space="preserve">T1001 measure the inlet </w:t>
      </w:r>
      <w:r w:rsidRPr="008B2319">
        <w:rPr>
          <w:i/>
        </w:rPr>
        <w:t xml:space="preserve">anode </w:t>
      </w:r>
      <w:r w:rsidRPr="008B2319">
        <w:t>temperature;</w:t>
      </w:r>
    </w:p>
    <w:p w14:paraId="4BC92790" w14:textId="48E51411" w:rsidR="006E2828" w:rsidRPr="008B2319" w:rsidRDefault="006E2828" w:rsidP="00380644">
      <w:pPr>
        <w:pStyle w:val="ListParagraph"/>
        <w:numPr>
          <w:ilvl w:val="0"/>
          <w:numId w:val="23"/>
        </w:numPr>
        <w:spacing w:after="0"/>
      </w:pPr>
      <w:r w:rsidRPr="008B2319">
        <w:t xml:space="preserve">T2105, T2107, T2111, T2106, T2108, T2112 are the six thermocouples located </w:t>
      </w:r>
      <w:r w:rsidR="001D4188" w:rsidRPr="008B2319">
        <w:t>inside</w:t>
      </w:r>
      <w:r w:rsidRPr="008B2319">
        <w:t xml:space="preserve"> the </w:t>
      </w:r>
      <w:r w:rsidRPr="008B2319">
        <w:rPr>
          <w:i/>
        </w:rPr>
        <w:t>core</w:t>
      </w:r>
      <w:r w:rsidR="00BF0972" w:rsidRPr="008B2319">
        <w:t xml:space="preserve"> of the cell package.</w:t>
      </w:r>
      <w:r w:rsidRPr="008B2319">
        <w:t xml:space="preserve"> </w:t>
      </w:r>
      <w:r w:rsidR="00BF0972" w:rsidRPr="008B2319">
        <w:t xml:space="preserve">Among the different temperatures, </w:t>
      </w:r>
      <w:r w:rsidRPr="008B2319">
        <w:t>T2111</w:t>
      </w:r>
      <w:r w:rsidR="00BF0972" w:rsidRPr="008B2319">
        <w:t xml:space="preserve"> (shown in Table 5)</w:t>
      </w:r>
      <w:r w:rsidRPr="008B2319">
        <w:t xml:space="preserve"> i</w:t>
      </w:r>
      <w:r w:rsidR="00BF0972" w:rsidRPr="008B2319">
        <w:t>s the reference thermocouple</w:t>
      </w:r>
      <w:r w:rsidRPr="008B2319">
        <w:t xml:space="preserve"> </w:t>
      </w:r>
      <w:r w:rsidR="00BF0972" w:rsidRPr="008B2319">
        <w:t>chosen</w:t>
      </w:r>
      <w:r w:rsidRPr="008B2319">
        <w:t xml:space="preserve"> by</w:t>
      </w:r>
      <w:r w:rsidR="00735262" w:rsidRPr="008B2319">
        <w:t xml:space="preserve"> the</w:t>
      </w:r>
      <w:r w:rsidRPr="008B2319">
        <w:t xml:space="preserve"> </w:t>
      </w:r>
      <w:r w:rsidRPr="008B2319">
        <w:rPr>
          <w:noProof/>
        </w:rPr>
        <w:t>manufacturer</w:t>
      </w:r>
      <w:r w:rsidR="00BF0972" w:rsidRPr="008B2319">
        <w:t xml:space="preserve"> for the </w:t>
      </w:r>
      <w:r w:rsidRPr="008B2319">
        <w:t>performances datasheet</w:t>
      </w:r>
      <w:r w:rsidR="00BF0972" w:rsidRPr="008B2319">
        <w:t xml:space="preserve"> and used as ‘</w:t>
      </w:r>
      <w:r w:rsidR="00BF0972" w:rsidRPr="008B2319">
        <w:rPr>
          <w:i/>
        </w:rPr>
        <w:t>stack temperature</w:t>
      </w:r>
      <w:r w:rsidR="00BF0972" w:rsidRPr="008B2319">
        <w:t>’ for the validation</w:t>
      </w:r>
      <w:r w:rsidRPr="008B2319">
        <w:t>.</w:t>
      </w:r>
    </w:p>
    <w:p w14:paraId="5C894D33" w14:textId="77777777" w:rsidR="006E0EBC" w:rsidRPr="008B2319" w:rsidRDefault="0061069F" w:rsidP="0061069F">
      <w:r w:rsidRPr="008B2319">
        <w:t xml:space="preserve">The test was carried out imposing the </w:t>
      </w:r>
      <w:r w:rsidR="00222BD9" w:rsidRPr="008B2319">
        <w:t xml:space="preserve">air flow </w:t>
      </w:r>
      <w:r w:rsidRPr="008B2319">
        <w:t xml:space="preserve">rates shown in </w:t>
      </w:r>
      <w:r w:rsidRPr="008B2319">
        <w:fldChar w:fldCharType="begin"/>
      </w:r>
      <w:r w:rsidRPr="008B2319">
        <w:instrText xml:space="preserve"> REF _Ref448243964 \h  \* MERGEFORMAT </w:instrText>
      </w:r>
      <w:r w:rsidRPr="008B2319">
        <w:fldChar w:fldCharType="separate"/>
      </w:r>
      <w:r w:rsidR="00AC560C" w:rsidRPr="008B2319">
        <w:rPr>
          <w:lang w:val="en-US"/>
        </w:rPr>
        <w:t xml:space="preserve">Figure </w:t>
      </w:r>
      <w:r w:rsidR="00AC560C" w:rsidRPr="008B2319">
        <w:rPr>
          <w:noProof/>
          <w:lang w:val="en-US"/>
        </w:rPr>
        <w:t>6</w:t>
      </w:r>
      <w:r w:rsidRPr="008B2319">
        <w:fldChar w:fldCharType="end"/>
      </w:r>
      <w:r w:rsidRPr="008B2319">
        <w:t xml:space="preserve">. </w:t>
      </w:r>
    </w:p>
    <w:p w14:paraId="7EFFAE94" w14:textId="0D7DF820" w:rsidR="0061069F" w:rsidRPr="008B2319" w:rsidRDefault="0061069F" w:rsidP="0061069F">
      <w:r w:rsidRPr="008B2319">
        <w:t>Then, results have been compared with values from manufacturer</w:t>
      </w:r>
      <w:r w:rsidR="00735262" w:rsidRPr="008B2319">
        <w:t>’s</w:t>
      </w:r>
      <w:r w:rsidRPr="008B2319">
        <w:t xml:space="preserve"> </w:t>
      </w:r>
      <w:r w:rsidR="00735262" w:rsidRPr="008B2319">
        <w:t xml:space="preserve">technical </w:t>
      </w:r>
      <w:r w:rsidRPr="008B2319">
        <w:rPr>
          <w:noProof/>
        </w:rPr>
        <w:t>datasheet</w:t>
      </w:r>
      <w:r w:rsidRPr="008B2319">
        <w:t xml:space="preserve"> (</w:t>
      </w:r>
      <w:r w:rsidRPr="008B2319">
        <w:fldChar w:fldCharType="begin"/>
      </w:r>
      <w:r w:rsidRPr="008B2319">
        <w:instrText xml:space="preserve"> REF _Ref448243951 \h  \* MERGEFORMAT </w:instrText>
      </w:r>
      <w:r w:rsidRPr="008B2319">
        <w:fldChar w:fldCharType="separate"/>
      </w:r>
      <w:r w:rsidR="00AC560C" w:rsidRPr="008B2319">
        <w:t xml:space="preserve">Table </w:t>
      </w:r>
      <w:r w:rsidR="00AC560C" w:rsidRPr="008B2319">
        <w:rPr>
          <w:noProof/>
        </w:rPr>
        <w:t>5</w:t>
      </w:r>
      <w:r w:rsidRPr="008B2319">
        <w:fldChar w:fldCharType="end"/>
      </w:r>
      <w:r w:rsidRPr="008B2319">
        <w:t>).</w:t>
      </w:r>
    </w:p>
    <w:p w14:paraId="31D959DB" w14:textId="77777777" w:rsidR="00B53F43" w:rsidRPr="008B2319" w:rsidRDefault="00380644" w:rsidP="00B53F43">
      <w:pPr>
        <w:keepNext/>
        <w:ind w:left="709"/>
        <w:jc w:val="center"/>
      </w:pPr>
      <w:r w:rsidRPr="008B2319">
        <w:rPr>
          <w:noProof/>
          <w:lang w:val="it-IT" w:eastAsia="it-IT"/>
        </w:rPr>
        <w:drawing>
          <wp:inline distT="0" distB="0" distL="0" distR="0" wp14:anchorId="454E64B1" wp14:editId="78972CA9">
            <wp:extent cx="5400000" cy="3516918"/>
            <wp:effectExtent l="0" t="0" r="0" b="762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400000" cy="3516918"/>
                    </a:xfrm>
                    <a:prstGeom prst="rect">
                      <a:avLst/>
                    </a:prstGeom>
                    <a:noFill/>
                    <a:ln>
                      <a:noFill/>
                    </a:ln>
                    <a:extLst>
                      <a:ext uri="{53640926-AAD7-44D8-BBD7-CCE9431645EC}">
                        <a14:shadowObscured xmlns:a14="http://schemas.microsoft.com/office/drawing/2010/main"/>
                      </a:ext>
                    </a:extLst>
                  </pic:spPr>
                </pic:pic>
              </a:graphicData>
            </a:graphic>
          </wp:inline>
        </w:drawing>
      </w:r>
    </w:p>
    <w:p w14:paraId="7A58E439" w14:textId="44BBF4A2" w:rsidR="006E2828" w:rsidRPr="008B2319" w:rsidRDefault="00B53F43" w:rsidP="00B53F43">
      <w:pPr>
        <w:pStyle w:val="Caption"/>
        <w:rPr>
          <w:lang w:val="en-US"/>
        </w:rPr>
      </w:pPr>
      <w:bookmarkStart w:id="13" w:name="_Ref448243964"/>
      <w:r w:rsidRPr="008B2319">
        <w:rPr>
          <w:lang w:val="it-IT"/>
        </w:rPr>
        <w:t xml:space="preserve">Figure </w:t>
      </w:r>
      <w:r w:rsidRPr="008B2319">
        <w:fldChar w:fldCharType="begin"/>
      </w:r>
      <w:r w:rsidRPr="008B2319">
        <w:rPr>
          <w:lang w:val="it-IT"/>
        </w:rPr>
        <w:instrText xml:space="preserve"> SEQ Figure \* ARABIC </w:instrText>
      </w:r>
      <w:r w:rsidRPr="008B2319">
        <w:fldChar w:fldCharType="separate"/>
      </w:r>
      <w:r w:rsidR="009B0D34" w:rsidRPr="008B2319">
        <w:rPr>
          <w:noProof/>
          <w:lang w:val="it-IT"/>
        </w:rPr>
        <w:t>6</w:t>
      </w:r>
      <w:r w:rsidRPr="008B2319">
        <w:fldChar w:fldCharType="end"/>
      </w:r>
      <w:bookmarkEnd w:id="13"/>
      <w:r w:rsidRPr="008B2319">
        <w:rPr>
          <w:lang w:val="it-IT"/>
        </w:rPr>
        <w:t>. H</w:t>
      </w:r>
      <w:r w:rsidRPr="008B2319">
        <w:rPr>
          <w:vertAlign w:val="subscript"/>
          <w:lang w:val="it-IT"/>
        </w:rPr>
        <w:t>2</w:t>
      </w:r>
      <w:r w:rsidRPr="008B2319">
        <w:rPr>
          <w:lang w:val="it-IT"/>
        </w:rPr>
        <w:t>/N</w:t>
      </w:r>
      <w:r w:rsidRPr="008B2319">
        <w:rPr>
          <w:vertAlign w:val="subscript"/>
          <w:lang w:val="it-IT"/>
        </w:rPr>
        <w:t>2</w:t>
      </w:r>
      <w:r w:rsidRPr="008B2319">
        <w:rPr>
          <w:lang w:val="it-IT"/>
        </w:rPr>
        <w:t xml:space="preserve"> (40/60%) 24-29-34 A @</w:t>
      </w:r>
      <w:r w:rsidR="002F74B5" w:rsidRPr="008B2319">
        <w:rPr>
          <w:lang w:val="it-IT"/>
        </w:rPr>
        <w:t xml:space="preserve"> </w:t>
      </w:r>
      <w:r w:rsidRPr="008B2319">
        <w:rPr>
          <w:lang w:val="it-IT"/>
        </w:rPr>
        <w:t>FU=75%</w:t>
      </w:r>
      <w:r w:rsidR="002F74B5" w:rsidRPr="008B2319">
        <w:rPr>
          <w:lang w:val="it-IT"/>
        </w:rPr>
        <w:t xml:space="preserve">. </w:t>
      </w:r>
      <w:r w:rsidR="002F74B5" w:rsidRPr="008B2319">
        <w:rPr>
          <w:lang w:val="en-US"/>
        </w:rPr>
        <w:t xml:space="preserve">Model results are represented </w:t>
      </w:r>
      <w:r w:rsidR="00832878" w:rsidRPr="008B2319">
        <w:rPr>
          <w:noProof/>
          <w:lang w:val="en-US"/>
        </w:rPr>
        <w:t>by</w:t>
      </w:r>
      <w:r w:rsidR="002F74B5" w:rsidRPr="008B2319">
        <w:rPr>
          <w:lang w:val="en-US"/>
        </w:rPr>
        <w:t xml:space="preserve"> continuous lines. Reference data from</w:t>
      </w:r>
      <w:r w:rsidR="00832878" w:rsidRPr="008B2319">
        <w:rPr>
          <w:lang w:val="en-US"/>
        </w:rPr>
        <w:t xml:space="preserve"> the</w:t>
      </w:r>
      <w:r w:rsidR="002F74B5" w:rsidRPr="008B2319">
        <w:rPr>
          <w:lang w:val="en-US"/>
        </w:rPr>
        <w:t xml:space="preserve"> </w:t>
      </w:r>
      <w:r w:rsidR="002F74B5" w:rsidRPr="008B2319">
        <w:rPr>
          <w:noProof/>
          <w:lang w:val="en-US"/>
        </w:rPr>
        <w:t>manufacturer</w:t>
      </w:r>
      <w:r w:rsidR="002F74B5" w:rsidRPr="008B2319">
        <w:rPr>
          <w:lang w:val="en-US"/>
        </w:rPr>
        <w:t xml:space="preserve"> are represented with dashed lines</w:t>
      </w:r>
      <w:r w:rsidRPr="008B2319">
        <w:rPr>
          <w:lang w:val="en-US"/>
        </w:rPr>
        <w:t>.</w:t>
      </w:r>
    </w:p>
    <w:p w14:paraId="3F384B5A" w14:textId="77777777" w:rsidR="006E2828" w:rsidRPr="008B2319" w:rsidRDefault="005E77D6" w:rsidP="006E2828">
      <w:r w:rsidRPr="008B2319">
        <w:rPr>
          <w:lang w:val="en-US"/>
        </w:rPr>
        <w:lastRenderedPageBreak/>
        <w:t>I</w:t>
      </w:r>
      <w:r w:rsidR="00B53F43" w:rsidRPr="008B2319">
        <w:rPr>
          <w:lang w:val="en-US"/>
        </w:rPr>
        <w:t xml:space="preserve">n </w:t>
      </w:r>
      <w:r w:rsidR="00B53F43" w:rsidRPr="008B2319">
        <w:rPr>
          <w:lang w:val="en-US"/>
        </w:rPr>
        <w:fldChar w:fldCharType="begin"/>
      </w:r>
      <w:r w:rsidR="00B53F43" w:rsidRPr="008B2319">
        <w:rPr>
          <w:lang w:val="en-US"/>
        </w:rPr>
        <w:instrText xml:space="preserve"> REF _Ref448243964 \h </w:instrText>
      </w:r>
      <w:r w:rsidR="00380644" w:rsidRPr="008B2319">
        <w:rPr>
          <w:lang w:val="en-US"/>
        </w:rPr>
        <w:instrText xml:space="preserve"> \* MERGEFORMAT </w:instrText>
      </w:r>
      <w:r w:rsidR="00B53F43" w:rsidRPr="008B2319">
        <w:rPr>
          <w:lang w:val="en-US"/>
        </w:rPr>
      </w:r>
      <w:r w:rsidR="00B53F43" w:rsidRPr="008B2319">
        <w:rPr>
          <w:lang w:val="en-US"/>
        </w:rPr>
        <w:fldChar w:fldCharType="separate"/>
      </w:r>
      <w:r w:rsidR="009B0D34" w:rsidRPr="008B2319">
        <w:rPr>
          <w:lang w:val="en-US"/>
        </w:rPr>
        <w:t xml:space="preserve">Figure </w:t>
      </w:r>
      <w:r w:rsidR="009B0D34" w:rsidRPr="008B2319">
        <w:rPr>
          <w:noProof/>
          <w:lang w:val="en-US"/>
        </w:rPr>
        <w:t>6</w:t>
      </w:r>
      <w:r w:rsidR="00B53F43" w:rsidRPr="008B2319">
        <w:rPr>
          <w:lang w:val="en-US"/>
        </w:rPr>
        <w:fldChar w:fldCharType="end"/>
      </w:r>
      <w:r w:rsidR="00B53F43" w:rsidRPr="008B2319">
        <w:rPr>
          <w:lang w:val="en-US"/>
        </w:rPr>
        <w:t xml:space="preserve"> </w:t>
      </w:r>
      <w:r w:rsidR="006E2828" w:rsidRPr="008B2319">
        <w:rPr>
          <w:noProof/>
        </w:rPr>
        <w:t>T</w:t>
      </w:r>
      <w:r w:rsidR="006E2828" w:rsidRPr="008B2319">
        <w:rPr>
          <w:noProof/>
          <w:vertAlign w:val="subscript"/>
        </w:rPr>
        <w:t>sofc</w:t>
      </w:r>
      <w:r w:rsidR="006E2828" w:rsidRPr="008B2319">
        <w:t xml:space="preserve"> is the SOFC stack temperature computed by </w:t>
      </w:r>
      <w:r w:rsidR="004F2EA9" w:rsidRPr="008B2319">
        <w:t xml:space="preserve">the </w:t>
      </w:r>
      <w:r w:rsidR="006E2828" w:rsidRPr="008B2319">
        <w:t xml:space="preserve">dynamic model and compared with T2111. </w:t>
      </w:r>
      <w:r w:rsidR="004F2EA9" w:rsidRPr="008B2319">
        <w:t xml:space="preserve">The </w:t>
      </w:r>
      <w:r w:rsidR="006E2828" w:rsidRPr="008B2319">
        <w:t xml:space="preserve">maximum allowable stack temperature </w:t>
      </w:r>
      <w:r w:rsidR="00CB2BEC" w:rsidRPr="008B2319">
        <w:t xml:space="preserve">was </w:t>
      </w:r>
      <w:r w:rsidR="006E2828" w:rsidRPr="008B2319">
        <w:t xml:space="preserve">set </w:t>
      </w:r>
      <w:r w:rsidR="004F2EA9" w:rsidRPr="008B2319">
        <w:t xml:space="preserve">to </w:t>
      </w:r>
      <w:r w:rsidR="006E2828" w:rsidRPr="008B2319">
        <w:t xml:space="preserve">10°C lower compared to the manufacturer specification, equal to 860°C. The </w:t>
      </w:r>
      <w:r w:rsidR="004F2EA9" w:rsidRPr="008B2319">
        <w:t xml:space="preserve">vertical </w:t>
      </w:r>
      <w:r w:rsidR="00CB2BEC" w:rsidRPr="008B2319">
        <w:t xml:space="preserve">black </w:t>
      </w:r>
      <w:r w:rsidR="006E2828" w:rsidRPr="008B2319">
        <w:t>d</w:t>
      </w:r>
      <w:r w:rsidR="00CB2BEC" w:rsidRPr="008B2319">
        <w:t>ash</w:t>
      </w:r>
      <w:r w:rsidR="006E2828" w:rsidRPr="008B2319">
        <w:t>ed line</w:t>
      </w:r>
      <w:r w:rsidR="004F2EA9" w:rsidRPr="008B2319">
        <w:t>s</w:t>
      </w:r>
      <w:r w:rsidR="006E2828" w:rsidRPr="008B2319">
        <w:t xml:space="preserve"> highlight three main </w:t>
      </w:r>
      <w:r w:rsidR="006E2828" w:rsidRPr="008B2319">
        <w:rPr>
          <w:noProof/>
        </w:rPr>
        <w:t>region</w:t>
      </w:r>
      <w:r w:rsidR="00735262" w:rsidRPr="008B2319">
        <w:rPr>
          <w:noProof/>
        </w:rPr>
        <w:t>s</w:t>
      </w:r>
      <w:r w:rsidR="006E2828" w:rsidRPr="008B2319">
        <w:t xml:space="preserve"> where a constant load is imposed (24A, </w:t>
      </w:r>
      <w:r w:rsidR="006E2828" w:rsidRPr="008B2319">
        <w:rPr>
          <w:noProof/>
        </w:rPr>
        <w:t>29A</w:t>
      </w:r>
      <w:r w:rsidR="00735262" w:rsidRPr="008B2319">
        <w:rPr>
          <w:noProof/>
        </w:rPr>
        <w:t>,</w:t>
      </w:r>
      <w:r w:rsidR="006E2828" w:rsidRPr="008B2319">
        <w:t xml:space="preserve"> and 34A).</w:t>
      </w:r>
    </w:p>
    <w:p w14:paraId="6DAFA438" w14:textId="77777777" w:rsidR="0061069F" w:rsidRPr="008B2319" w:rsidRDefault="0061069F" w:rsidP="0061069F">
      <w:pPr>
        <w:rPr>
          <w:lang w:val="en-US"/>
        </w:rPr>
      </w:pPr>
      <w:r w:rsidRPr="008B2319">
        <w:t>It is possible to observe a very good correlation between the obtained results</w:t>
      </w:r>
      <w:r w:rsidR="00120123" w:rsidRPr="008B2319">
        <w:t xml:space="preserve"> </w:t>
      </w:r>
      <w:r w:rsidRPr="008B2319">
        <w:t>and those provided by the manufacturer</w:t>
      </w:r>
      <w:r w:rsidR="00CB2BEC" w:rsidRPr="008B2319">
        <w:t>. In particular:</w:t>
      </w:r>
    </w:p>
    <w:p w14:paraId="063BE119" w14:textId="77777777" w:rsidR="006E2828" w:rsidRPr="008B2319" w:rsidRDefault="006E2828" w:rsidP="006E2828">
      <w:pPr>
        <w:pStyle w:val="ListParagraph"/>
        <w:numPr>
          <w:ilvl w:val="0"/>
          <w:numId w:val="17"/>
        </w:numPr>
        <w:ind w:left="426" w:hanging="425"/>
      </w:pPr>
      <w:r w:rsidRPr="008B2319">
        <w:t>The air flow rate which is necessary to keep the fixed temperature set-point is in the range of the manufacturer datasheet;</w:t>
      </w:r>
    </w:p>
    <w:p w14:paraId="42372D29" w14:textId="77777777" w:rsidR="006E2828" w:rsidRPr="008B2319" w:rsidRDefault="006E2828" w:rsidP="006E2828">
      <w:pPr>
        <w:pStyle w:val="ListParagraph"/>
        <w:numPr>
          <w:ilvl w:val="0"/>
          <w:numId w:val="17"/>
        </w:numPr>
        <w:ind w:left="426" w:hanging="425"/>
      </w:pPr>
      <w:r w:rsidRPr="008B2319">
        <w:t xml:space="preserve">The model tends to slightly underestimate (0.2-0.5V less) the voltage at 24 and </w:t>
      </w:r>
      <w:r w:rsidRPr="008B2319">
        <w:rPr>
          <w:noProof/>
        </w:rPr>
        <w:t>34A</w:t>
      </w:r>
      <w:r w:rsidRPr="008B2319">
        <w:t xml:space="preserve"> while showing an excellent correlation at medium load.</w:t>
      </w:r>
    </w:p>
    <w:p w14:paraId="59CC56C2" w14:textId="77777777" w:rsidR="006E2828" w:rsidRPr="008B2319" w:rsidRDefault="006E2828" w:rsidP="006E2828">
      <w:pPr>
        <w:pStyle w:val="ListParagraph"/>
        <w:numPr>
          <w:ilvl w:val="0"/>
          <w:numId w:val="17"/>
        </w:numPr>
        <w:ind w:left="426" w:hanging="425"/>
      </w:pPr>
      <w:r w:rsidRPr="008B2319">
        <w:t xml:space="preserve">The temperature set point is </w:t>
      </w:r>
      <w:r w:rsidR="005E77D6" w:rsidRPr="008B2319">
        <w:t>kept constant by the</w:t>
      </w:r>
      <w:r w:rsidRPr="008B2319">
        <w:t xml:space="preserve"> PID controller</w:t>
      </w:r>
      <w:r w:rsidR="005E77D6" w:rsidRPr="008B2319">
        <w:t xml:space="preserve"> that regulated the amount of cathode air in the stack</w:t>
      </w:r>
      <w:r w:rsidRPr="008B2319">
        <w:t>.</w:t>
      </w:r>
    </w:p>
    <w:p w14:paraId="0F293AA7" w14:textId="719F0E1F" w:rsidR="006E2828" w:rsidRPr="008B2319" w:rsidRDefault="006E2828" w:rsidP="00397BE5">
      <w:pPr>
        <w:pStyle w:val="Heading2"/>
      </w:pPr>
      <w:bookmarkStart w:id="14" w:name="_Toc444608480"/>
      <w:r w:rsidRPr="008B2319">
        <w:t xml:space="preserve">Model validation </w:t>
      </w:r>
      <w:bookmarkEnd w:id="14"/>
      <w:r w:rsidR="00451BE0" w:rsidRPr="008B2319">
        <w:rPr>
          <w:noProof/>
        </w:rPr>
        <w:t>with experimental results from the proof-of-concept</w:t>
      </w:r>
    </w:p>
    <w:p w14:paraId="3BBBDAE8" w14:textId="77777777" w:rsidR="006E2828" w:rsidRPr="008B2319" w:rsidRDefault="006E2828" w:rsidP="006E2828">
      <w:pPr>
        <w:rPr>
          <w:lang w:val="en-US"/>
        </w:rPr>
      </w:pPr>
      <w:r w:rsidRPr="008B2319">
        <w:rPr>
          <w:lang w:val="en-US"/>
        </w:rPr>
        <w:t xml:space="preserve">The comparisons </w:t>
      </w:r>
      <w:r w:rsidR="008D1C9F" w:rsidRPr="008B2319">
        <w:rPr>
          <w:lang w:val="en-US"/>
        </w:rPr>
        <w:t>are</w:t>
      </w:r>
      <w:r w:rsidRPr="008B2319">
        <w:rPr>
          <w:lang w:val="en-US"/>
        </w:rPr>
        <w:t xml:space="preserve"> </w:t>
      </w:r>
      <w:r w:rsidR="00735262" w:rsidRPr="008B2319">
        <w:rPr>
          <w:noProof/>
          <w:lang w:val="en-US"/>
        </w:rPr>
        <w:t>mad</w:t>
      </w:r>
      <w:r w:rsidRPr="008B2319">
        <w:rPr>
          <w:noProof/>
          <w:lang w:val="en-US"/>
        </w:rPr>
        <w:t>e</w:t>
      </w:r>
      <w:r w:rsidRPr="008B2319">
        <w:rPr>
          <w:lang w:val="en-US"/>
        </w:rPr>
        <w:t xml:space="preserve"> with the data obtained monitoring the SOFCO</w:t>
      </w:r>
      <w:r w:rsidR="00120123" w:rsidRPr="008B2319">
        <w:rPr>
          <w:lang w:val="en-US"/>
        </w:rPr>
        <w:t xml:space="preserve">M prototype at the SMAT WWTP. </w:t>
      </w:r>
      <w:r w:rsidRPr="008B2319">
        <w:rPr>
          <w:lang w:val="en-US"/>
        </w:rPr>
        <w:t>In particular, three polarization tests are considered:</w:t>
      </w:r>
    </w:p>
    <w:p w14:paraId="30C9BFA3" w14:textId="77777777" w:rsidR="006E2828" w:rsidRPr="008B2319" w:rsidRDefault="006E2828" w:rsidP="006E2828">
      <w:pPr>
        <w:pStyle w:val="ListParagraph"/>
        <w:numPr>
          <w:ilvl w:val="0"/>
          <w:numId w:val="25"/>
        </w:numPr>
        <w:rPr>
          <w:lang w:val="en-US"/>
        </w:rPr>
      </w:pPr>
      <w:r w:rsidRPr="008B2319">
        <w:rPr>
          <w:lang w:val="en-US"/>
        </w:rPr>
        <w:t xml:space="preserve">Polarization </w:t>
      </w:r>
      <w:r w:rsidRPr="008B2319">
        <w:rPr>
          <w:i/>
          <w:lang w:val="en-US"/>
        </w:rPr>
        <w:t>Test session#1</w:t>
      </w:r>
      <w:r w:rsidRPr="008B2319">
        <w:rPr>
          <w:lang w:val="en-US"/>
        </w:rPr>
        <w:t xml:space="preserve"> &amp; </w:t>
      </w:r>
      <w:r w:rsidRPr="008B2319">
        <w:rPr>
          <w:i/>
          <w:lang w:val="en-US"/>
        </w:rPr>
        <w:t>Test session#2</w:t>
      </w:r>
      <w:r w:rsidRPr="008B2319">
        <w:rPr>
          <w:lang w:val="en-US"/>
        </w:rPr>
        <w:t>: at first, polarization in H</w:t>
      </w:r>
      <w:r w:rsidRPr="008B2319">
        <w:rPr>
          <w:vertAlign w:val="subscript"/>
          <w:lang w:val="en-US"/>
        </w:rPr>
        <w:t>2</w:t>
      </w:r>
      <w:r w:rsidRPr="008B2319">
        <w:rPr>
          <w:lang w:val="en-US"/>
        </w:rPr>
        <w:t>/N</w:t>
      </w:r>
      <w:r w:rsidRPr="008B2319">
        <w:rPr>
          <w:vertAlign w:val="subscript"/>
          <w:lang w:val="en-US"/>
        </w:rPr>
        <w:t>2</w:t>
      </w:r>
      <w:r w:rsidRPr="008B2319">
        <w:rPr>
          <w:lang w:val="en-US"/>
        </w:rPr>
        <w:t xml:space="preserve"> mix up to 24A was implemented once completed the heat-up; then, once stabilized the working point, the shift from </w:t>
      </w:r>
      <w:r w:rsidR="00AA0243" w:rsidRPr="008B2319">
        <w:rPr>
          <w:lang w:val="en-US"/>
        </w:rPr>
        <w:t>H</w:t>
      </w:r>
      <w:r w:rsidR="00AA0243" w:rsidRPr="008B2319">
        <w:rPr>
          <w:vertAlign w:val="subscript"/>
          <w:lang w:val="en-US"/>
        </w:rPr>
        <w:t>2</w:t>
      </w:r>
      <w:r w:rsidR="00AA0243" w:rsidRPr="008B2319">
        <w:rPr>
          <w:lang w:val="en-US"/>
        </w:rPr>
        <w:t>/N</w:t>
      </w:r>
      <w:r w:rsidR="00AA0243" w:rsidRPr="008B2319">
        <w:rPr>
          <w:vertAlign w:val="subscript"/>
          <w:lang w:val="en-US"/>
        </w:rPr>
        <w:t>2</w:t>
      </w:r>
      <w:r w:rsidR="00AA0243" w:rsidRPr="008B2319">
        <w:rPr>
          <w:lang w:val="en-US"/>
        </w:rPr>
        <w:t xml:space="preserve"> </w:t>
      </w:r>
      <w:r w:rsidRPr="008B2319">
        <w:rPr>
          <w:lang w:val="en-US"/>
        </w:rPr>
        <w:t xml:space="preserve">to the </w:t>
      </w:r>
      <w:r w:rsidR="002A297B" w:rsidRPr="008B2319">
        <w:rPr>
          <w:lang w:val="en-US"/>
        </w:rPr>
        <w:t>fuel</w:t>
      </w:r>
      <w:r w:rsidRPr="008B2319">
        <w:rPr>
          <w:lang w:val="en-US"/>
        </w:rPr>
        <w:t xml:space="preserve"> reformate was gradually carried out, completing the polarization until reaching the OCV conditions.</w:t>
      </w:r>
    </w:p>
    <w:p w14:paraId="46C9A363" w14:textId="3261D010" w:rsidR="006E2828" w:rsidRPr="008B2319" w:rsidRDefault="006E2828" w:rsidP="006E2828">
      <w:pPr>
        <w:pStyle w:val="ListParagraph"/>
        <w:numPr>
          <w:ilvl w:val="0"/>
          <w:numId w:val="25"/>
        </w:numPr>
        <w:rPr>
          <w:lang w:val="en-US"/>
        </w:rPr>
      </w:pPr>
      <w:r w:rsidRPr="008B2319">
        <w:rPr>
          <w:lang w:val="en-US"/>
        </w:rPr>
        <w:t xml:space="preserve">Polarization </w:t>
      </w:r>
      <w:r w:rsidRPr="008B2319">
        <w:rPr>
          <w:i/>
          <w:lang w:val="en-US"/>
        </w:rPr>
        <w:t>Test session#3</w:t>
      </w:r>
      <w:r w:rsidRPr="008B2319">
        <w:rPr>
          <w:lang w:val="en-US"/>
        </w:rPr>
        <w:t xml:space="preserve">: using </w:t>
      </w:r>
      <w:r w:rsidR="002A297B" w:rsidRPr="008B2319">
        <w:rPr>
          <w:noProof/>
          <w:lang w:val="en-US"/>
        </w:rPr>
        <w:t>a</w:t>
      </w:r>
      <w:r w:rsidR="00832878" w:rsidRPr="008B2319">
        <w:rPr>
          <w:noProof/>
          <w:lang w:val="en-US"/>
        </w:rPr>
        <w:t xml:space="preserve"> mixture of H2/N2 up to 24A again</w:t>
      </w:r>
      <w:r w:rsidR="00751B5D" w:rsidRPr="008B2319">
        <w:rPr>
          <w:lang w:val="en-US"/>
        </w:rPr>
        <w:t>.</w:t>
      </w:r>
    </w:p>
    <w:p w14:paraId="12BBA237" w14:textId="77030416" w:rsidR="006E0EBC" w:rsidRPr="008B2319" w:rsidRDefault="006E0EBC" w:rsidP="006E0EBC">
      <w:pPr>
        <w:ind w:left="360"/>
      </w:pPr>
      <w:r w:rsidRPr="008B2319">
        <w:t>Each polarization test was carried out by varying the stack current step-wise from 0 to 24 A using current steps of 0.25 A/min. Throughout the polarization test, the anode fuel composition and flow rate was kept constant. The inlet fuel temperature was set to 750 °C. The cathode flow rate was gradually adjusted (increased) as the current load increases to maintain a stack temperature below 860 °C.</w:t>
      </w:r>
    </w:p>
    <w:p w14:paraId="408DD845" w14:textId="77777777" w:rsidR="00380644" w:rsidRPr="008B2319" w:rsidRDefault="00380644" w:rsidP="00380644">
      <w:pPr>
        <w:rPr>
          <w:b/>
        </w:rPr>
      </w:pPr>
      <w:bookmarkStart w:id="15" w:name="_Toc444608481"/>
      <w:r w:rsidRPr="008B2319">
        <w:rPr>
          <w:b/>
        </w:rPr>
        <w:t xml:space="preserve">Test session #1 </w:t>
      </w:r>
      <w:bookmarkEnd w:id="15"/>
    </w:p>
    <w:p w14:paraId="1CAE9799" w14:textId="77777777" w:rsidR="00380644" w:rsidRPr="008B2319" w:rsidRDefault="00380644" w:rsidP="00380644">
      <w:pPr>
        <w:keepNext/>
        <w:jc w:val="center"/>
      </w:pPr>
      <w:r w:rsidRPr="008B2319">
        <w:rPr>
          <w:noProof/>
          <w:lang w:val="it-IT" w:eastAsia="it-IT"/>
        </w:rPr>
        <w:lastRenderedPageBreak/>
        <w:drawing>
          <wp:inline distT="0" distB="0" distL="0" distR="0" wp14:anchorId="040CB82D" wp14:editId="2993450C">
            <wp:extent cx="4680000" cy="3042827"/>
            <wp:effectExtent l="0" t="0" r="6350" b="571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l="2151" t="1732" r="1749" b="2639"/>
                    <a:stretch/>
                  </pic:blipFill>
                  <pic:spPr bwMode="auto">
                    <a:xfrm>
                      <a:off x="0" y="0"/>
                      <a:ext cx="4680000" cy="3042827"/>
                    </a:xfrm>
                    <a:prstGeom prst="rect">
                      <a:avLst/>
                    </a:prstGeom>
                    <a:noFill/>
                    <a:ln>
                      <a:noFill/>
                    </a:ln>
                    <a:extLst>
                      <a:ext uri="{53640926-AAD7-44D8-BBD7-CCE9431645EC}">
                        <a14:shadowObscured xmlns:a14="http://schemas.microsoft.com/office/drawing/2010/main"/>
                      </a:ext>
                    </a:extLst>
                  </pic:spPr>
                </pic:pic>
              </a:graphicData>
            </a:graphic>
          </wp:inline>
        </w:drawing>
      </w:r>
    </w:p>
    <w:p w14:paraId="70FA9BD3" w14:textId="77777777" w:rsidR="00380644" w:rsidRPr="008B2319" w:rsidRDefault="00380644" w:rsidP="00380644">
      <w:pPr>
        <w:pStyle w:val="Caption"/>
        <w:ind w:left="720"/>
      </w:pPr>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AC560C" w:rsidRPr="008B2319">
        <w:rPr>
          <w:noProof/>
        </w:rPr>
        <w:t>7</w:t>
      </w:r>
      <w:r w:rsidR="00825D4F" w:rsidRPr="008B2319">
        <w:rPr>
          <w:noProof/>
        </w:rPr>
        <w:fldChar w:fldCharType="end"/>
      </w:r>
      <w:r w:rsidRPr="008B2319">
        <w:t>. Test session #1.</w:t>
      </w:r>
    </w:p>
    <w:p w14:paraId="5938E649" w14:textId="3AA997D0" w:rsidR="00AC560C" w:rsidRPr="008B2319" w:rsidRDefault="00AC560C" w:rsidP="00AC560C"/>
    <w:p w14:paraId="76E76970" w14:textId="77777777" w:rsidR="00380644" w:rsidRPr="008B2319" w:rsidRDefault="00380644" w:rsidP="00380644">
      <w:pPr>
        <w:rPr>
          <w:b/>
        </w:rPr>
      </w:pPr>
      <w:bookmarkStart w:id="16" w:name="_Toc444608482"/>
      <w:r w:rsidRPr="008B2319">
        <w:rPr>
          <w:b/>
        </w:rPr>
        <w:t xml:space="preserve">Test session #2 </w:t>
      </w:r>
      <w:bookmarkEnd w:id="16"/>
    </w:p>
    <w:p w14:paraId="26C4F59C" w14:textId="77777777" w:rsidR="00751B5D" w:rsidRPr="008B2319" w:rsidRDefault="00484780" w:rsidP="00484780">
      <w:pPr>
        <w:pStyle w:val="ListParagraph"/>
        <w:keepNext/>
        <w:ind w:left="0"/>
        <w:jc w:val="center"/>
      </w:pPr>
      <w:r w:rsidRPr="008B2319">
        <w:rPr>
          <w:noProof/>
          <w:lang w:val="it-IT" w:eastAsia="it-IT"/>
        </w:rPr>
        <w:drawing>
          <wp:inline distT="0" distB="0" distL="0" distR="0" wp14:anchorId="4C98231D" wp14:editId="282A9E6E">
            <wp:extent cx="4680000" cy="3443181"/>
            <wp:effectExtent l="0" t="0" r="6350" b="508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0000" cy="3443181"/>
                    </a:xfrm>
                    <a:prstGeom prst="rect">
                      <a:avLst/>
                    </a:prstGeom>
                    <a:noFill/>
                  </pic:spPr>
                </pic:pic>
              </a:graphicData>
            </a:graphic>
          </wp:inline>
        </w:drawing>
      </w:r>
    </w:p>
    <w:p w14:paraId="6D0F2854" w14:textId="77777777" w:rsidR="00380644" w:rsidRPr="008B2319" w:rsidRDefault="00380644" w:rsidP="00380644">
      <w:pPr>
        <w:pStyle w:val="Caption"/>
        <w:ind w:left="720"/>
        <w:rPr>
          <w:lang w:val="en-US"/>
        </w:rPr>
      </w:pPr>
      <w:r w:rsidRPr="008B2319">
        <w:rPr>
          <w:lang w:val="en-US"/>
        </w:rPr>
        <w:t xml:space="preserve">Figure </w:t>
      </w:r>
      <w:r w:rsidR="006B6EBE" w:rsidRPr="008B2319">
        <w:fldChar w:fldCharType="begin"/>
      </w:r>
      <w:r w:rsidR="006B6EBE" w:rsidRPr="008B2319">
        <w:rPr>
          <w:lang w:val="en-US"/>
        </w:rPr>
        <w:instrText xml:space="preserve"> SEQ Figure \* ARABIC </w:instrText>
      </w:r>
      <w:r w:rsidR="006B6EBE" w:rsidRPr="008B2319">
        <w:fldChar w:fldCharType="separate"/>
      </w:r>
      <w:r w:rsidR="00AC560C" w:rsidRPr="008B2319">
        <w:rPr>
          <w:noProof/>
          <w:lang w:val="en-US"/>
        </w:rPr>
        <w:t>8</w:t>
      </w:r>
      <w:r w:rsidR="006B6EBE" w:rsidRPr="008B2319">
        <w:rPr>
          <w:noProof/>
        </w:rPr>
        <w:fldChar w:fldCharType="end"/>
      </w:r>
      <w:r w:rsidRPr="008B2319">
        <w:rPr>
          <w:lang w:val="en-US"/>
        </w:rPr>
        <w:t>. Test session #2.</w:t>
      </w:r>
      <w:r w:rsidR="00571F30" w:rsidRPr="008B2319">
        <w:rPr>
          <w:lang w:val="en-US"/>
        </w:rPr>
        <w:t xml:space="preserve"> </w:t>
      </w:r>
    </w:p>
    <w:p w14:paraId="798B035E" w14:textId="77777777" w:rsidR="00380644" w:rsidRPr="008B2319" w:rsidRDefault="00380644" w:rsidP="00380644">
      <w:pPr>
        <w:ind w:left="360"/>
        <w:jc w:val="left"/>
        <w:rPr>
          <w:b/>
        </w:rPr>
      </w:pPr>
      <w:bookmarkStart w:id="17" w:name="_Toc444608483"/>
      <w:r w:rsidRPr="008B2319">
        <w:rPr>
          <w:b/>
        </w:rPr>
        <w:t>Test session #3</w:t>
      </w:r>
      <w:bookmarkEnd w:id="17"/>
    </w:p>
    <w:p w14:paraId="650D19DE" w14:textId="77777777" w:rsidR="00380644" w:rsidRPr="008B2319" w:rsidRDefault="00380644" w:rsidP="00380644">
      <w:pPr>
        <w:keepNext/>
        <w:ind w:left="360"/>
        <w:jc w:val="center"/>
      </w:pPr>
      <w:r w:rsidRPr="008B2319">
        <w:rPr>
          <w:noProof/>
          <w:lang w:val="it-IT" w:eastAsia="it-IT"/>
        </w:rPr>
        <w:lastRenderedPageBreak/>
        <w:drawing>
          <wp:inline distT="0" distB="0" distL="0" distR="0" wp14:anchorId="19A9FA55" wp14:editId="0CDF08A9">
            <wp:extent cx="4680000" cy="2827613"/>
            <wp:effectExtent l="0" t="0" r="635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a:extLst>
                        <a:ext uri="{28A0092B-C50C-407E-A947-70E740481C1C}">
                          <a14:useLocalDpi xmlns:a14="http://schemas.microsoft.com/office/drawing/2010/main" val="0"/>
                        </a:ext>
                      </a:extLst>
                    </a:blip>
                    <a:srcRect l="1358" r="1422" b="2365"/>
                    <a:stretch/>
                  </pic:blipFill>
                  <pic:spPr bwMode="auto">
                    <a:xfrm>
                      <a:off x="0" y="0"/>
                      <a:ext cx="4680000" cy="2827613"/>
                    </a:xfrm>
                    <a:prstGeom prst="rect">
                      <a:avLst/>
                    </a:prstGeom>
                    <a:noFill/>
                    <a:ln>
                      <a:noFill/>
                    </a:ln>
                    <a:extLst>
                      <a:ext uri="{53640926-AAD7-44D8-BBD7-CCE9431645EC}">
                        <a14:shadowObscured xmlns:a14="http://schemas.microsoft.com/office/drawing/2010/main"/>
                      </a:ext>
                    </a:extLst>
                  </pic:spPr>
                </pic:pic>
              </a:graphicData>
            </a:graphic>
          </wp:inline>
        </w:drawing>
      </w:r>
    </w:p>
    <w:p w14:paraId="42A64911" w14:textId="77777777" w:rsidR="00380644" w:rsidRPr="008B2319" w:rsidRDefault="00380644" w:rsidP="00380644">
      <w:pPr>
        <w:pStyle w:val="Caption"/>
        <w:ind w:left="360"/>
      </w:pPr>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AC560C" w:rsidRPr="008B2319">
        <w:rPr>
          <w:noProof/>
        </w:rPr>
        <w:t>9</w:t>
      </w:r>
      <w:r w:rsidR="00825D4F" w:rsidRPr="008B2319">
        <w:rPr>
          <w:noProof/>
        </w:rPr>
        <w:fldChar w:fldCharType="end"/>
      </w:r>
      <w:r w:rsidRPr="008B2319">
        <w:t>. Test session #3.</w:t>
      </w:r>
    </w:p>
    <w:p w14:paraId="004DEED7" w14:textId="77777777" w:rsidR="006E2828" w:rsidRPr="008B2319" w:rsidRDefault="006E2828" w:rsidP="006E2828">
      <w:pPr>
        <w:rPr>
          <w:lang w:val="en-US"/>
        </w:rPr>
      </w:pPr>
      <w:r w:rsidRPr="008B2319">
        <w:rPr>
          <w:lang w:val="en-US"/>
        </w:rPr>
        <w:t xml:space="preserve">The results of the presented analysis show </w:t>
      </w:r>
      <w:r w:rsidR="008863FE" w:rsidRPr="008B2319">
        <w:rPr>
          <w:lang w:val="en-US"/>
        </w:rPr>
        <w:t>good agreement</w:t>
      </w:r>
      <w:r w:rsidRPr="008B2319">
        <w:rPr>
          <w:lang w:val="en-US"/>
        </w:rPr>
        <w:t xml:space="preserve"> between </w:t>
      </w:r>
      <w:r w:rsidR="008863FE" w:rsidRPr="008B2319">
        <w:rPr>
          <w:lang w:val="en-US"/>
        </w:rPr>
        <w:t xml:space="preserve">experimental </w:t>
      </w:r>
      <w:r w:rsidRPr="008B2319">
        <w:rPr>
          <w:lang w:val="en-US"/>
        </w:rPr>
        <w:t>and simulated data.</w:t>
      </w:r>
    </w:p>
    <w:p w14:paraId="48D06387" w14:textId="77777777" w:rsidR="0061069F" w:rsidRPr="008B2319" w:rsidRDefault="0061069F" w:rsidP="0061069F">
      <w:pPr>
        <w:rPr>
          <w:lang w:val="en-US"/>
        </w:rPr>
      </w:pPr>
      <w:r w:rsidRPr="008B2319">
        <w:rPr>
          <w:noProof/>
          <w:lang w:val="en-US"/>
        </w:rPr>
        <w:t>Considering all the temperature charts</w:t>
      </w:r>
      <w:r w:rsidRPr="008B2319">
        <w:rPr>
          <w:lang w:val="en-US"/>
        </w:rPr>
        <w:t xml:space="preserve">, the results obtained from the model fitting well TT302 values. </w:t>
      </w:r>
      <w:r w:rsidR="008863FE" w:rsidRPr="008B2319">
        <w:rPr>
          <w:lang w:val="en-US"/>
        </w:rPr>
        <w:t>Note</w:t>
      </w:r>
      <w:r w:rsidRPr="008B2319">
        <w:rPr>
          <w:lang w:val="en-US"/>
        </w:rPr>
        <w:t xml:space="preserve"> that the temperature obtained by the model represents both the core and the outlet stack temperature (outlet </w:t>
      </w:r>
      <w:r w:rsidRPr="008B2319">
        <w:rPr>
          <w:noProof/>
          <w:lang w:val="en-US"/>
        </w:rPr>
        <w:t>ga</w:t>
      </w:r>
      <w:r w:rsidR="00735262" w:rsidRPr="008B2319">
        <w:rPr>
          <w:noProof/>
          <w:lang w:val="en-US"/>
        </w:rPr>
        <w:t>s</w:t>
      </w:r>
      <w:r w:rsidRPr="008B2319">
        <w:rPr>
          <w:noProof/>
          <w:lang w:val="en-US"/>
        </w:rPr>
        <w:t>ses</w:t>
      </w:r>
      <w:r w:rsidRPr="008B2319">
        <w:rPr>
          <w:lang w:val="en-US"/>
        </w:rPr>
        <w:t xml:space="preserve"> are assumed to be at the same </w:t>
      </w:r>
      <w:r w:rsidR="008863FE" w:rsidRPr="008B2319">
        <w:rPr>
          <w:lang w:val="en-US"/>
        </w:rPr>
        <w:t>temperatures stack core</w:t>
      </w:r>
      <w:r w:rsidRPr="008B2319">
        <w:rPr>
          <w:lang w:val="en-US"/>
        </w:rPr>
        <w:t>).</w:t>
      </w:r>
    </w:p>
    <w:p w14:paraId="7D871F70" w14:textId="77777777" w:rsidR="0061069F" w:rsidRPr="008B2319" w:rsidRDefault="0061069F" w:rsidP="0061069F">
      <w:pPr>
        <w:rPr>
          <w:lang w:val="en-US"/>
        </w:rPr>
      </w:pPr>
      <w:r w:rsidRPr="008B2319">
        <w:rPr>
          <w:lang w:val="en-US"/>
        </w:rPr>
        <w:t xml:space="preserve">A good data correlation concerning the polarization curves has also been obtained. While the curve overlap is nearly perfect for the test session #1, small deviations from the experimental data are detected in both test session #2 and test session #3. These differences stand out only in the first section of the curve (at currents of the order of </w:t>
      </w:r>
      <w:r w:rsidR="00571F30" w:rsidRPr="008B2319">
        <w:rPr>
          <w:lang w:val="en-US"/>
        </w:rPr>
        <w:t>0.</w:t>
      </w:r>
      <w:r w:rsidR="006968DA" w:rsidRPr="008B2319">
        <w:rPr>
          <w:lang w:val="en-US"/>
        </w:rPr>
        <w:t>01</w:t>
      </w:r>
      <w:r w:rsidR="00384D0C" w:rsidRPr="008B2319">
        <w:rPr>
          <w:lang w:val="en-US"/>
        </w:rPr>
        <w:t xml:space="preserve"> </w:t>
      </w:r>
      <w:r w:rsidR="00571F30" w:rsidRPr="008B2319">
        <w:rPr>
          <w:lang w:val="en-US"/>
        </w:rPr>
        <w:t>– 0.</w:t>
      </w:r>
      <w:r w:rsidR="00384D0C" w:rsidRPr="008B2319">
        <w:rPr>
          <w:lang w:val="en-US"/>
        </w:rPr>
        <w:t>03</w:t>
      </w:r>
      <w:r w:rsidRPr="008B2319">
        <w:rPr>
          <w:lang w:val="en-US"/>
        </w:rPr>
        <w:t xml:space="preserve"> A</w:t>
      </w:r>
      <w:r w:rsidR="00384D0C" w:rsidRPr="008B2319">
        <w:rPr>
          <w:lang w:val="en-US"/>
        </w:rPr>
        <w:t>/cm</w:t>
      </w:r>
      <w:r w:rsidR="00384D0C" w:rsidRPr="008B2319">
        <w:rPr>
          <w:vertAlign w:val="superscript"/>
          <w:lang w:val="en-US"/>
        </w:rPr>
        <w:t>2</w:t>
      </w:r>
      <w:r w:rsidR="00571F30" w:rsidRPr="008B2319">
        <w:rPr>
          <w:lang w:val="en-US"/>
        </w:rPr>
        <w:t xml:space="preserve">, so very low currents, </w:t>
      </w:r>
      <w:r w:rsidR="008863FE" w:rsidRPr="008B2319">
        <w:rPr>
          <w:lang w:val="en-US"/>
        </w:rPr>
        <w:t xml:space="preserve">that are of </w:t>
      </w:r>
      <w:r w:rsidR="00D91721" w:rsidRPr="008B2319">
        <w:rPr>
          <w:lang w:val="en-US"/>
        </w:rPr>
        <w:t xml:space="preserve">low </w:t>
      </w:r>
      <w:r w:rsidR="00571F30" w:rsidRPr="008B2319">
        <w:rPr>
          <w:lang w:val="en-US"/>
        </w:rPr>
        <w:t>interest in the real operation of the plant</w:t>
      </w:r>
      <w:r w:rsidRPr="008B2319">
        <w:rPr>
          <w:lang w:val="en-US"/>
        </w:rPr>
        <w:t>), with the average relative errors below 1.21% anyway. The maximum relative error was about 2.47%</w:t>
      </w:r>
      <w:r w:rsidR="000B0D46" w:rsidRPr="008B2319">
        <w:rPr>
          <w:lang w:val="en-US"/>
        </w:rPr>
        <w:t xml:space="preserve"> (voltage curve comparison)</w:t>
      </w:r>
      <w:r w:rsidRPr="008B2319">
        <w:rPr>
          <w:lang w:val="en-US"/>
        </w:rPr>
        <w:t xml:space="preserve">, registered during the test session #3 </w:t>
      </w:r>
      <w:r w:rsidR="00571F30" w:rsidRPr="008B2319">
        <w:rPr>
          <w:lang w:val="en-US"/>
        </w:rPr>
        <w:t>at 0.</w:t>
      </w:r>
      <w:r w:rsidR="000B0D46" w:rsidRPr="008B2319">
        <w:rPr>
          <w:lang w:val="en-US"/>
        </w:rPr>
        <w:t>04 A/cm</w:t>
      </w:r>
      <w:r w:rsidR="000B0D46" w:rsidRPr="008B2319">
        <w:rPr>
          <w:vertAlign w:val="superscript"/>
          <w:lang w:val="en-US"/>
        </w:rPr>
        <w:t>2</w:t>
      </w:r>
      <w:r w:rsidR="000B0D46" w:rsidRPr="008B2319">
        <w:rPr>
          <w:lang w:val="en-US"/>
        </w:rPr>
        <w:t>.</w:t>
      </w:r>
    </w:p>
    <w:p w14:paraId="43CDFB68" w14:textId="77777777" w:rsidR="00D91721" w:rsidRPr="008B2319" w:rsidRDefault="00D91721" w:rsidP="0061069F">
      <w:pPr>
        <w:rPr>
          <w:lang w:val="en-US"/>
        </w:rPr>
      </w:pPr>
    </w:p>
    <w:p w14:paraId="50329807" w14:textId="77777777" w:rsidR="006E2828" w:rsidRPr="008B2319" w:rsidRDefault="006E2828" w:rsidP="006E2828">
      <w:pPr>
        <w:pStyle w:val="Heading1"/>
        <w:rPr>
          <w:sz w:val="28"/>
          <w:szCs w:val="28"/>
          <w:lang w:val="en-US"/>
        </w:rPr>
      </w:pPr>
      <w:bookmarkStart w:id="18" w:name="_Toc444608485"/>
      <w:r w:rsidRPr="008B2319">
        <w:rPr>
          <w:sz w:val="28"/>
          <w:szCs w:val="28"/>
          <w:lang w:val="en-US"/>
        </w:rPr>
        <w:t xml:space="preserve">Simulations of </w:t>
      </w:r>
      <w:r w:rsidR="00AA36A1" w:rsidRPr="008B2319">
        <w:rPr>
          <w:sz w:val="28"/>
          <w:szCs w:val="28"/>
          <w:lang w:val="en-US"/>
        </w:rPr>
        <w:t>harsh off-design conditions</w:t>
      </w:r>
      <w:r w:rsidRPr="008B2319">
        <w:rPr>
          <w:sz w:val="28"/>
          <w:szCs w:val="28"/>
          <w:lang w:val="en-US"/>
        </w:rPr>
        <w:t xml:space="preserve"> </w:t>
      </w:r>
      <w:bookmarkEnd w:id="18"/>
    </w:p>
    <w:p w14:paraId="3FFF16D1" w14:textId="77777777" w:rsidR="006E2828" w:rsidRPr="008B2319" w:rsidRDefault="006E2828" w:rsidP="006E2828">
      <w:pPr>
        <w:rPr>
          <w:lang w:val="en-US"/>
        </w:rPr>
      </w:pPr>
      <w:r w:rsidRPr="008B2319">
        <w:rPr>
          <w:lang w:val="en-US"/>
        </w:rPr>
        <w:t xml:space="preserve">The </w:t>
      </w:r>
      <w:r w:rsidR="00077B16" w:rsidRPr="008B2319">
        <w:rPr>
          <w:lang w:val="en-US"/>
        </w:rPr>
        <w:t>validated model is us</w:t>
      </w:r>
      <w:r w:rsidR="00AA36A1" w:rsidRPr="008B2319">
        <w:rPr>
          <w:lang w:val="en-US"/>
        </w:rPr>
        <w:t xml:space="preserve">eful </w:t>
      </w:r>
      <w:r w:rsidR="00077B16" w:rsidRPr="008B2319">
        <w:rPr>
          <w:lang w:val="en-US"/>
        </w:rPr>
        <w:t xml:space="preserve">for predictive purposes: as an example, </w:t>
      </w:r>
      <w:r w:rsidR="00AA36A1" w:rsidRPr="008B2319">
        <w:rPr>
          <w:lang w:val="en-US"/>
        </w:rPr>
        <w:t>we</w:t>
      </w:r>
      <w:r w:rsidR="00077B16" w:rsidRPr="008B2319">
        <w:rPr>
          <w:lang w:val="en-US"/>
        </w:rPr>
        <w:t xml:space="preserve"> </w:t>
      </w:r>
      <w:r w:rsidR="00AA36A1" w:rsidRPr="008B2319">
        <w:rPr>
          <w:lang w:val="en-US"/>
        </w:rPr>
        <w:t>analyze</w:t>
      </w:r>
      <w:r w:rsidR="00077B16" w:rsidRPr="008B2319">
        <w:rPr>
          <w:lang w:val="en-US"/>
        </w:rPr>
        <w:t xml:space="preserve"> the behavior of the proof-of-concept </w:t>
      </w:r>
      <w:r w:rsidR="00AA36A1" w:rsidRPr="008B2319">
        <w:rPr>
          <w:lang w:val="en-US"/>
        </w:rPr>
        <w:t>under unconventional</w:t>
      </w:r>
      <w:r w:rsidR="00077B16" w:rsidRPr="008B2319">
        <w:rPr>
          <w:lang w:val="en-US"/>
        </w:rPr>
        <w:t xml:space="preserve"> </w:t>
      </w:r>
      <w:r w:rsidR="00AA36A1" w:rsidRPr="008B2319">
        <w:rPr>
          <w:lang w:val="en-US"/>
        </w:rPr>
        <w:t>situations possibly related to</w:t>
      </w:r>
      <w:r w:rsidR="00077B16" w:rsidRPr="008B2319">
        <w:rPr>
          <w:lang w:val="en-US"/>
        </w:rPr>
        <w:t xml:space="preserve"> </w:t>
      </w:r>
      <w:r w:rsidR="00AA36A1" w:rsidRPr="008B2319">
        <w:rPr>
          <w:lang w:val="en-US"/>
        </w:rPr>
        <w:t xml:space="preserve">an </w:t>
      </w:r>
      <w:r w:rsidR="00077B16" w:rsidRPr="008B2319">
        <w:rPr>
          <w:lang w:val="en-US"/>
        </w:rPr>
        <w:t xml:space="preserve">unexpected </w:t>
      </w:r>
      <w:r w:rsidR="00AA36A1" w:rsidRPr="008B2319">
        <w:rPr>
          <w:lang w:val="en-US"/>
        </w:rPr>
        <w:t>malfunctioning of a given plant component</w:t>
      </w:r>
      <w:r w:rsidR="00077B16" w:rsidRPr="008B2319">
        <w:rPr>
          <w:lang w:val="en-US"/>
        </w:rPr>
        <w:t xml:space="preserve">. </w:t>
      </w:r>
      <w:r w:rsidR="00AA36A1" w:rsidRPr="008B2319">
        <w:rPr>
          <w:lang w:val="en-US"/>
        </w:rPr>
        <w:t>Hence, t</w:t>
      </w:r>
      <w:r w:rsidR="00077B16" w:rsidRPr="008B2319">
        <w:rPr>
          <w:lang w:val="en-US"/>
        </w:rPr>
        <w:t xml:space="preserve">he </w:t>
      </w:r>
      <w:r w:rsidRPr="008B2319">
        <w:rPr>
          <w:lang w:val="en-US"/>
        </w:rPr>
        <w:t xml:space="preserve">following sections cover </w:t>
      </w:r>
      <w:r w:rsidR="00AA36A1" w:rsidRPr="008B2319">
        <w:rPr>
          <w:lang w:val="en-US"/>
        </w:rPr>
        <w:t>specific</w:t>
      </w:r>
      <w:r w:rsidRPr="008B2319">
        <w:rPr>
          <w:lang w:val="en-US"/>
        </w:rPr>
        <w:t xml:space="preserve"> cases of practical interest and</w:t>
      </w:r>
      <w:r w:rsidR="00AA36A1" w:rsidRPr="008B2319">
        <w:rPr>
          <w:lang w:val="en-US"/>
        </w:rPr>
        <w:t>/or</w:t>
      </w:r>
      <w:r w:rsidRPr="008B2319">
        <w:rPr>
          <w:lang w:val="en-US"/>
        </w:rPr>
        <w:t xml:space="preserve"> abnormal working conditions caused by </w:t>
      </w:r>
      <w:r w:rsidR="00AA36A1" w:rsidRPr="008B2319">
        <w:rPr>
          <w:lang w:val="en-US"/>
        </w:rPr>
        <w:t xml:space="preserve">an </w:t>
      </w:r>
      <w:r w:rsidRPr="008B2319">
        <w:rPr>
          <w:lang w:val="en-US"/>
        </w:rPr>
        <w:t xml:space="preserve">unforeseen </w:t>
      </w:r>
      <w:r w:rsidR="00AA36A1" w:rsidRPr="008B2319">
        <w:rPr>
          <w:lang w:val="en-US"/>
        </w:rPr>
        <w:t xml:space="preserve">(partial) failure of a crucial BoP component. </w:t>
      </w:r>
      <w:r w:rsidRPr="008B2319">
        <w:rPr>
          <w:lang w:val="en-US"/>
        </w:rPr>
        <w:t xml:space="preserve">The </w:t>
      </w:r>
      <w:r w:rsidR="00AA36A1" w:rsidRPr="008B2319">
        <w:rPr>
          <w:lang w:val="en-US"/>
        </w:rPr>
        <w:t>analyzed off-dosing conditions are</w:t>
      </w:r>
      <w:r w:rsidRPr="008B2319">
        <w:rPr>
          <w:lang w:val="en-US"/>
        </w:rPr>
        <w:t>:</w:t>
      </w:r>
    </w:p>
    <w:p w14:paraId="381B1456" w14:textId="1C017D37" w:rsidR="006E2828" w:rsidRPr="008B2319" w:rsidRDefault="006E2828" w:rsidP="008F74AA">
      <w:pPr>
        <w:pStyle w:val="ListParagraph"/>
        <w:numPr>
          <w:ilvl w:val="0"/>
          <w:numId w:val="33"/>
        </w:numPr>
        <w:rPr>
          <w:lang w:val="en-US"/>
        </w:rPr>
      </w:pPr>
      <w:r w:rsidRPr="008B2319">
        <w:rPr>
          <w:lang w:val="en-US"/>
        </w:rPr>
        <w:t xml:space="preserve">DIR - Direct Internal Reforming </w:t>
      </w:r>
      <w:r w:rsidR="002267BF" w:rsidRPr="008B2319">
        <w:rPr>
          <w:lang w:val="en-US"/>
        </w:rPr>
        <w:t>operation</w:t>
      </w:r>
      <w:r w:rsidR="008F74AA" w:rsidRPr="008B2319">
        <w:rPr>
          <w:lang w:val="en-US"/>
        </w:rPr>
        <w:t>. This condition can be caused by</w:t>
      </w:r>
      <w:r w:rsidR="00AA36A1" w:rsidRPr="008B2319">
        <w:rPr>
          <w:lang w:val="en-US"/>
        </w:rPr>
        <w:t xml:space="preserve"> a </w:t>
      </w:r>
      <w:r w:rsidR="008F74AA" w:rsidRPr="008B2319">
        <w:rPr>
          <w:lang w:val="en-US"/>
        </w:rPr>
        <w:t>reduction in the</w:t>
      </w:r>
      <w:r w:rsidR="00AA36A1" w:rsidRPr="008B2319">
        <w:rPr>
          <w:lang w:val="en-US"/>
        </w:rPr>
        <w:t xml:space="preserve"> catalytic activity of the reformer</w:t>
      </w:r>
      <w:r w:rsidR="008F74AA" w:rsidRPr="008B2319">
        <w:rPr>
          <w:lang w:val="en-US"/>
        </w:rPr>
        <w:t xml:space="preserve"> catalyst: in this scenario, the reformer is not able to convert 100% of methane, which is fed directly to the fuel cell. The same condition can also be </w:t>
      </w:r>
      <w:r w:rsidR="00AA36A1" w:rsidRPr="008B2319">
        <w:rPr>
          <w:lang w:val="en-US"/>
        </w:rPr>
        <w:t xml:space="preserve">a design choice </w:t>
      </w:r>
      <w:r w:rsidR="008F74AA" w:rsidRPr="008B2319">
        <w:rPr>
          <w:lang w:val="en-US"/>
        </w:rPr>
        <w:t xml:space="preserve">in order </w:t>
      </w:r>
      <w:r w:rsidR="00AA36A1" w:rsidRPr="008B2319">
        <w:rPr>
          <w:lang w:val="en-US"/>
        </w:rPr>
        <w:t xml:space="preserve">to reduce the size </w:t>
      </w:r>
      <w:r w:rsidR="008F74AA" w:rsidRPr="008B2319">
        <w:rPr>
          <w:lang w:val="en-US"/>
        </w:rPr>
        <w:t xml:space="preserve">and the heat requirement </w:t>
      </w:r>
      <w:r w:rsidR="00AA36A1" w:rsidRPr="008B2319">
        <w:rPr>
          <w:lang w:val="en-US"/>
        </w:rPr>
        <w:t xml:space="preserve">of the </w:t>
      </w:r>
      <w:r w:rsidR="00AA36A1" w:rsidRPr="008B2319">
        <w:rPr>
          <w:noProof/>
          <w:lang w:val="en-US"/>
        </w:rPr>
        <w:t>e</w:t>
      </w:r>
      <w:r w:rsidR="00735262" w:rsidRPr="008B2319">
        <w:rPr>
          <w:noProof/>
          <w:lang w:val="en-US"/>
        </w:rPr>
        <w:t>x</w:t>
      </w:r>
      <w:r w:rsidR="00AA36A1" w:rsidRPr="008B2319">
        <w:rPr>
          <w:noProof/>
          <w:lang w:val="en-US"/>
        </w:rPr>
        <w:t>ternal</w:t>
      </w:r>
      <w:r w:rsidR="00AA36A1" w:rsidRPr="008B2319">
        <w:rPr>
          <w:lang w:val="en-US"/>
        </w:rPr>
        <w:t xml:space="preserve"> reformer</w:t>
      </w:r>
      <w:r w:rsidRPr="008B2319">
        <w:rPr>
          <w:lang w:val="en-US"/>
        </w:rPr>
        <w:t>;</w:t>
      </w:r>
    </w:p>
    <w:p w14:paraId="01E7FADE" w14:textId="2BC206C3" w:rsidR="006E2828" w:rsidRPr="008B2319" w:rsidRDefault="008F74AA" w:rsidP="00D015D3">
      <w:pPr>
        <w:pStyle w:val="ListParagraph"/>
        <w:numPr>
          <w:ilvl w:val="0"/>
          <w:numId w:val="33"/>
        </w:numPr>
        <w:rPr>
          <w:lang w:val="en-US"/>
        </w:rPr>
      </w:pPr>
      <w:r w:rsidRPr="008B2319">
        <w:rPr>
          <w:lang w:val="en-US"/>
        </w:rPr>
        <w:lastRenderedPageBreak/>
        <w:t>Unexpected</w:t>
      </w:r>
      <w:r w:rsidR="006E2828" w:rsidRPr="008B2319">
        <w:rPr>
          <w:lang w:val="en-US"/>
        </w:rPr>
        <w:t xml:space="preserve"> </w:t>
      </w:r>
      <w:r w:rsidRPr="008B2319">
        <w:rPr>
          <w:lang w:val="en-US"/>
        </w:rPr>
        <w:t>variations of</w:t>
      </w:r>
      <w:r w:rsidR="006E2828" w:rsidRPr="008B2319">
        <w:rPr>
          <w:lang w:val="en-US"/>
        </w:rPr>
        <w:t xml:space="preserve"> the electrical load</w:t>
      </w:r>
      <w:r w:rsidRPr="008B2319">
        <w:rPr>
          <w:lang w:val="en-US"/>
        </w:rPr>
        <w:t>. This condition is</w:t>
      </w:r>
      <w:r w:rsidR="00AA36A1" w:rsidRPr="008B2319">
        <w:rPr>
          <w:lang w:val="en-US"/>
        </w:rPr>
        <w:t xml:space="preserve"> expected </w:t>
      </w:r>
      <w:r w:rsidRPr="008B2319">
        <w:rPr>
          <w:lang w:val="en-US"/>
        </w:rPr>
        <w:t>especially during</w:t>
      </w:r>
      <w:r w:rsidR="00AA36A1" w:rsidRPr="008B2319">
        <w:rPr>
          <w:lang w:val="en-US"/>
        </w:rPr>
        <w:t xml:space="preserve"> l</w:t>
      </w:r>
      <w:r w:rsidRPr="008B2319">
        <w:rPr>
          <w:lang w:val="en-US"/>
        </w:rPr>
        <w:t xml:space="preserve">oad flowing operation; the related risk </w:t>
      </w:r>
      <w:r w:rsidR="00AA36A1" w:rsidRPr="008B2319">
        <w:rPr>
          <w:lang w:val="en-US"/>
        </w:rPr>
        <w:t xml:space="preserve">is to generate </w:t>
      </w:r>
      <w:r w:rsidRPr="008B2319">
        <w:rPr>
          <w:lang w:val="en-US"/>
        </w:rPr>
        <w:t xml:space="preserve">stack overheating and </w:t>
      </w:r>
      <w:r w:rsidR="002267BF" w:rsidRPr="008B2319">
        <w:rPr>
          <w:lang w:val="en-US"/>
        </w:rPr>
        <w:t xml:space="preserve">thermal </w:t>
      </w:r>
      <w:r w:rsidR="00AA36A1" w:rsidRPr="008B2319">
        <w:rPr>
          <w:lang w:val="en-US"/>
        </w:rPr>
        <w:t xml:space="preserve">stresses </w:t>
      </w:r>
      <w:r w:rsidR="002267BF" w:rsidRPr="008B2319">
        <w:rPr>
          <w:lang w:val="en-US"/>
        </w:rPr>
        <w:t xml:space="preserve">on the </w:t>
      </w:r>
      <w:r w:rsidRPr="008B2319">
        <w:rPr>
          <w:lang w:val="en-US"/>
        </w:rPr>
        <w:t>cells.</w:t>
      </w:r>
    </w:p>
    <w:p w14:paraId="3B8FBF09" w14:textId="77777777" w:rsidR="006E2828" w:rsidRPr="008B2319" w:rsidRDefault="006E2828" w:rsidP="00D015D3">
      <w:pPr>
        <w:pStyle w:val="ListParagraph"/>
        <w:numPr>
          <w:ilvl w:val="0"/>
          <w:numId w:val="33"/>
        </w:numPr>
        <w:rPr>
          <w:lang w:val="en-US"/>
        </w:rPr>
      </w:pPr>
      <w:r w:rsidRPr="008B2319">
        <w:rPr>
          <w:lang w:val="en-US"/>
        </w:rPr>
        <w:t>Instability or incorr</w:t>
      </w:r>
      <w:r w:rsidR="00AA36A1" w:rsidRPr="008B2319">
        <w:rPr>
          <w:lang w:val="en-US"/>
        </w:rPr>
        <w:t>ect operation of the air blower.</w:t>
      </w:r>
    </w:p>
    <w:p w14:paraId="14A09271" w14:textId="77777777" w:rsidR="006E2828" w:rsidRPr="008B2319" w:rsidRDefault="006E2828" w:rsidP="00397BE5">
      <w:pPr>
        <w:pStyle w:val="Heading2"/>
      </w:pPr>
      <w:bookmarkStart w:id="19" w:name="_Toc444608486"/>
      <w:r w:rsidRPr="008B2319">
        <w:t>DIR- Direct Internal Reforming</w:t>
      </w:r>
      <w:bookmarkEnd w:id="19"/>
    </w:p>
    <w:p w14:paraId="6F1EBF2E" w14:textId="4889DAC3" w:rsidR="002267BF" w:rsidRPr="008B2319" w:rsidRDefault="006E2828" w:rsidP="002267BF">
      <w:pPr>
        <w:rPr>
          <w:lang w:val="en-US"/>
        </w:rPr>
      </w:pPr>
      <w:r w:rsidRPr="008B2319">
        <w:rPr>
          <w:noProof/>
          <w:lang w:val="en-US" w:eastAsia="en-GB"/>
        </w:rPr>
        <w:t xml:space="preserve">The purpose of this simulation is to understand the behavior of the stack resulting from the </w:t>
      </w:r>
      <w:r w:rsidR="002267BF" w:rsidRPr="008B2319">
        <w:rPr>
          <w:noProof/>
          <w:lang w:val="en-US" w:eastAsia="en-GB"/>
        </w:rPr>
        <w:t xml:space="preserve">DIR - Direct Internal Reforming operation. </w:t>
      </w:r>
      <w:r w:rsidR="00F86708" w:rsidRPr="008B2319">
        <w:rPr>
          <w:lang w:val="en-US"/>
        </w:rPr>
        <w:t xml:space="preserve">DIR operation </w:t>
      </w:r>
      <w:r w:rsidR="00663210" w:rsidRPr="008B2319">
        <w:rPr>
          <w:lang w:val="en-US"/>
        </w:rPr>
        <w:t>is</w:t>
      </w:r>
      <w:r w:rsidR="00C5434A" w:rsidRPr="008B2319">
        <w:rPr>
          <w:lang w:val="en-US"/>
        </w:rPr>
        <w:t xml:space="preserve"> obtained </w:t>
      </w:r>
      <w:r w:rsidR="00F86708" w:rsidRPr="008B2319">
        <w:rPr>
          <w:lang w:val="en-US"/>
        </w:rPr>
        <w:t>by feeding part of the</w:t>
      </w:r>
      <w:r w:rsidR="002267BF" w:rsidRPr="008B2319">
        <w:rPr>
          <w:lang w:val="en-US"/>
        </w:rPr>
        <w:t xml:space="preserve"> biogas </w:t>
      </w:r>
      <w:r w:rsidR="00F86708" w:rsidRPr="008B2319">
        <w:rPr>
          <w:lang w:val="en-US"/>
        </w:rPr>
        <w:t>directly to</w:t>
      </w:r>
      <w:r w:rsidR="002267BF" w:rsidRPr="008B2319">
        <w:rPr>
          <w:lang w:val="en-US"/>
        </w:rPr>
        <w:t xml:space="preserve"> the stack anode </w:t>
      </w:r>
      <w:r w:rsidR="00663210" w:rsidRPr="008B2319">
        <w:rPr>
          <w:lang w:val="en-US"/>
        </w:rPr>
        <w:t xml:space="preserve">without any reformation: in the model, this is obtained through the introduction of </w:t>
      </w:r>
      <w:r w:rsidR="00F86708" w:rsidRPr="008B2319">
        <w:rPr>
          <w:lang w:val="en-US"/>
        </w:rPr>
        <w:t>a by</w:t>
      </w:r>
      <w:r w:rsidR="00663210" w:rsidRPr="008B2319">
        <w:rPr>
          <w:lang w:val="en-US"/>
        </w:rPr>
        <w:t>-</w:t>
      </w:r>
      <w:r w:rsidR="00F86708" w:rsidRPr="008B2319">
        <w:rPr>
          <w:lang w:val="en-US"/>
        </w:rPr>
        <w:t xml:space="preserve">pass </w:t>
      </w:r>
      <w:r w:rsidR="00663210" w:rsidRPr="008B2319">
        <w:rPr>
          <w:lang w:val="en-US"/>
        </w:rPr>
        <w:t xml:space="preserve">line to </w:t>
      </w:r>
      <w:r w:rsidR="00F86708" w:rsidRPr="008B2319">
        <w:rPr>
          <w:lang w:val="en-US"/>
        </w:rPr>
        <w:t>let some biogas</w:t>
      </w:r>
      <w:r w:rsidR="00663210" w:rsidRPr="008B2319">
        <w:rPr>
          <w:lang w:val="en-US"/>
        </w:rPr>
        <w:t xml:space="preserve"> entering </w:t>
      </w:r>
      <w:r w:rsidR="00832878" w:rsidRPr="008B2319">
        <w:rPr>
          <w:noProof/>
          <w:lang w:val="en-US"/>
        </w:rPr>
        <w:t>the stack directly</w:t>
      </w:r>
      <w:r w:rsidR="00663210" w:rsidRPr="008B2319">
        <w:rPr>
          <w:lang w:val="en-US"/>
        </w:rPr>
        <w:t xml:space="preserve"> without passing into the reformer (see Figure 10). I</w:t>
      </w:r>
      <w:r w:rsidR="00F86708" w:rsidRPr="008B2319">
        <w:rPr>
          <w:lang w:val="en-US"/>
        </w:rPr>
        <w:t xml:space="preserve">t is worth noting that a reformer with a partially deactivated catalyst would result in a similar operating condition, i.e., with a higher fraction of </w:t>
      </w:r>
      <w:r w:rsidR="00724540" w:rsidRPr="008B2319">
        <w:rPr>
          <w:lang w:val="en-US"/>
        </w:rPr>
        <w:t>unco</w:t>
      </w:r>
      <w:r w:rsidR="00663210" w:rsidRPr="008B2319">
        <w:rPr>
          <w:lang w:val="en-US"/>
        </w:rPr>
        <w:t>n</w:t>
      </w:r>
      <w:r w:rsidR="00724540" w:rsidRPr="008B2319">
        <w:rPr>
          <w:lang w:val="en-US"/>
        </w:rPr>
        <w:t>ver</w:t>
      </w:r>
      <w:r w:rsidR="00663210" w:rsidRPr="008B2319">
        <w:rPr>
          <w:lang w:val="en-US"/>
        </w:rPr>
        <w:t>t</w:t>
      </w:r>
      <w:r w:rsidR="00724540" w:rsidRPr="008B2319">
        <w:rPr>
          <w:lang w:val="en-US"/>
        </w:rPr>
        <w:t>ed</w:t>
      </w:r>
      <w:r w:rsidR="00F86708" w:rsidRPr="008B2319">
        <w:rPr>
          <w:lang w:val="en-US"/>
        </w:rPr>
        <w:t xml:space="preserve"> CH</w:t>
      </w:r>
      <w:r w:rsidR="00F86708" w:rsidRPr="008B2319">
        <w:rPr>
          <w:vertAlign w:val="subscript"/>
          <w:lang w:val="en-US"/>
        </w:rPr>
        <w:t>4</w:t>
      </w:r>
      <w:r w:rsidR="00663210" w:rsidRPr="008B2319">
        <w:rPr>
          <w:lang w:val="en-US"/>
        </w:rPr>
        <w:t xml:space="preserve"> (biogas) fed</w:t>
      </w:r>
      <w:r w:rsidR="00F86708" w:rsidRPr="008B2319">
        <w:rPr>
          <w:lang w:val="en-US"/>
        </w:rPr>
        <w:t xml:space="preserve"> directly </w:t>
      </w:r>
      <w:r w:rsidR="00663210" w:rsidRPr="008B2319">
        <w:rPr>
          <w:lang w:val="en-US"/>
        </w:rPr>
        <w:t xml:space="preserve">to </w:t>
      </w:r>
      <w:r w:rsidR="00F86708" w:rsidRPr="008B2319">
        <w:rPr>
          <w:lang w:val="en-US"/>
        </w:rPr>
        <w:t>the SOFC</w:t>
      </w:r>
      <w:r w:rsidR="002267BF" w:rsidRPr="008B2319">
        <w:rPr>
          <w:lang w:val="en-US"/>
        </w:rPr>
        <w:t xml:space="preserve">. </w:t>
      </w:r>
    </w:p>
    <w:p w14:paraId="09994884" w14:textId="77777777" w:rsidR="00B53F43" w:rsidRPr="008B2319" w:rsidRDefault="00B53F43" w:rsidP="00B53F43">
      <w:pPr>
        <w:keepNext/>
        <w:jc w:val="center"/>
      </w:pPr>
      <w:r w:rsidRPr="008B2319">
        <w:rPr>
          <w:noProof/>
          <w:lang w:val="it-IT" w:eastAsia="it-IT"/>
        </w:rPr>
        <w:drawing>
          <wp:inline distT="0" distB="0" distL="0" distR="0" wp14:anchorId="5E1D7EB3" wp14:editId="2C92817B">
            <wp:extent cx="4694555" cy="72724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94555" cy="727240"/>
                    </a:xfrm>
                    <a:prstGeom prst="rect">
                      <a:avLst/>
                    </a:prstGeom>
                    <a:noFill/>
                  </pic:spPr>
                </pic:pic>
              </a:graphicData>
            </a:graphic>
          </wp:inline>
        </w:drawing>
      </w:r>
    </w:p>
    <w:p w14:paraId="587FACB8" w14:textId="77777777" w:rsidR="00B53F43" w:rsidRPr="008B2319" w:rsidRDefault="00B53F43" w:rsidP="00B53F43">
      <w:pPr>
        <w:pStyle w:val="Caption"/>
        <w:rPr>
          <w:noProof/>
          <w:lang w:val="en-US" w:eastAsia="it-IT"/>
        </w:rPr>
      </w:pPr>
      <w:r w:rsidRPr="008B2319">
        <w:t xml:space="preserve">Figure </w:t>
      </w:r>
      <w:r w:rsidR="00825D4F" w:rsidRPr="008B2319">
        <w:fldChar w:fldCharType="begin"/>
      </w:r>
      <w:r w:rsidR="00825D4F" w:rsidRPr="008B2319">
        <w:instrText xml:space="preserve"> SEQ Figure \* ARABIC </w:instrText>
      </w:r>
      <w:r w:rsidR="00825D4F" w:rsidRPr="008B2319">
        <w:fldChar w:fldCharType="separate"/>
      </w:r>
      <w:r w:rsidR="00AC560C" w:rsidRPr="008B2319">
        <w:rPr>
          <w:noProof/>
        </w:rPr>
        <w:t>10</w:t>
      </w:r>
      <w:r w:rsidR="00825D4F" w:rsidRPr="008B2319">
        <w:rPr>
          <w:noProof/>
        </w:rPr>
        <w:fldChar w:fldCharType="end"/>
      </w:r>
      <w:r w:rsidRPr="008B2319">
        <w:t xml:space="preserve">. </w:t>
      </w:r>
      <w:r w:rsidR="009043B9" w:rsidRPr="008B2319">
        <w:t xml:space="preserve">Direct internal reforming: </w:t>
      </w:r>
      <w:r w:rsidRPr="008B2319">
        <w:t>by-pass layout.</w:t>
      </w:r>
    </w:p>
    <w:p w14:paraId="3511F499" w14:textId="77777777" w:rsidR="006E2828" w:rsidRPr="008B2319" w:rsidRDefault="00F86708" w:rsidP="00724540">
      <w:pPr>
        <w:rPr>
          <w:lang w:val="en-US"/>
        </w:rPr>
      </w:pPr>
      <w:r w:rsidRPr="008B2319">
        <w:rPr>
          <w:lang w:val="en-US"/>
        </w:rPr>
        <w:t xml:space="preserve">By </w:t>
      </w:r>
      <w:r w:rsidR="006E2828" w:rsidRPr="008B2319">
        <w:rPr>
          <w:lang w:val="en-US"/>
        </w:rPr>
        <w:t xml:space="preserve">directly </w:t>
      </w:r>
      <w:r w:rsidR="00724540" w:rsidRPr="008B2319">
        <w:rPr>
          <w:lang w:val="en-US"/>
        </w:rPr>
        <w:t xml:space="preserve">feeding methane to the fuel cell, </w:t>
      </w:r>
      <w:r w:rsidRPr="008B2319">
        <w:rPr>
          <w:lang w:val="en-US"/>
        </w:rPr>
        <w:t>a</w:t>
      </w:r>
      <w:r w:rsidR="00724540" w:rsidRPr="008B2319">
        <w:rPr>
          <w:lang w:val="en-US"/>
        </w:rPr>
        <w:t xml:space="preserve"> thermal sink is brought inside the stack due to the </w:t>
      </w:r>
      <w:r w:rsidR="00CC41A7" w:rsidRPr="008B2319">
        <w:rPr>
          <w:lang w:val="en-US"/>
        </w:rPr>
        <w:t>internal reforming</w:t>
      </w:r>
      <w:r w:rsidR="00724540" w:rsidRPr="008B2319">
        <w:rPr>
          <w:lang w:val="en-US"/>
        </w:rPr>
        <w:t xml:space="preserve"> reactions now taking place on the Ni-</w:t>
      </w:r>
      <w:r w:rsidR="00C5434A" w:rsidRPr="008B2319">
        <w:rPr>
          <w:lang w:val="en-US"/>
        </w:rPr>
        <w:t xml:space="preserve">based </w:t>
      </w:r>
      <w:r w:rsidR="00724540" w:rsidRPr="008B2319">
        <w:rPr>
          <w:lang w:val="en-US"/>
        </w:rPr>
        <w:t xml:space="preserve">anode electrodes. </w:t>
      </w:r>
    </w:p>
    <w:p w14:paraId="0CE15EB0" w14:textId="77777777" w:rsidR="006E2828" w:rsidRPr="008B2319" w:rsidRDefault="006E2828" w:rsidP="006E2828">
      <w:pPr>
        <w:rPr>
          <w:lang w:val="en-US"/>
        </w:rPr>
      </w:pPr>
      <w:r w:rsidRPr="008B2319">
        <w:rPr>
          <w:lang w:val="en-US"/>
        </w:rPr>
        <w:t xml:space="preserve">At the stack temperature </w:t>
      </w:r>
      <w:r w:rsidR="008863FE" w:rsidRPr="008B2319">
        <w:rPr>
          <w:lang w:val="en-US"/>
        </w:rPr>
        <w:t xml:space="preserve">of around </w:t>
      </w:r>
      <w:r w:rsidR="00724540" w:rsidRPr="008B2319">
        <w:rPr>
          <w:lang w:val="en-US"/>
        </w:rPr>
        <w:t>830-</w:t>
      </w:r>
      <w:r w:rsidR="008863FE" w:rsidRPr="008B2319">
        <w:rPr>
          <w:lang w:val="en-US"/>
        </w:rPr>
        <w:t>850°C</w:t>
      </w:r>
      <w:r w:rsidRPr="008B2319">
        <w:rPr>
          <w:lang w:val="en-US"/>
        </w:rPr>
        <w:t>, the reforming o</w:t>
      </w:r>
      <w:r w:rsidR="00724540" w:rsidRPr="008B2319">
        <w:rPr>
          <w:lang w:val="en-US"/>
        </w:rPr>
        <w:t>f methane is fast</w:t>
      </w:r>
      <w:r w:rsidRPr="008B2319">
        <w:rPr>
          <w:lang w:val="en-US"/>
        </w:rPr>
        <w:t xml:space="preserve"> directly </w:t>
      </w:r>
      <w:r w:rsidR="00724540" w:rsidRPr="008B2319">
        <w:rPr>
          <w:lang w:val="en-US"/>
        </w:rPr>
        <w:t>on</w:t>
      </w:r>
      <w:r w:rsidRPr="008B2319">
        <w:rPr>
          <w:lang w:val="en-US"/>
        </w:rPr>
        <w:t xml:space="preserve"> the anode </w:t>
      </w:r>
      <w:r w:rsidR="00724540" w:rsidRPr="008B2319">
        <w:rPr>
          <w:lang w:val="en-US"/>
        </w:rPr>
        <w:t>electrode;</w:t>
      </w:r>
      <w:r w:rsidRPr="008B2319">
        <w:rPr>
          <w:lang w:val="en-US"/>
        </w:rPr>
        <w:t xml:space="preserve"> </w:t>
      </w:r>
      <w:r w:rsidR="008863FE" w:rsidRPr="008B2319">
        <w:rPr>
          <w:lang w:val="en-US"/>
        </w:rPr>
        <w:t>due</w:t>
      </w:r>
      <w:r w:rsidR="002267BF" w:rsidRPr="008B2319">
        <w:rPr>
          <w:lang w:val="en-US"/>
        </w:rPr>
        <w:t xml:space="preserve"> to the </w:t>
      </w:r>
      <w:r w:rsidRPr="008B2319">
        <w:rPr>
          <w:lang w:val="en-US"/>
        </w:rPr>
        <w:t xml:space="preserve">highly endothermic </w:t>
      </w:r>
      <w:r w:rsidR="002267BF" w:rsidRPr="008B2319">
        <w:rPr>
          <w:lang w:val="en-US"/>
        </w:rPr>
        <w:t xml:space="preserve">DIR </w:t>
      </w:r>
      <w:r w:rsidRPr="008B2319">
        <w:rPr>
          <w:lang w:val="en-US"/>
        </w:rPr>
        <w:t xml:space="preserve">reaction, </w:t>
      </w:r>
      <w:r w:rsidR="00724540" w:rsidRPr="008B2319">
        <w:rPr>
          <w:lang w:val="en-US"/>
        </w:rPr>
        <w:t>part of the</w:t>
      </w:r>
      <w:r w:rsidRPr="008B2319">
        <w:rPr>
          <w:lang w:val="en-US"/>
        </w:rPr>
        <w:t xml:space="preserve"> heat generated by the </w:t>
      </w:r>
      <w:r w:rsidR="00724540" w:rsidRPr="008B2319">
        <w:rPr>
          <w:lang w:val="en-US"/>
        </w:rPr>
        <w:t xml:space="preserve">electrochemical oxidation </w:t>
      </w:r>
      <w:r w:rsidRPr="008B2319">
        <w:rPr>
          <w:lang w:val="en-US"/>
        </w:rPr>
        <w:t>of hydrogen</w:t>
      </w:r>
      <w:r w:rsidR="00724540" w:rsidRPr="008B2319">
        <w:rPr>
          <w:lang w:val="en-US"/>
        </w:rPr>
        <w:t xml:space="preserve"> (and polarization losses)</w:t>
      </w:r>
      <w:r w:rsidRPr="008B2319">
        <w:rPr>
          <w:lang w:val="en-US"/>
        </w:rPr>
        <w:t xml:space="preserve"> is internally </w:t>
      </w:r>
      <w:r w:rsidR="00724540" w:rsidRPr="008B2319">
        <w:rPr>
          <w:lang w:val="en-US"/>
        </w:rPr>
        <w:t>recycled to sustain reforming reactions</w:t>
      </w:r>
      <w:r w:rsidRPr="008B2319">
        <w:rPr>
          <w:lang w:val="en-US"/>
        </w:rPr>
        <w:t>,</w:t>
      </w:r>
      <w:r w:rsidR="00724540" w:rsidRPr="008B2319">
        <w:rPr>
          <w:lang w:val="en-US"/>
        </w:rPr>
        <w:t xml:space="preserve"> thus</w:t>
      </w:r>
      <w:r w:rsidRPr="008B2319">
        <w:rPr>
          <w:lang w:val="en-US"/>
        </w:rPr>
        <w:t xml:space="preserve"> reducing the </w:t>
      </w:r>
      <w:r w:rsidR="00724540" w:rsidRPr="008B2319">
        <w:rPr>
          <w:lang w:val="en-US"/>
        </w:rPr>
        <w:t>need for external cooling air (and thus reducing the</w:t>
      </w:r>
      <w:r w:rsidR="002267BF" w:rsidRPr="008B2319">
        <w:rPr>
          <w:lang w:val="en-US"/>
        </w:rPr>
        <w:t xml:space="preserve"> air</w:t>
      </w:r>
      <w:r w:rsidRPr="008B2319">
        <w:rPr>
          <w:lang w:val="en-US"/>
        </w:rPr>
        <w:t xml:space="preserve"> blower consumption).</w:t>
      </w:r>
      <w:r w:rsidR="00C5434A" w:rsidRPr="008B2319">
        <w:rPr>
          <w:lang w:val="en-US"/>
        </w:rPr>
        <w:t xml:space="preserve"> This has an effect on the regulation of the cathode air flow in order to assure the correct thermal balance inside the SOFC modules.</w:t>
      </w:r>
    </w:p>
    <w:p w14:paraId="3CFA35E4" w14:textId="77777777" w:rsidR="00997AC3" w:rsidRPr="008B2319" w:rsidRDefault="00997AC3" w:rsidP="00997AC3">
      <w:pPr>
        <w:rPr>
          <w:lang w:val="en-US"/>
        </w:rPr>
      </w:pPr>
      <w:r w:rsidRPr="008B2319">
        <w:rPr>
          <w:lang w:val="en-US"/>
        </w:rPr>
        <w:t xml:space="preserve">Three by-pass </w:t>
      </w:r>
      <w:r w:rsidR="00724540" w:rsidRPr="008B2319">
        <w:rPr>
          <w:lang w:val="en-US"/>
        </w:rPr>
        <w:t>ratios</w:t>
      </w:r>
      <w:r w:rsidRPr="008B2319">
        <w:rPr>
          <w:lang w:val="en-US"/>
        </w:rPr>
        <w:t xml:space="preserve"> of the reforming section (and thus DIR%) have been evaluated, starting from the zero by-pass</w:t>
      </w:r>
      <w:r w:rsidR="00724540" w:rsidRPr="008B2319">
        <w:rPr>
          <w:lang w:val="en-US"/>
        </w:rPr>
        <w:t xml:space="preserve"> condition</w:t>
      </w:r>
      <w:r w:rsidRPr="008B2319">
        <w:rPr>
          <w:lang w:val="en-US"/>
        </w:rPr>
        <w:t xml:space="preserve"> (0%) up to 60%</w:t>
      </w:r>
      <w:r w:rsidR="00724540" w:rsidRPr="008B2319">
        <w:rPr>
          <w:lang w:val="en-US"/>
        </w:rPr>
        <w:t xml:space="preserve"> of DIR</w:t>
      </w:r>
      <w:r w:rsidRPr="008B2319">
        <w:rPr>
          <w:lang w:val="en-US"/>
        </w:rPr>
        <w:t xml:space="preserve"> (above this percentage, the DIR is not practical </w:t>
      </w:r>
      <w:r w:rsidR="00735262" w:rsidRPr="008B2319">
        <w:rPr>
          <w:noProof/>
          <w:lang w:val="en-US"/>
        </w:rPr>
        <w:t>under</w:t>
      </w:r>
      <w:r w:rsidRPr="008B2319">
        <w:rPr>
          <w:lang w:val="en-US"/>
        </w:rPr>
        <w:t xml:space="preserve"> </w:t>
      </w:r>
      <w:r w:rsidR="00724540" w:rsidRPr="008B2319">
        <w:rPr>
          <w:lang w:val="en-US"/>
        </w:rPr>
        <w:t xml:space="preserve">the </w:t>
      </w:r>
      <w:r w:rsidRPr="008B2319">
        <w:rPr>
          <w:lang w:val="en-US"/>
        </w:rPr>
        <w:t>present</w:t>
      </w:r>
      <w:r w:rsidR="00724540" w:rsidRPr="008B2319">
        <w:rPr>
          <w:lang w:val="en-US"/>
        </w:rPr>
        <w:t xml:space="preserve"> </w:t>
      </w:r>
      <w:r w:rsidR="00C5434A" w:rsidRPr="008B2319">
        <w:rPr>
          <w:lang w:val="en-US"/>
        </w:rPr>
        <w:t xml:space="preserve">conditions, </w:t>
      </w:r>
      <w:r w:rsidR="00724540" w:rsidRPr="008B2319">
        <w:rPr>
          <w:lang w:val="en-US"/>
        </w:rPr>
        <w:t>due to a sub-cooling of the anode stream at the stack inlet</w:t>
      </w:r>
      <w:r w:rsidRPr="008B2319">
        <w:rPr>
          <w:lang w:val="en-US"/>
        </w:rPr>
        <w:t>)</w:t>
      </w:r>
      <w:r w:rsidR="00724540" w:rsidRPr="008B2319">
        <w:rPr>
          <w:lang w:val="en-US"/>
        </w:rPr>
        <w:t xml:space="preserve">. In stationary working conditions, the operating temperature is stabilized at around 850°C, varying the cathode air flow rate, while the FU is kept constant at </w:t>
      </w:r>
      <w:r w:rsidRPr="008B2319">
        <w:rPr>
          <w:lang w:val="en-US"/>
        </w:rPr>
        <w:t>75%.</w:t>
      </w:r>
    </w:p>
    <w:p w14:paraId="65F24F42" w14:textId="77777777" w:rsidR="00997AC3" w:rsidRPr="008B2319" w:rsidRDefault="00997AC3" w:rsidP="00997AC3">
      <w:pPr>
        <w:rPr>
          <w:lang w:val="en-US"/>
        </w:rPr>
      </w:pPr>
      <w:r w:rsidRPr="008B2319">
        <w:rPr>
          <w:lang w:val="en-US"/>
        </w:rPr>
        <w:fldChar w:fldCharType="begin"/>
      </w:r>
      <w:r w:rsidRPr="008B2319">
        <w:rPr>
          <w:lang w:val="en-US"/>
        </w:rPr>
        <w:instrText xml:space="preserve"> REF _Ref448244678 \h </w:instrText>
      </w:r>
      <w:r w:rsidRPr="008B2319">
        <w:rPr>
          <w:lang w:val="en-US"/>
        </w:rPr>
      </w:r>
      <w:r w:rsidRPr="008B2319">
        <w:rPr>
          <w:lang w:val="en-US"/>
        </w:rPr>
        <w:fldChar w:fldCharType="separate"/>
      </w:r>
      <w:r w:rsidR="00AC560C" w:rsidRPr="008B2319">
        <w:rPr>
          <w:lang w:val="en-US"/>
        </w:rPr>
        <w:t xml:space="preserve">Figure </w:t>
      </w:r>
      <w:r w:rsidR="00AC560C" w:rsidRPr="008B2319">
        <w:rPr>
          <w:noProof/>
          <w:lang w:val="en-US"/>
        </w:rPr>
        <w:t>11</w:t>
      </w:r>
      <w:r w:rsidRPr="008B2319">
        <w:rPr>
          <w:lang w:val="en-US"/>
        </w:rPr>
        <w:fldChar w:fldCharType="end"/>
      </w:r>
      <w:r w:rsidRPr="008B2319">
        <w:rPr>
          <w:lang w:val="en-US"/>
        </w:rPr>
        <w:t xml:space="preserve"> shows the obtained simulation results, confirming the trend discussed above. The air blower PID controller, thanks to the progressive cooling of the stack due to an increasing DIR, progressively reduces the flow rate to maintain the working temperature. It is evident that the transition from a 0% by-pass to a by-pass of 60% will cause about 25 Nl/min less air.</w:t>
      </w:r>
    </w:p>
    <w:p w14:paraId="1BD7723E" w14:textId="77777777" w:rsidR="00E37885" w:rsidRPr="008B2319" w:rsidRDefault="00CC41A7" w:rsidP="00726090">
      <w:pPr>
        <w:spacing w:before="0" w:after="0"/>
        <w:jc w:val="center"/>
        <w:rPr>
          <w:rStyle w:val="CommentReference"/>
          <w:lang w:val="it-IT"/>
        </w:rPr>
      </w:pPr>
      <w:r w:rsidRPr="008B2319">
        <w:rPr>
          <w:noProof/>
          <w:lang w:val="it-IT" w:eastAsia="it-IT"/>
        </w:rPr>
        <w:lastRenderedPageBreak/>
        <w:drawing>
          <wp:inline distT="0" distB="0" distL="0" distR="0" wp14:anchorId="0C37A11E" wp14:editId="5E130D8D">
            <wp:extent cx="5038187" cy="5508242"/>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038187" cy="5508242"/>
                    </a:xfrm>
                    <a:prstGeom prst="rect">
                      <a:avLst/>
                    </a:prstGeom>
                    <a:ln>
                      <a:noFill/>
                    </a:ln>
                    <a:extLst>
                      <a:ext uri="{53640926-AAD7-44D8-BBD7-CCE9431645EC}">
                        <a14:shadowObscured xmlns:a14="http://schemas.microsoft.com/office/drawing/2010/main"/>
                      </a:ext>
                    </a:extLst>
                  </pic:spPr>
                </pic:pic>
              </a:graphicData>
            </a:graphic>
          </wp:inline>
        </w:drawing>
      </w:r>
    </w:p>
    <w:p w14:paraId="33467124" w14:textId="77777777" w:rsidR="00AE0197" w:rsidRPr="008B2319" w:rsidRDefault="00AE0197" w:rsidP="00AE0197">
      <w:pPr>
        <w:spacing w:before="0" w:after="0"/>
        <w:jc w:val="center"/>
        <w:rPr>
          <w:rStyle w:val="CommentReference"/>
          <w:lang w:val="it-IT"/>
        </w:rPr>
      </w:pPr>
    </w:p>
    <w:p w14:paraId="306F49E5" w14:textId="77777777" w:rsidR="00B53F43" w:rsidRPr="008B2319" w:rsidRDefault="00B53F43" w:rsidP="00B53F43">
      <w:pPr>
        <w:pStyle w:val="Caption"/>
        <w:rPr>
          <w:lang w:val="en-US"/>
        </w:rPr>
      </w:pPr>
      <w:bookmarkStart w:id="20" w:name="_Ref448244678"/>
      <w:r w:rsidRPr="008B2319">
        <w:rPr>
          <w:lang w:val="en-US"/>
        </w:rPr>
        <w:t xml:space="preserve">Figure </w:t>
      </w:r>
      <w:r w:rsidR="006B6EBE" w:rsidRPr="008B2319">
        <w:fldChar w:fldCharType="begin"/>
      </w:r>
      <w:r w:rsidR="006B6EBE" w:rsidRPr="008B2319">
        <w:rPr>
          <w:lang w:val="en-US"/>
        </w:rPr>
        <w:instrText xml:space="preserve"> SEQ Figure \* ARABIC </w:instrText>
      </w:r>
      <w:r w:rsidR="006B6EBE" w:rsidRPr="008B2319">
        <w:fldChar w:fldCharType="separate"/>
      </w:r>
      <w:r w:rsidR="00AC560C" w:rsidRPr="008B2319">
        <w:rPr>
          <w:noProof/>
          <w:lang w:val="en-US"/>
        </w:rPr>
        <w:t>11</w:t>
      </w:r>
      <w:r w:rsidR="006B6EBE" w:rsidRPr="008B2319">
        <w:rPr>
          <w:noProof/>
        </w:rPr>
        <w:fldChar w:fldCharType="end"/>
      </w:r>
      <w:bookmarkEnd w:id="20"/>
      <w:r w:rsidRPr="008B2319">
        <w:rPr>
          <w:lang w:val="en-US"/>
        </w:rPr>
        <w:t>. DIR simulation with CH4/CO2 (60/40%) - I=24 A @FU=75%</w:t>
      </w:r>
      <w:r w:rsidR="009043B9" w:rsidRPr="008B2319">
        <w:rPr>
          <w:lang w:val="en-US"/>
        </w:rPr>
        <w:t xml:space="preserve"> </w:t>
      </w:r>
    </w:p>
    <w:p w14:paraId="3872AB89" w14:textId="77777777" w:rsidR="006E2828" w:rsidRPr="008B2319" w:rsidRDefault="006E2828" w:rsidP="006E2828">
      <w:pPr>
        <w:rPr>
          <w:lang w:val="en-US"/>
        </w:rPr>
      </w:pPr>
      <w:r w:rsidRPr="008B2319">
        <w:rPr>
          <w:lang w:val="en-US"/>
        </w:rPr>
        <w:t xml:space="preserve">The cathodic airflow reduction for cooling is important in industrial applications: in SOFC plants, the electric power required for the air cooling (proportional to the airflow rate) is </w:t>
      </w:r>
      <w:r w:rsidR="002267BF" w:rsidRPr="008B2319">
        <w:rPr>
          <w:lang w:val="en-US"/>
        </w:rPr>
        <w:t xml:space="preserve">one of </w:t>
      </w:r>
      <w:r w:rsidRPr="008B2319">
        <w:rPr>
          <w:lang w:val="en-US"/>
        </w:rPr>
        <w:t xml:space="preserve">the most energy intensive </w:t>
      </w:r>
      <w:r w:rsidR="002267BF" w:rsidRPr="008B2319">
        <w:rPr>
          <w:lang w:val="en-US"/>
        </w:rPr>
        <w:t>auxiliaries</w:t>
      </w:r>
      <w:r w:rsidRPr="008B2319">
        <w:rPr>
          <w:lang w:val="en-US"/>
        </w:rPr>
        <w:t xml:space="preserve">. It means that a proper management of </w:t>
      </w:r>
      <w:r w:rsidR="002267BF" w:rsidRPr="008B2319">
        <w:rPr>
          <w:lang w:val="en-US"/>
        </w:rPr>
        <w:t xml:space="preserve">this </w:t>
      </w:r>
      <w:r w:rsidRPr="008B2319">
        <w:rPr>
          <w:lang w:val="en-US"/>
        </w:rPr>
        <w:t>facility implies an economic saving.</w:t>
      </w:r>
      <w:r w:rsidR="002267BF" w:rsidRPr="008B2319">
        <w:rPr>
          <w:lang w:val="en-US"/>
        </w:rPr>
        <w:t xml:space="preserve"> </w:t>
      </w:r>
    </w:p>
    <w:p w14:paraId="222B7C57" w14:textId="77777777" w:rsidR="006E2828" w:rsidRPr="008B2319" w:rsidRDefault="006E2828" w:rsidP="00397BE5">
      <w:pPr>
        <w:pStyle w:val="Heading2"/>
      </w:pPr>
      <w:bookmarkStart w:id="21" w:name="_Toc444608488"/>
      <w:r w:rsidRPr="008B2319">
        <w:t>Load following</w:t>
      </w:r>
      <w:bookmarkEnd w:id="21"/>
      <w:r w:rsidR="00463475" w:rsidRPr="008B2319">
        <w:t>: ramp rates and related thermal effects</w:t>
      </w:r>
    </w:p>
    <w:p w14:paraId="794DD9B6" w14:textId="77777777" w:rsidR="006E2828" w:rsidRPr="008B2319" w:rsidRDefault="006E2828" w:rsidP="006E2828">
      <w:pPr>
        <w:rPr>
          <w:lang w:val="en-US"/>
        </w:rPr>
      </w:pPr>
      <w:r w:rsidRPr="008B2319">
        <w:rPr>
          <w:lang w:val="en-US"/>
        </w:rPr>
        <w:t xml:space="preserve">The goal of this </w:t>
      </w:r>
      <w:r w:rsidR="00906AB0" w:rsidRPr="008B2319">
        <w:rPr>
          <w:lang w:val="en-US"/>
        </w:rPr>
        <w:t xml:space="preserve">trial </w:t>
      </w:r>
      <w:r w:rsidRPr="008B2319">
        <w:rPr>
          <w:lang w:val="en-US"/>
        </w:rPr>
        <w:t xml:space="preserve">is to simulate the load following capability of the plant, </w:t>
      </w:r>
      <w:r w:rsidR="002267BF" w:rsidRPr="008B2319">
        <w:rPr>
          <w:lang w:val="en-US"/>
        </w:rPr>
        <w:t>and especially to identify</w:t>
      </w:r>
      <w:r w:rsidRPr="008B2319">
        <w:rPr>
          <w:lang w:val="en-US"/>
        </w:rPr>
        <w:t xml:space="preserve"> the maximum allowable change in the load </w:t>
      </w:r>
      <w:r w:rsidR="00906AB0" w:rsidRPr="008B2319">
        <w:rPr>
          <w:lang w:val="en-US"/>
        </w:rPr>
        <w:t xml:space="preserve">that can be accepted in order </w:t>
      </w:r>
      <w:r w:rsidRPr="008B2319">
        <w:rPr>
          <w:lang w:val="en-US"/>
        </w:rPr>
        <w:t xml:space="preserve">to avoid any possible SOFC over-heating. </w:t>
      </w:r>
    </w:p>
    <w:p w14:paraId="3AA61F97" w14:textId="77777777" w:rsidR="006E2828" w:rsidRPr="008B2319" w:rsidRDefault="006E2828" w:rsidP="006E2828">
      <w:pPr>
        <w:rPr>
          <w:lang w:val="en-US"/>
        </w:rPr>
      </w:pPr>
      <w:r w:rsidRPr="008B2319">
        <w:rPr>
          <w:lang w:val="en-US"/>
        </w:rPr>
        <w:t>Several load conditions, simulated varying the fuel flow rate (H</w:t>
      </w:r>
      <w:r w:rsidRPr="008B2319">
        <w:rPr>
          <w:vertAlign w:val="subscript"/>
          <w:lang w:val="en-US"/>
        </w:rPr>
        <w:t>2</w:t>
      </w:r>
      <w:r w:rsidRPr="008B2319">
        <w:rPr>
          <w:lang w:val="en-US"/>
        </w:rPr>
        <w:t>/N</w:t>
      </w:r>
      <w:r w:rsidRPr="008B2319">
        <w:rPr>
          <w:vertAlign w:val="subscript"/>
          <w:lang w:val="en-US"/>
        </w:rPr>
        <w:t>2</w:t>
      </w:r>
      <w:r w:rsidRPr="008B2319">
        <w:rPr>
          <w:lang w:val="en-US"/>
        </w:rPr>
        <w:t xml:space="preserve"> mix </w:t>
      </w:r>
      <w:r w:rsidRPr="008B2319">
        <w:rPr>
          <w:rFonts w:ascii="Arial" w:hAnsi="Arial" w:cs="Arial"/>
          <w:lang w:val="en-US"/>
        </w:rPr>
        <w:t>–</w:t>
      </w:r>
      <w:r w:rsidRPr="008B2319">
        <w:rPr>
          <w:lang w:val="en-US"/>
        </w:rPr>
        <w:t xml:space="preserve"> 40/60%) </w:t>
      </w:r>
      <w:r w:rsidR="00906AB0" w:rsidRPr="008B2319">
        <w:rPr>
          <w:lang w:val="en-US"/>
        </w:rPr>
        <w:t>while</w:t>
      </w:r>
      <w:r w:rsidRPr="008B2319">
        <w:rPr>
          <w:lang w:val="en-US"/>
        </w:rPr>
        <w:t xml:space="preserve"> guaranteeing </w:t>
      </w:r>
      <w:r w:rsidRPr="008B2319">
        <w:rPr>
          <w:noProof/>
          <w:lang w:val="en-US"/>
        </w:rPr>
        <w:t>a</w:t>
      </w:r>
      <w:r w:rsidR="00735262" w:rsidRPr="008B2319">
        <w:rPr>
          <w:noProof/>
          <w:lang w:val="en-US"/>
        </w:rPr>
        <w:t>n</w:t>
      </w:r>
      <w:r w:rsidRPr="008B2319">
        <w:rPr>
          <w:noProof/>
          <w:lang w:val="en-US"/>
        </w:rPr>
        <w:t xml:space="preserve"> FU</w:t>
      </w:r>
      <w:r w:rsidRPr="008B2319">
        <w:rPr>
          <w:lang w:val="en-US"/>
        </w:rPr>
        <w:t xml:space="preserve"> equal to 75%, are performed. A selection of </w:t>
      </w:r>
      <w:r w:rsidR="002267BF" w:rsidRPr="008B2319">
        <w:rPr>
          <w:lang w:val="en-US"/>
        </w:rPr>
        <w:t xml:space="preserve">some </w:t>
      </w:r>
      <w:r w:rsidRPr="008B2319">
        <w:rPr>
          <w:lang w:val="en-US"/>
        </w:rPr>
        <w:t xml:space="preserve">meaningful simulations </w:t>
      </w:r>
      <w:r w:rsidR="00735262" w:rsidRPr="008B2319">
        <w:rPr>
          <w:noProof/>
          <w:lang w:val="en-US"/>
        </w:rPr>
        <w:t>is</w:t>
      </w:r>
      <w:r w:rsidRPr="008B2319">
        <w:rPr>
          <w:lang w:val="en-US"/>
        </w:rPr>
        <w:t xml:space="preserve"> reported in</w:t>
      </w:r>
      <w:r w:rsidRPr="008B2319">
        <w:rPr>
          <w:noProof/>
          <w:lang w:val="en-US"/>
        </w:rPr>
        <w:t xml:space="preserve"> </w:t>
      </w:r>
      <w:r w:rsidR="006B3657" w:rsidRPr="008B2319">
        <w:rPr>
          <w:noProof/>
          <w:lang w:val="en-US"/>
        </w:rPr>
        <w:fldChar w:fldCharType="begin"/>
      </w:r>
      <w:r w:rsidR="006B3657" w:rsidRPr="008B2319">
        <w:rPr>
          <w:noProof/>
          <w:lang w:val="en-US"/>
        </w:rPr>
        <w:instrText xml:space="preserve"> REF _Ref450052557 \h </w:instrText>
      </w:r>
      <w:r w:rsidR="006B3657" w:rsidRPr="008B2319">
        <w:rPr>
          <w:noProof/>
          <w:lang w:val="en-US"/>
        </w:rPr>
      </w:r>
      <w:r w:rsidR="006B3657" w:rsidRPr="008B2319">
        <w:rPr>
          <w:noProof/>
          <w:lang w:val="en-US"/>
        </w:rPr>
        <w:fldChar w:fldCharType="separate"/>
      </w:r>
      <w:r w:rsidR="00AC560C" w:rsidRPr="008B2319">
        <w:t xml:space="preserve">Table </w:t>
      </w:r>
      <w:r w:rsidR="00AC560C" w:rsidRPr="008B2319">
        <w:rPr>
          <w:noProof/>
        </w:rPr>
        <w:t>6</w:t>
      </w:r>
      <w:r w:rsidR="006B3657" w:rsidRPr="008B2319">
        <w:rPr>
          <w:lang w:val="en-US"/>
        </w:rPr>
        <w:fldChar w:fldCharType="end"/>
      </w:r>
      <w:r w:rsidR="006B3657" w:rsidRPr="008B2319">
        <w:rPr>
          <w:lang w:val="en-US"/>
        </w:rPr>
        <w:t xml:space="preserve"> </w:t>
      </w:r>
      <w:r w:rsidRPr="008B2319">
        <w:rPr>
          <w:lang w:val="en-US"/>
        </w:rPr>
        <w:t xml:space="preserve">with </w:t>
      </w:r>
      <w:r w:rsidR="00D666E3" w:rsidRPr="008B2319">
        <w:rPr>
          <w:lang w:val="en-US"/>
        </w:rPr>
        <w:t xml:space="preserve">the </w:t>
      </w:r>
      <w:r w:rsidRPr="008B2319">
        <w:rPr>
          <w:lang w:val="en-US"/>
        </w:rPr>
        <w:t>related starting conditions.</w:t>
      </w:r>
    </w:p>
    <w:p w14:paraId="1216C318" w14:textId="77777777" w:rsidR="00B53F43" w:rsidRPr="008B2319" w:rsidRDefault="00B53F43" w:rsidP="00B53F43">
      <w:pPr>
        <w:pStyle w:val="Caption"/>
        <w:keepNext/>
      </w:pPr>
      <w:bookmarkStart w:id="22" w:name="_Ref450052557"/>
      <w:r w:rsidRPr="008B2319">
        <w:lastRenderedPageBreak/>
        <w:t xml:space="preserve">Table </w:t>
      </w:r>
      <w:r w:rsidR="00825D4F" w:rsidRPr="008B2319">
        <w:fldChar w:fldCharType="begin"/>
      </w:r>
      <w:r w:rsidR="00825D4F" w:rsidRPr="008B2319">
        <w:instrText xml:space="preserve"> SEQ Table \* ARABIC </w:instrText>
      </w:r>
      <w:r w:rsidR="00825D4F" w:rsidRPr="008B2319">
        <w:fldChar w:fldCharType="separate"/>
      </w:r>
      <w:r w:rsidR="00AC560C" w:rsidRPr="008B2319">
        <w:rPr>
          <w:noProof/>
        </w:rPr>
        <w:t>6</w:t>
      </w:r>
      <w:r w:rsidR="00825D4F" w:rsidRPr="008B2319">
        <w:rPr>
          <w:noProof/>
        </w:rPr>
        <w:fldChar w:fldCharType="end"/>
      </w:r>
      <w:bookmarkEnd w:id="22"/>
      <w:r w:rsidRPr="008B2319">
        <w:t>. Load following simulations.</w:t>
      </w:r>
    </w:p>
    <w:tbl>
      <w:tblPr>
        <w:tblStyle w:val="GridTable1Light1"/>
        <w:tblW w:w="4710" w:type="pct"/>
        <w:jc w:val="center"/>
        <w:tblLook w:val="04A0" w:firstRow="1" w:lastRow="0" w:firstColumn="1" w:lastColumn="0" w:noHBand="0" w:noVBand="1"/>
      </w:tblPr>
      <w:tblGrid>
        <w:gridCol w:w="1444"/>
        <w:gridCol w:w="1569"/>
        <w:gridCol w:w="1788"/>
        <w:gridCol w:w="1728"/>
        <w:gridCol w:w="2753"/>
      </w:tblGrid>
      <w:tr w:rsidR="008B2319" w:rsidRPr="008B2319" w14:paraId="6D7C39BF" w14:textId="77777777" w:rsidTr="00370D63">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778" w:type="pct"/>
            <w:tcBorders>
              <w:bottom w:val="single" w:sz="4" w:space="0" w:color="BFBFBF" w:themeColor="background1" w:themeShade="BF"/>
            </w:tcBorders>
            <w:shd w:val="clear" w:color="auto" w:fill="EDEDED" w:themeFill="accent3" w:themeFillTint="33"/>
            <w:noWrap/>
            <w:hideMark/>
          </w:tcPr>
          <w:p w14:paraId="0E471E07" w14:textId="77777777" w:rsidR="006E2828" w:rsidRPr="008B2319" w:rsidRDefault="006E2828" w:rsidP="00380644">
            <w:pPr>
              <w:spacing w:before="0" w:after="0" w:line="240" w:lineRule="auto"/>
              <w:jc w:val="center"/>
              <w:rPr>
                <w:rFonts w:cs="Times New Roman"/>
                <w:sz w:val="20"/>
                <w:szCs w:val="20"/>
                <w:lang w:val="en-US" w:eastAsia="en-GB"/>
              </w:rPr>
            </w:pPr>
          </w:p>
        </w:tc>
        <w:tc>
          <w:tcPr>
            <w:tcW w:w="845" w:type="pct"/>
            <w:tcBorders>
              <w:bottom w:val="single" w:sz="4" w:space="0" w:color="BFBFBF" w:themeColor="background1" w:themeShade="BF"/>
            </w:tcBorders>
            <w:shd w:val="clear" w:color="auto" w:fill="EDEDED" w:themeFill="accent3" w:themeFillTint="33"/>
            <w:noWrap/>
            <w:hideMark/>
          </w:tcPr>
          <w:p w14:paraId="5957AFC2" w14:textId="77777777" w:rsidR="006E2828" w:rsidRPr="008B2319" w:rsidRDefault="006E2828" w:rsidP="00380644">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Cs w:val="0"/>
                <w:iCs/>
                <w:sz w:val="20"/>
                <w:szCs w:val="20"/>
                <w:lang w:val="en-US" w:eastAsia="it-IT"/>
              </w:rPr>
            </w:pPr>
            <w:r w:rsidRPr="008B2319">
              <w:rPr>
                <w:rFonts w:cs="Times New Roman"/>
                <w:bCs w:val="0"/>
                <w:iCs/>
                <w:sz w:val="20"/>
                <w:szCs w:val="20"/>
                <w:lang w:val="en-US" w:eastAsia="it-IT"/>
              </w:rPr>
              <w:t>T</w:t>
            </w:r>
            <w:r w:rsidR="00FE6B9E" w:rsidRPr="008B2319">
              <w:rPr>
                <w:rFonts w:cs="Times New Roman"/>
                <w:bCs w:val="0"/>
                <w:iCs/>
                <w:sz w:val="20"/>
                <w:szCs w:val="20"/>
                <w:lang w:val="en-US" w:eastAsia="it-IT"/>
              </w:rPr>
              <w:t xml:space="preserve"> </w:t>
            </w:r>
            <w:r w:rsidRPr="008B2319">
              <w:rPr>
                <w:rFonts w:cs="Times New Roman"/>
                <w:bCs w:val="0"/>
                <w:iCs/>
                <w:sz w:val="20"/>
                <w:szCs w:val="20"/>
                <w:lang w:val="en-US" w:eastAsia="it-IT"/>
              </w:rPr>
              <w:t>sofc [°C]</w:t>
            </w:r>
          </w:p>
        </w:tc>
        <w:tc>
          <w:tcPr>
            <w:tcW w:w="963" w:type="pct"/>
            <w:tcBorders>
              <w:bottom w:val="single" w:sz="4" w:space="0" w:color="BFBFBF" w:themeColor="background1" w:themeShade="BF"/>
            </w:tcBorders>
            <w:shd w:val="clear" w:color="auto" w:fill="EDEDED" w:themeFill="accent3" w:themeFillTint="33"/>
            <w:noWrap/>
            <w:hideMark/>
          </w:tcPr>
          <w:p w14:paraId="13FE8EAE" w14:textId="77777777" w:rsidR="006E2828" w:rsidRPr="008B2319" w:rsidRDefault="006E2828" w:rsidP="00FE6B9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Cs w:val="0"/>
                <w:iCs/>
                <w:sz w:val="20"/>
                <w:szCs w:val="20"/>
                <w:lang w:val="en-US" w:eastAsia="it-IT"/>
              </w:rPr>
            </w:pPr>
            <w:r w:rsidRPr="008B2319">
              <w:rPr>
                <w:rFonts w:cs="Times New Roman"/>
                <w:bCs w:val="0"/>
                <w:iCs/>
                <w:sz w:val="20"/>
                <w:szCs w:val="20"/>
                <w:lang w:val="en-US" w:eastAsia="it-IT"/>
              </w:rPr>
              <w:t>T</w:t>
            </w:r>
            <w:r w:rsidR="00FE6B9E" w:rsidRPr="008B2319">
              <w:rPr>
                <w:rFonts w:cs="Times New Roman"/>
                <w:bCs w:val="0"/>
                <w:iCs/>
                <w:sz w:val="20"/>
                <w:szCs w:val="20"/>
                <w:lang w:val="en-US" w:eastAsia="it-IT"/>
              </w:rPr>
              <w:t xml:space="preserve"> </w:t>
            </w:r>
            <w:r w:rsidRPr="008B2319">
              <w:rPr>
                <w:rFonts w:cs="Times New Roman"/>
                <w:bCs w:val="0"/>
                <w:iCs/>
                <w:sz w:val="20"/>
                <w:szCs w:val="20"/>
                <w:lang w:val="en-US" w:eastAsia="it-IT"/>
              </w:rPr>
              <w:t>anode</w:t>
            </w:r>
            <w:r w:rsidR="00FE6B9E" w:rsidRPr="008B2319">
              <w:rPr>
                <w:rFonts w:cs="Times New Roman"/>
                <w:bCs w:val="0"/>
                <w:iCs/>
                <w:sz w:val="20"/>
                <w:szCs w:val="20"/>
                <w:lang w:val="en-US" w:eastAsia="it-IT"/>
              </w:rPr>
              <w:t xml:space="preserve"> </w:t>
            </w:r>
            <w:r w:rsidRPr="008B2319">
              <w:rPr>
                <w:rFonts w:cs="Times New Roman"/>
                <w:bCs w:val="0"/>
                <w:iCs/>
                <w:sz w:val="20"/>
                <w:szCs w:val="20"/>
                <w:lang w:val="en-US" w:eastAsia="it-IT"/>
              </w:rPr>
              <w:t>inlet [°C]</w:t>
            </w:r>
          </w:p>
        </w:tc>
        <w:tc>
          <w:tcPr>
            <w:tcW w:w="931" w:type="pct"/>
            <w:tcBorders>
              <w:bottom w:val="single" w:sz="4" w:space="0" w:color="BFBFBF" w:themeColor="background1" w:themeShade="BF"/>
            </w:tcBorders>
            <w:shd w:val="clear" w:color="auto" w:fill="EDEDED" w:themeFill="accent3" w:themeFillTint="33"/>
            <w:noWrap/>
            <w:hideMark/>
          </w:tcPr>
          <w:p w14:paraId="27B45D96" w14:textId="77777777" w:rsidR="006E2828" w:rsidRPr="008B2319" w:rsidRDefault="006E2828" w:rsidP="00FE6B9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Cs w:val="0"/>
                <w:iCs/>
                <w:sz w:val="20"/>
                <w:szCs w:val="20"/>
                <w:lang w:val="en-US" w:eastAsia="it-IT"/>
              </w:rPr>
            </w:pPr>
            <w:r w:rsidRPr="008B2319">
              <w:rPr>
                <w:rFonts w:cs="Times New Roman"/>
                <w:bCs w:val="0"/>
                <w:iCs/>
                <w:sz w:val="20"/>
                <w:szCs w:val="20"/>
                <w:lang w:val="en-US" w:eastAsia="it-IT"/>
              </w:rPr>
              <w:t>T</w:t>
            </w:r>
            <w:r w:rsidR="00FE6B9E" w:rsidRPr="008B2319">
              <w:rPr>
                <w:rFonts w:cs="Times New Roman"/>
                <w:bCs w:val="0"/>
                <w:iCs/>
                <w:sz w:val="20"/>
                <w:szCs w:val="20"/>
                <w:lang w:val="en-US" w:eastAsia="it-IT"/>
              </w:rPr>
              <w:t xml:space="preserve"> </w:t>
            </w:r>
            <w:r w:rsidRPr="008B2319">
              <w:rPr>
                <w:rFonts w:cs="Times New Roman"/>
                <w:bCs w:val="0"/>
                <w:iCs/>
                <w:sz w:val="20"/>
                <w:szCs w:val="20"/>
                <w:lang w:val="en-US" w:eastAsia="it-IT"/>
              </w:rPr>
              <w:t>air</w:t>
            </w:r>
            <w:r w:rsidR="00FE6B9E" w:rsidRPr="008B2319">
              <w:rPr>
                <w:rFonts w:cs="Times New Roman"/>
                <w:bCs w:val="0"/>
                <w:iCs/>
                <w:sz w:val="20"/>
                <w:szCs w:val="20"/>
                <w:lang w:val="en-US" w:eastAsia="it-IT"/>
              </w:rPr>
              <w:t xml:space="preserve"> </w:t>
            </w:r>
            <w:r w:rsidRPr="008B2319">
              <w:rPr>
                <w:rFonts w:cs="Times New Roman"/>
                <w:bCs w:val="0"/>
                <w:iCs/>
                <w:sz w:val="20"/>
                <w:szCs w:val="20"/>
                <w:lang w:val="en-US" w:eastAsia="it-IT"/>
              </w:rPr>
              <w:t>inlet [°C]</w:t>
            </w:r>
          </w:p>
        </w:tc>
        <w:tc>
          <w:tcPr>
            <w:tcW w:w="1483" w:type="pct"/>
            <w:tcBorders>
              <w:bottom w:val="single" w:sz="4" w:space="0" w:color="BFBFBF" w:themeColor="background1" w:themeShade="BF"/>
            </w:tcBorders>
            <w:shd w:val="clear" w:color="auto" w:fill="EDEDED" w:themeFill="accent3" w:themeFillTint="33"/>
            <w:noWrap/>
            <w:hideMark/>
          </w:tcPr>
          <w:p w14:paraId="4D771C0F" w14:textId="77777777" w:rsidR="006E2828" w:rsidRPr="008B2319" w:rsidRDefault="006E2828" w:rsidP="00380644">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Cs w:val="0"/>
                <w:iCs/>
                <w:sz w:val="20"/>
                <w:szCs w:val="20"/>
                <w:lang w:val="en-US" w:eastAsia="it-IT"/>
              </w:rPr>
            </w:pPr>
            <w:r w:rsidRPr="008B2319">
              <w:rPr>
                <w:rFonts w:cs="Times New Roman"/>
                <w:bCs w:val="0"/>
                <w:iCs/>
                <w:sz w:val="20"/>
                <w:szCs w:val="20"/>
                <w:lang w:val="en-US" w:eastAsia="it-IT"/>
              </w:rPr>
              <w:t>Air [Nl/min]</w:t>
            </w:r>
          </w:p>
        </w:tc>
      </w:tr>
      <w:tr w:rsidR="008B2319" w:rsidRPr="008B2319" w14:paraId="423854B0" w14:textId="77777777" w:rsidTr="00370D63">
        <w:trPr>
          <w:trHeight w:val="340"/>
          <w:jc w:val="center"/>
        </w:trPr>
        <w:tc>
          <w:tcPr>
            <w:cnfStyle w:val="001000000000" w:firstRow="0" w:lastRow="0" w:firstColumn="1" w:lastColumn="0" w:oddVBand="0" w:evenVBand="0" w:oddHBand="0" w:evenHBand="0" w:firstRowFirstColumn="0" w:firstRowLastColumn="0" w:lastRowFirstColumn="0" w:lastRowLastColumn="0"/>
            <w:tcW w:w="778" w:type="pct"/>
            <w:tcBorders>
              <w:top w:val="single" w:sz="4" w:space="0" w:color="BFBFBF" w:themeColor="background1" w:themeShade="BF"/>
              <w:bottom w:val="single" w:sz="12" w:space="0" w:color="auto"/>
            </w:tcBorders>
            <w:noWrap/>
            <w:hideMark/>
          </w:tcPr>
          <w:p w14:paraId="51C04D78" w14:textId="77777777" w:rsidR="006E2828" w:rsidRPr="008B2319" w:rsidRDefault="006E2828" w:rsidP="00380644">
            <w:pPr>
              <w:spacing w:before="0" w:after="0" w:line="240" w:lineRule="auto"/>
              <w:jc w:val="center"/>
              <w:rPr>
                <w:rFonts w:cs="Times New Roman"/>
                <w:sz w:val="20"/>
                <w:szCs w:val="20"/>
                <w:lang w:val="en-US" w:eastAsia="en-GB"/>
              </w:rPr>
            </w:pPr>
            <w:r w:rsidRPr="008B2319">
              <w:rPr>
                <w:rFonts w:cs="Times New Roman"/>
                <w:sz w:val="20"/>
                <w:szCs w:val="20"/>
                <w:lang w:val="en-US" w:eastAsia="en-GB"/>
              </w:rPr>
              <w:t>Set-Point</w:t>
            </w:r>
          </w:p>
        </w:tc>
        <w:tc>
          <w:tcPr>
            <w:tcW w:w="845" w:type="pct"/>
            <w:tcBorders>
              <w:top w:val="single" w:sz="4" w:space="0" w:color="BFBFBF" w:themeColor="background1" w:themeShade="BF"/>
              <w:bottom w:val="single" w:sz="12" w:space="0" w:color="auto"/>
            </w:tcBorders>
            <w:noWrap/>
            <w:hideMark/>
          </w:tcPr>
          <w:p w14:paraId="5968E2D0"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825</w:t>
            </w:r>
          </w:p>
        </w:tc>
        <w:tc>
          <w:tcPr>
            <w:tcW w:w="963" w:type="pct"/>
            <w:tcBorders>
              <w:top w:val="single" w:sz="4" w:space="0" w:color="BFBFBF" w:themeColor="background1" w:themeShade="BF"/>
              <w:bottom w:val="single" w:sz="12" w:space="0" w:color="auto"/>
            </w:tcBorders>
            <w:noWrap/>
            <w:hideMark/>
          </w:tcPr>
          <w:p w14:paraId="27D226D2"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750</w:t>
            </w:r>
          </w:p>
        </w:tc>
        <w:tc>
          <w:tcPr>
            <w:tcW w:w="931" w:type="pct"/>
            <w:tcBorders>
              <w:top w:val="single" w:sz="4" w:space="0" w:color="BFBFBF" w:themeColor="background1" w:themeShade="BF"/>
              <w:bottom w:val="single" w:sz="12" w:space="0" w:color="auto"/>
            </w:tcBorders>
            <w:noWrap/>
            <w:hideMark/>
          </w:tcPr>
          <w:p w14:paraId="44281749"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650</w:t>
            </w:r>
          </w:p>
        </w:tc>
        <w:tc>
          <w:tcPr>
            <w:tcW w:w="1483" w:type="pct"/>
            <w:tcBorders>
              <w:top w:val="single" w:sz="4" w:space="0" w:color="BFBFBF" w:themeColor="background1" w:themeShade="BF"/>
            </w:tcBorders>
            <w:noWrap/>
            <w:hideMark/>
          </w:tcPr>
          <w:p w14:paraId="511232EB"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PID regulated</w:t>
            </w:r>
          </w:p>
        </w:tc>
      </w:tr>
      <w:tr w:rsidR="008B2319" w:rsidRPr="008B2319" w14:paraId="136B4A31" w14:textId="77777777" w:rsidTr="00370D63">
        <w:trPr>
          <w:trHeight w:val="340"/>
          <w:jc w:val="center"/>
        </w:trPr>
        <w:tc>
          <w:tcPr>
            <w:cnfStyle w:val="001000000000" w:firstRow="0" w:lastRow="0" w:firstColumn="1" w:lastColumn="0" w:oddVBand="0" w:evenVBand="0" w:oddHBand="0" w:evenHBand="0" w:firstRowFirstColumn="0" w:firstRowLastColumn="0" w:lastRowFirstColumn="0" w:lastRowLastColumn="0"/>
            <w:tcW w:w="778" w:type="pct"/>
            <w:tcBorders>
              <w:top w:val="single" w:sz="12" w:space="0" w:color="auto"/>
            </w:tcBorders>
            <w:shd w:val="clear" w:color="auto" w:fill="EDEDED" w:themeFill="accent3" w:themeFillTint="33"/>
            <w:noWrap/>
            <w:hideMark/>
          </w:tcPr>
          <w:p w14:paraId="0615AC52" w14:textId="77777777" w:rsidR="006E2828" w:rsidRPr="008B2319" w:rsidRDefault="006E2828" w:rsidP="00380644">
            <w:pPr>
              <w:spacing w:before="0" w:after="0" w:line="240" w:lineRule="auto"/>
              <w:rPr>
                <w:rFonts w:cs="Times New Roman"/>
                <w:sz w:val="20"/>
                <w:szCs w:val="20"/>
                <w:lang w:val="en-US" w:eastAsia="en-GB"/>
              </w:rPr>
            </w:pPr>
          </w:p>
        </w:tc>
        <w:tc>
          <w:tcPr>
            <w:tcW w:w="1808" w:type="pct"/>
            <w:gridSpan w:val="2"/>
            <w:tcBorders>
              <w:top w:val="single" w:sz="12" w:space="0" w:color="auto"/>
            </w:tcBorders>
            <w:shd w:val="clear" w:color="auto" w:fill="EDEDED" w:themeFill="accent3" w:themeFillTint="33"/>
            <w:hideMark/>
          </w:tcPr>
          <w:p w14:paraId="08808B1A"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b/>
                <w:bCs/>
                <w:iCs/>
                <w:sz w:val="20"/>
                <w:szCs w:val="20"/>
                <w:lang w:val="en-US" w:eastAsia="it-IT"/>
              </w:rPr>
            </w:pPr>
            <w:r w:rsidRPr="008B2319">
              <w:rPr>
                <w:rFonts w:cs="Times New Roman"/>
                <w:b/>
                <w:bCs/>
                <w:iCs/>
                <w:sz w:val="20"/>
                <w:szCs w:val="20"/>
                <w:lang w:val="en-US" w:eastAsia="it-IT"/>
              </w:rPr>
              <w:t>Current target [A]</w:t>
            </w:r>
          </w:p>
        </w:tc>
        <w:tc>
          <w:tcPr>
            <w:tcW w:w="931" w:type="pct"/>
            <w:tcBorders>
              <w:top w:val="single" w:sz="12" w:space="0" w:color="auto"/>
            </w:tcBorders>
            <w:shd w:val="clear" w:color="auto" w:fill="EDEDED" w:themeFill="accent3" w:themeFillTint="33"/>
            <w:hideMark/>
          </w:tcPr>
          <w:p w14:paraId="46651898" w14:textId="77777777" w:rsidR="006E2828" w:rsidRPr="008B2319" w:rsidRDefault="006E2828" w:rsidP="001E1CA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b/>
                <w:bCs/>
                <w:iCs/>
                <w:sz w:val="20"/>
                <w:szCs w:val="20"/>
                <w:lang w:val="en-US" w:eastAsia="it-IT"/>
              </w:rPr>
            </w:pPr>
            <w:r w:rsidRPr="008B2319">
              <w:rPr>
                <w:rFonts w:cs="Times New Roman"/>
                <w:b/>
                <w:bCs/>
                <w:iCs/>
                <w:sz w:val="20"/>
                <w:szCs w:val="20"/>
                <w:lang w:val="en-US" w:eastAsia="it-IT"/>
              </w:rPr>
              <w:t xml:space="preserve">Time </w:t>
            </w:r>
            <w:r w:rsidR="001E1CA5" w:rsidRPr="008B2319">
              <w:rPr>
                <w:rFonts w:cs="Times New Roman"/>
                <w:b/>
                <w:bCs/>
                <w:iCs/>
                <w:sz w:val="20"/>
                <w:szCs w:val="20"/>
                <w:lang w:val="en-US" w:eastAsia="it-IT"/>
              </w:rPr>
              <w:t xml:space="preserve">interval </w:t>
            </w:r>
            <w:r w:rsidRPr="008B2319">
              <w:rPr>
                <w:rFonts w:cs="Times New Roman"/>
                <w:b/>
                <w:bCs/>
                <w:iCs/>
                <w:sz w:val="20"/>
                <w:szCs w:val="20"/>
                <w:lang w:val="en-US" w:eastAsia="it-IT"/>
              </w:rPr>
              <w:t>[min]</w:t>
            </w:r>
          </w:p>
        </w:tc>
        <w:tc>
          <w:tcPr>
            <w:tcW w:w="1483" w:type="pct"/>
            <w:tcBorders>
              <w:top w:val="single" w:sz="12" w:space="0" w:color="auto"/>
            </w:tcBorders>
            <w:shd w:val="clear" w:color="auto" w:fill="EDEDED" w:themeFill="accent3" w:themeFillTint="33"/>
            <w:hideMark/>
          </w:tcPr>
          <w:p w14:paraId="2F6D693E"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b/>
                <w:bCs/>
                <w:iCs/>
                <w:sz w:val="20"/>
                <w:szCs w:val="20"/>
                <w:lang w:val="en-US" w:eastAsia="it-IT"/>
              </w:rPr>
            </w:pPr>
            <w:r w:rsidRPr="008B2319">
              <w:rPr>
                <w:rFonts w:cs="Times New Roman"/>
                <w:b/>
                <w:bCs/>
                <w:iCs/>
                <w:sz w:val="20"/>
                <w:szCs w:val="20"/>
                <w:lang w:val="en-US" w:eastAsia="it-IT"/>
              </w:rPr>
              <w:t>Current ramp [A/min]</w:t>
            </w:r>
          </w:p>
        </w:tc>
      </w:tr>
      <w:tr w:rsidR="008B2319" w:rsidRPr="008B2319" w14:paraId="382A0C13" w14:textId="77777777" w:rsidTr="00370D63">
        <w:trPr>
          <w:trHeight w:val="340"/>
          <w:jc w:val="center"/>
        </w:trPr>
        <w:tc>
          <w:tcPr>
            <w:cnfStyle w:val="001000000000" w:firstRow="0" w:lastRow="0" w:firstColumn="1" w:lastColumn="0" w:oddVBand="0" w:evenVBand="0" w:oddHBand="0" w:evenHBand="0" w:firstRowFirstColumn="0" w:firstRowLastColumn="0" w:lastRowFirstColumn="0" w:lastRowLastColumn="0"/>
            <w:tcW w:w="778" w:type="pct"/>
            <w:noWrap/>
            <w:hideMark/>
          </w:tcPr>
          <w:p w14:paraId="1609E50A" w14:textId="77777777" w:rsidR="006E2828" w:rsidRPr="008B2319" w:rsidRDefault="006E2828" w:rsidP="00380644">
            <w:pPr>
              <w:spacing w:before="0" w:after="0" w:line="240" w:lineRule="auto"/>
              <w:jc w:val="center"/>
              <w:rPr>
                <w:rFonts w:cs="Times New Roman"/>
                <w:sz w:val="20"/>
                <w:szCs w:val="20"/>
                <w:lang w:val="en-US" w:eastAsia="en-GB"/>
              </w:rPr>
            </w:pPr>
            <w:r w:rsidRPr="008B2319">
              <w:rPr>
                <w:rFonts w:cs="Times New Roman"/>
                <w:sz w:val="20"/>
                <w:szCs w:val="20"/>
                <w:lang w:val="en-US" w:eastAsia="en-GB"/>
              </w:rPr>
              <w:t>Sim</w:t>
            </w:r>
            <w:r w:rsidR="001E1CA5" w:rsidRPr="008B2319">
              <w:rPr>
                <w:rFonts w:cs="Times New Roman"/>
                <w:sz w:val="20"/>
                <w:szCs w:val="20"/>
                <w:lang w:val="en-US" w:eastAsia="en-GB"/>
              </w:rPr>
              <w:t>ulation</w:t>
            </w:r>
            <w:r w:rsidRPr="008B2319">
              <w:rPr>
                <w:rFonts w:cs="Times New Roman"/>
                <w:sz w:val="20"/>
                <w:szCs w:val="20"/>
                <w:lang w:val="en-US" w:eastAsia="en-GB"/>
              </w:rPr>
              <w:t xml:space="preserve"> A</w:t>
            </w:r>
          </w:p>
        </w:tc>
        <w:tc>
          <w:tcPr>
            <w:tcW w:w="1808" w:type="pct"/>
            <w:gridSpan w:val="2"/>
            <w:noWrap/>
            <w:hideMark/>
          </w:tcPr>
          <w:p w14:paraId="14A45CB2" w14:textId="77777777" w:rsidR="006E2828" w:rsidRPr="008B2319" w:rsidRDefault="00FE6B9E"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 xml:space="preserve">14 </w:t>
            </w:r>
            <w:r w:rsidRPr="008B2319">
              <w:rPr>
                <w:rFonts w:cs="Times New Roman"/>
                <w:sz w:val="20"/>
                <w:szCs w:val="20"/>
                <w:lang w:val="en-US" w:eastAsia="en-GB"/>
              </w:rPr>
              <w:sym w:font="Wingdings" w:char="F0E0"/>
            </w:r>
            <w:r w:rsidR="006E2828" w:rsidRPr="008B2319">
              <w:rPr>
                <w:rFonts w:cs="Times New Roman"/>
                <w:sz w:val="20"/>
                <w:szCs w:val="20"/>
                <w:lang w:val="en-US" w:eastAsia="en-GB"/>
              </w:rPr>
              <w:t xml:space="preserve"> 34 </w:t>
            </w:r>
          </w:p>
        </w:tc>
        <w:tc>
          <w:tcPr>
            <w:tcW w:w="931" w:type="pct"/>
            <w:noWrap/>
            <w:hideMark/>
          </w:tcPr>
          <w:p w14:paraId="0084C4A7"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125</w:t>
            </w:r>
          </w:p>
        </w:tc>
        <w:tc>
          <w:tcPr>
            <w:tcW w:w="1483" w:type="pct"/>
            <w:noWrap/>
            <w:hideMark/>
          </w:tcPr>
          <w:p w14:paraId="0078DFB0" w14:textId="77777777" w:rsidR="006E2828" w:rsidRPr="008B2319" w:rsidRDefault="00D666E3"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0.</w:t>
            </w:r>
            <w:r w:rsidR="006E2828" w:rsidRPr="008B2319">
              <w:rPr>
                <w:rFonts w:cs="Times New Roman"/>
                <w:sz w:val="20"/>
                <w:szCs w:val="20"/>
                <w:lang w:val="en-US" w:eastAsia="en-GB"/>
              </w:rPr>
              <w:t>16</w:t>
            </w:r>
          </w:p>
        </w:tc>
      </w:tr>
      <w:tr w:rsidR="008B2319" w:rsidRPr="008B2319" w14:paraId="2A47990B" w14:textId="77777777" w:rsidTr="00370D63">
        <w:trPr>
          <w:trHeight w:val="340"/>
          <w:jc w:val="center"/>
        </w:trPr>
        <w:tc>
          <w:tcPr>
            <w:cnfStyle w:val="001000000000" w:firstRow="0" w:lastRow="0" w:firstColumn="1" w:lastColumn="0" w:oddVBand="0" w:evenVBand="0" w:oddHBand="0" w:evenHBand="0" w:firstRowFirstColumn="0" w:firstRowLastColumn="0" w:lastRowFirstColumn="0" w:lastRowLastColumn="0"/>
            <w:tcW w:w="778" w:type="pct"/>
            <w:noWrap/>
            <w:hideMark/>
          </w:tcPr>
          <w:p w14:paraId="401E0F87" w14:textId="77777777" w:rsidR="006E2828" w:rsidRPr="008B2319" w:rsidRDefault="006E2828" w:rsidP="00380644">
            <w:pPr>
              <w:spacing w:before="0" w:after="0" w:line="240" w:lineRule="auto"/>
              <w:jc w:val="center"/>
              <w:rPr>
                <w:rFonts w:cs="Times New Roman"/>
                <w:sz w:val="20"/>
                <w:szCs w:val="20"/>
                <w:lang w:val="en-US" w:eastAsia="en-GB"/>
              </w:rPr>
            </w:pPr>
            <w:r w:rsidRPr="008B2319">
              <w:rPr>
                <w:rFonts w:cs="Times New Roman"/>
                <w:sz w:val="20"/>
                <w:szCs w:val="20"/>
                <w:lang w:val="en-US" w:eastAsia="en-GB"/>
              </w:rPr>
              <w:t>Sim</w:t>
            </w:r>
            <w:r w:rsidR="001E1CA5" w:rsidRPr="008B2319">
              <w:rPr>
                <w:rFonts w:cs="Times New Roman"/>
                <w:sz w:val="20"/>
                <w:szCs w:val="20"/>
                <w:lang w:val="en-US" w:eastAsia="en-GB"/>
              </w:rPr>
              <w:t>ulation</w:t>
            </w:r>
            <w:r w:rsidRPr="008B2319">
              <w:rPr>
                <w:rFonts w:cs="Times New Roman"/>
                <w:sz w:val="20"/>
                <w:szCs w:val="20"/>
                <w:lang w:val="en-US" w:eastAsia="en-GB"/>
              </w:rPr>
              <w:t xml:space="preserve"> B</w:t>
            </w:r>
          </w:p>
        </w:tc>
        <w:tc>
          <w:tcPr>
            <w:tcW w:w="1808" w:type="pct"/>
            <w:gridSpan w:val="2"/>
            <w:noWrap/>
            <w:hideMark/>
          </w:tcPr>
          <w:p w14:paraId="5C46785F" w14:textId="77777777" w:rsidR="006E2828" w:rsidRPr="008B2319" w:rsidRDefault="00FE6B9E"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 xml:space="preserve">14 </w:t>
            </w:r>
            <w:r w:rsidRPr="008B2319">
              <w:rPr>
                <w:rFonts w:cs="Times New Roman"/>
                <w:sz w:val="20"/>
                <w:szCs w:val="20"/>
                <w:lang w:val="en-US" w:eastAsia="en-GB"/>
              </w:rPr>
              <w:sym w:font="Wingdings" w:char="F0E0"/>
            </w:r>
            <w:r w:rsidR="006E2828" w:rsidRPr="008B2319">
              <w:rPr>
                <w:rFonts w:cs="Times New Roman"/>
                <w:sz w:val="20"/>
                <w:szCs w:val="20"/>
                <w:lang w:val="en-US" w:eastAsia="en-GB"/>
              </w:rPr>
              <w:t xml:space="preserve"> 34</w:t>
            </w:r>
          </w:p>
        </w:tc>
        <w:tc>
          <w:tcPr>
            <w:tcW w:w="931" w:type="pct"/>
            <w:noWrap/>
            <w:hideMark/>
          </w:tcPr>
          <w:p w14:paraId="1684B58C" w14:textId="77777777" w:rsidR="006E2828" w:rsidRPr="008B2319" w:rsidRDefault="00D666E3"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62.</w:t>
            </w:r>
            <w:r w:rsidR="006E2828" w:rsidRPr="008B2319">
              <w:rPr>
                <w:rFonts w:cs="Times New Roman"/>
                <w:sz w:val="20"/>
                <w:szCs w:val="20"/>
                <w:lang w:val="en-US" w:eastAsia="en-GB"/>
              </w:rPr>
              <w:t>5</w:t>
            </w:r>
          </w:p>
        </w:tc>
        <w:tc>
          <w:tcPr>
            <w:tcW w:w="1483" w:type="pct"/>
            <w:noWrap/>
            <w:hideMark/>
          </w:tcPr>
          <w:p w14:paraId="7C3577F3" w14:textId="77777777" w:rsidR="006E2828" w:rsidRPr="008B2319" w:rsidRDefault="00D666E3"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0.</w:t>
            </w:r>
            <w:r w:rsidR="006E2828" w:rsidRPr="008B2319">
              <w:rPr>
                <w:rFonts w:cs="Times New Roman"/>
                <w:sz w:val="20"/>
                <w:szCs w:val="20"/>
                <w:lang w:val="en-US" w:eastAsia="en-GB"/>
              </w:rPr>
              <w:t>32</w:t>
            </w:r>
          </w:p>
        </w:tc>
      </w:tr>
      <w:tr w:rsidR="008B2319" w:rsidRPr="008B2319" w14:paraId="6821F0C6" w14:textId="77777777" w:rsidTr="00370D63">
        <w:trPr>
          <w:trHeight w:val="340"/>
          <w:jc w:val="center"/>
        </w:trPr>
        <w:tc>
          <w:tcPr>
            <w:cnfStyle w:val="001000000000" w:firstRow="0" w:lastRow="0" w:firstColumn="1" w:lastColumn="0" w:oddVBand="0" w:evenVBand="0" w:oddHBand="0" w:evenHBand="0" w:firstRowFirstColumn="0" w:firstRowLastColumn="0" w:lastRowFirstColumn="0" w:lastRowLastColumn="0"/>
            <w:tcW w:w="778" w:type="pct"/>
            <w:noWrap/>
            <w:hideMark/>
          </w:tcPr>
          <w:p w14:paraId="17C706E7" w14:textId="77777777" w:rsidR="006E2828" w:rsidRPr="008B2319" w:rsidRDefault="006E2828" w:rsidP="00380644">
            <w:pPr>
              <w:spacing w:before="0" w:after="0" w:line="240" w:lineRule="auto"/>
              <w:jc w:val="center"/>
              <w:rPr>
                <w:rFonts w:cs="Times New Roman"/>
                <w:sz w:val="20"/>
                <w:szCs w:val="20"/>
                <w:lang w:val="en-US" w:eastAsia="en-GB"/>
              </w:rPr>
            </w:pPr>
            <w:r w:rsidRPr="008B2319">
              <w:rPr>
                <w:rFonts w:cs="Times New Roman"/>
                <w:sz w:val="20"/>
                <w:szCs w:val="20"/>
                <w:lang w:val="en-US" w:eastAsia="en-GB"/>
              </w:rPr>
              <w:t>Sim</w:t>
            </w:r>
            <w:r w:rsidR="001E1CA5" w:rsidRPr="008B2319">
              <w:rPr>
                <w:rFonts w:cs="Times New Roman"/>
                <w:sz w:val="20"/>
                <w:szCs w:val="20"/>
                <w:lang w:val="en-US" w:eastAsia="en-GB"/>
              </w:rPr>
              <w:t>ulation</w:t>
            </w:r>
            <w:r w:rsidRPr="008B2319">
              <w:rPr>
                <w:rFonts w:cs="Times New Roman"/>
                <w:sz w:val="20"/>
                <w:szCs w:val="20"/>
                <w:lang w:val="en-US" w:eastAsia="en-GB"/>
              </w:rPr>
              <w:t xml:space="preserve"> C</w:t>
            </w:r>
          </w:p>
        </w:tc>
        <w:tc>
          <w:tcPr>
            <w:tcW w:w="1808" w:type="pct"/>
            <w:gridSpan w:val="2"/>
            <w:noWrap/>
            <w:hideMark/>
          </w:tcPr>
          <w:p w14:paraId="49607F78" w14:textId="77777777" w:rsidR="006E2828" w:rsidRPr="008B2319" w:rsidRDefault="00FE6B9E" w:rsidP="00FE6B9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 xml:space="preserve">14 </w:t>
            </w:r>
            <w:r w:rsidRPr="008B2319">
              <w:rPr>
                <w:rFonts w:cs="Times New Roman"/>
                <w:sz w:val="20"/>
                <w:szCs w:val="20"/>
                <w:lang w:val="en-US" w:eastAsia="en-GB"/>
              </w:rPr>
              <w:sym w:font="Wingdings" w:char="F0E0"/>
            </w:r>
            <w:r w:rsidRPr="008B2319">
              <w:rPr>
                <w:rFonts w:cs="Times New Roman"/>
                <w:sz w:val="20"/>
                <w:szCs w:val="20"/>
                <w:lang w:val="en-US" w:eastAsia="en-GB"/>
              </w:rPr>
              <w:t xml:space="preserve"> </w:t>
            </w:r>
            <w:r w:rsidR="006E2828" w:rsidRPr="008B2319">
              <w:rPr>
                <w:rFonts w:cs="Times New Roman"/>
                <w:sz w:val="20"/>
                <w:szCs w:val="20"/>
                <w:lang w:val="en-US" w:eastAsia="en-GB"/>
              </w:rPr>
              <w:t>34</w:t>
            </w:r>
          </w:p>
        </w:tc>
        <w:tc>
          <w:tcPr>
            <w:tcW w:w="931" w:type="pct"/>
            <w:noWrap/>
            <w:hideMark/>
          </w:tcPr>
          <w:p w14:paraId="1606F73D" w14:textId="77777777" w:rsidR="006E2828" w:rsidRPr="008B2319" w:rsidRDefault="006E2828" w:rsidP="0038064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0</w:t>
            </w:r>
          </w:p>
        </w:tc>
        <w:tc>
          <w:tcPr>
            <w:tcW w:w="1483" w:type="pct"/>
            <w:noWrap/>
            <w:hideMark/>
          </w:tcPr>
          <w:p w14:paraId="24478E11" w14:textId="77777777" w:rsidR="006E2828" w:rsidRPr="008B2319" w:rsidRDefault="006E2828" w:rsidP="00380644">
            <w:pPr>
              <w:keepNext/>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eastAsia="en-GB"/>
              </w:rPr>
            </w:pPr>
            <w:r w:rsidRPr="008B2319">
              <w:rPr>
                <w:rFonts w:cs="Times New Roman"/>
                <w:sz w:val="20"/>
                <w:szCs w:val="20"/>
                <w:lang w:val="en-US" w:eastAsia="en-GB"/>
              </w:rPr>
              <w:t>Instantaneous</w:t>
            </w:r>
          </w:p>
        </w:tc>
      </w:tr>
    </w:tbl>
    <w:p w14:paraId="791ECA85" w14:textId="77777777" w:rsidR="007A2FD1" w:rsidRPr="008B2319" w:rsidRDefault="007A2FD1" w:rsidP="00997AC3">
      <w:pPr>
        <w:jc w:val="center"/>
        <w:rPr>
          <w:lang w:val="en-US"/>
        </w:rPr>
      </w:pPr>
    </w:p>
    <w:p w14:paraId="2D4C546B" w14:textId="7A567B5B" w:rsidR="00AC560C" w:rsidRPr="008B2319" w:rsidRDefault="00AC560C" w:rsidP="00AC560C">
      <w:pPr>
        <w:rPr>
          <w:lang w:val="en-US"/>
        </w:rPr>
      </w:pPr>
      <w:r w:rsidRPr="008B2319">
        <w:rPr>
          <w:lang w:val="en-US"/>
        </w:rPr>
        <w:t>All simulations start with a constant load equal to 24A. Follows a progressive linear load reduction to 14A in order to show the PID regulation of the air flow</w:t>
      </w:r>
      <w:r w:rsidRPr="008B2319" w:rsidDel="00935F7A">
        <w:rPr>
          <w:lang w:val="en-US"/>
        </w:rPr>
        <w:t xml:space="preserve"> </w:t>
      </w:r>
      <w:r w:rsidRPr="008B2319">
        <w:rPr>
          <w:lang w:val="en-US"/>
        </w:rPr>
        <w:t xml:space="preserve">(remember that its function is to keep the stack temperature below 850°C). After, Sim A, Sim </w:t>
      </w:r>
      <w:r w:rsidRPr="008B2319">
        <w:rPr>
          <w:noProof/>
          <w:lang w:val="en-US"/>
        </w:rPr>
        <w:t>B</w:t>
      </w:r>
      <w:r w:rsidR="00832878" w:rsidRPr="008B2319">
        <w:rPr>
          <w:noProof/>
          <w:lang w:val="en-US"/>
        </w:rPr>
        <w:t>,</w:t>
      </w:r>
      <w:r w:rsidRPr="008B2319">
        <w:rPr>
          <w:lang w:val="en-US"/>
        </w:rPr>
        <w:t xml:space="preserve"> and Sim C differ in the ramp rate (A/min) to reach the final target of 34A (a current increase of 20A is then simulated).</w:t>
      </w:r>
      <w:r w:rsidR="00FE6B9E" w:rsidRPr="008B2319">
        <w:rPr>
          <w:lang w:val="en-US"/>
        </w:rPr>
        <w:t xml:space="preserve"> Results are shown in </w:t>
      </w:r>
      <w:r w:rsidR="00FE6B9E" w:rsidRPr="008B2319">
        <w:rPr>
          <w:lang w:val="en-US"/>
        </w:rPr>
        <w:fldChar w:fldCharType="begin"/>
      </w:r>
      <w:r w:rsidR="00FE6B9E" w:rsidRPr="008B2319">
        <w:rPr>
          <w:lang w:val="en-US"/>
        </w:rPr>
        <w:instrText xml:space="preserve"> REF _Ref468375889 \h </w:instrText>
      </w:r>
      <w:r w:rsidR="00FE6B9E" w:rsidRPr="008B2319">
        <w:rPr>
          <w:lang w:val="en-US"/>
        </w:rPr>
      </w:r>
      <w:r w:rsidR="00FE6B9E" w:rsidRPr="008B2319">
        <w:rPr>
          <w:lang w:val="en-US"/>
        </w:rPr>
        <w:fldChar w:fldCharType="separate"/>
      </w:r>
      <w:r w:rsidR="00FE6B9E" w:rsidRPr="008B2319">
        <w:t xml:space="preserve">Figure </w:t>
      </w:r>
      <w:r w:rsidR="00FE6B9E" w:rsidRPr="008B2319">
        <w:rPr>
          <w:noProof/>
        </w:rPr>
        <w:t>12</w:t>
      </w:r>
      <w:r w:rsidR="00FE6B9E" w:rsidRPr="008B2319">
        <w:rPr>
          <w:lang w:val="en-US"/>
        </w:rPr>
        <w:fldChar w:fldCharType="end"/>
      </w:r>
      <w:r w:rsidR="00FE6B9E" w:rsidRPr="008B2319">
        <w:rPr>
          <w:lang w:val="en-US"/>
        </w:rPr>
        <w:t>.</w:t>
      </w:r>
    </w:p>
    <w:p w14:paraId="644F4956" w14:textId="77777777" w:rsidR="00AC560C" w:rsidRPr="008B2319" w:rsidRDefault="00AC560C" w:rsidP="00AC560C">
      <w:pPr>
        <w:rPr>
          <w:lang w:val="en-US"/>
        </w:rPr>
      </w:pPr>
      <w:r w:rsidRPr="008B2319">
        <w:rPr>
          <w:lang w:val="en-US"/>
        </w:rPr>
        <w:t>Both in the first (constant load) and in the second (descending ramp) part, the air PID controller manages to maintain the previously established set point (850°C).</w:t>
      </w:r>
    </w:p>
    <w:p w14:paraId="50BD587C" w14:textId="77777777" w:rsidR="00AC560C" w:rsidRPr="008B2319" w:rsidRDefault="00AC560C" w:rsidP="00AC560C">
      <w:pPr>
        <w:rPr>
          <w:lang w:val="en-US"/>
        </w:rPr>
      </w:pPr>
      <w:r w:rsidRPr="008B2319">
        <w:rPr>
          <w:lang w:val="en-US"/>
        </w:rPr>
        <w:t>On the contrary, different dynamics is involved in the subsequent load variation (14 to 34A):</w:t>
      </w:r>
    </w:p>
    <w:p w14:paraId="0AF86AA3" w14:textId="77777777" w:rsidR="00AC560C" w:rsidRPr="008B2319" w:rsidRDefault="00AC560C" w:rsidP="00AC560C">
      <w:pPr>
        <w:pStyle w:val="ListParagraph"/>
        <w:numPr>
          <w:ilvl w:val="0"/>
          <w:numId w:val="21"/>
        </w:numPr>
        <w:rPr>
          <w:lang w:val="en-US"/>
        </w:rPr>
      </w:pPr>
      <w:r w:rsidRPr="008B2319">
        <w:rPr>
          <w:lang w:val="en-US"/>
        </w:rPr>
        <w:t xml:space="preserve">Sim A </w:t>
      </w:r>
      <w:r w:rsidRPr="008B2319">
        <w:rPr>
          <w:rFonts w:ascii="Arial" w:hAnsi="Arial" w:cs="Arial"/>
          <w:lang w:val="en-US"/>
        </w:rPr>
        <w:t>–</w:t>
      </w:r>
      <w:r w:rsidRPr="008B2319">
        <w:rPr>
          <w:lang w:val="en-US"/>
        </w:rPr>
        <w:t xml:space="preserve"> no over-heating problems occur and the current ramp applied is well handled by the PID controller;</w:t>
      </w:r>
    </w:p>
    <w:p w14:paraId="771F9DAB" w14:textId="77777777" w:rsidR="00AC560C" w:rsidRPr="008B2319" w:rsidRDefault="00AC560C" w:rsidP="00AC560C">
      <w:pPr>
        <w:pStyle w:val="ListParagraph"/>
        <w:numPr>
          <w:ilvl w:val="0"/>
          <w:numId w:val="21"/>
        </w:numPr>
        <w:rPr>
          <w:lang w:val="en-US"/>
        </w:rPr>
      </w:pPr>
      <w:r w:rsidRPr="008B2319">
        <w:rPr>
          <w:lang w:val="en-US"/>
        </w:rPr>
        <w:t xml:space="preserve">Sim B </w:t>
      </w:r>
      <w:r w:rsidRPr="008B2319">
        <w:rPr>
          <w:rFonts w:ascii="Arial" w:hAnsi="Arial" w:cs="Arial"/>
          <w:lang w:val="en-US"/>
        </w:rPr>
        <w:t xml:space="preserve">– </w:t>
      </w:r>
      <w:r w:rsidRPr="008B2319">
        <w:rPr>
          <w:lang w:val="en-US"/>
        </w:rPr>
        <w:t xml:space="preserve">the required speed load application leads to a slight </w:t>
      </w:r>
      <w:r w:rsidRPr="008B2319">
        <w:rPr>
          <w:noProof/>
          <w:lang w:val="en-US"/>
        </w:rPr>
        <w:t>overheating</w:t>
      </w:r>
      <w:r w:rsidRPr="008B2319">
        <w:rPr>
          <w:lang w:val="en-US"/>
        </w:rPr>
        <w:t xml:space="preserve"> of the SOFC, reaching the maximum acceptable stack temperature (860°C);</w:t>
      </w:r>
    </w:p>
    <w:p w14:paraId="12F09AA4" w14:textId="77777777" w:rsidR="00AC560C" w:rsidRPr="008B2319" w:rsidRDefault="00AC560C" w:rsidP="00AC560C">
      <w:pPr>
        <w:pStyle w:val="ListParagraph"/>
        <w:numPr>
          <w:ilvl w:val="0"/>
          <w:numId w:val="21"/>
        </w:numPr>
        <w:rPr>
          <w:lang w:val="en-US"/>
        </w:rPr>
      </w:pPr>
      <w:r w:rsidRPr="008B2319">
        <w:rPr>
          <w:lang w:val="en-US"/>
        </w:rPr>
        <w:t xml:space="preserve">Sim C </w:t>
      </w:r>
      <w:r w:rsidRPr="008B2319">
        <w:rPr>
          <w:rFonts w:ascii="Arial" w:hAnsi="Arial" w:cs="Arial"/>
          <w:lang w:val="en-US"/>
        </w:rPr>
        <w:t>–</w:t>
      </w:r>
      <w:r w:rsidRPr="008B2319">
        <w:rPr>
          <w:lang w:val="en-US"/>
        </w:rPr>
        <w:t xml:space="preserve"> the most extreme case (sudden current jumping from 14A to 34A) should be strictly avoided as it leads an overrun of 15°C above the maximum design stack temperature.</w:t>
      </w:r>
    </w:p>
    <w:p w14:paraId="33694040" w14:textId="77777777" w:rsidR="00AC560C" w:rsidRPr="008B2319" w:rsidRDefault="00AC560C" w:rsidP="00AC560C">
      <w:pPr>
        <w:rPr>
          <w:lang w:val="en-US"/>
        </w:rPr>
      </w:pPr>
      <w:r w:rsidRPr="008B2319">
        <w:rPr>
          <w:lang w:val="en-US"/>
        </w:rPr>
        <w:t>Some horizontal lines for Sim B and C are noticeable in the air graph: they represent the upper saturation limit for the PID controller, which corresponds to the maximum airflow rate managed by the air blower.</w:t>
      </w:r>
    </w:p>
    <w:p w14:paraId="67D29357" w14:textId="77777777" w:rsidR="00AC560C" w:rsidRPr="008B2319" w:rsidRDefault="00AC560C" w:rsidP="00AC560C">
      <w:pPr>
        <w:rPr>
          <w:lang w:val="en-US"/>
        </w:rPr>
      </w:pPr>
      <w:r w:rsidRPr="008B2319">
        <w:rPr>
          <w:lang w:val="en-US"/>
        </w:rPr>
        <w:t xml:space="preserve">Please note that about three and a half hours are necessary to bring the stack </w:t>
      </w:r>
      <w:r w:rsidRPr="008B2319">
        <w:rPr>
          <w:noProof/>
          <w:lang w:val="en-US"/>
        </w:rPr>
        <w:t>to</w:t>
      </w:r>
      <w:r w:rsidRPr="008B2319">
        <w:rPr>
          <w:lang w:val="en-US"/>
        </w:rPr>
        <w:t xml:space="preserve"> </w:t>
      </w:r>
      <w:r w:rsidRPr="008B2319">
        <w:rPr>
          <w:noProof/>
          <w:lang w:val="en-US"/>
        </w:rPr>
        <w:t>its</w:t>
      </w:r>
      <w:r w:rsidRPr="008B2319">
        <w:rPr>
          <w:lang w:val="en-US"/>
        </w:rPr>
        <w:t xml:space="preserve"> optimum working condition in the Sim C. This is, however, unacceptable as a hot spot for this time length can lead to a thermo-mechanical degradation of the stack components (especially cells and sealing layers). </w:t>
      </w:r>
    </w:p>
    <w:p w14:paraId="146B645F" w14:textId="77777777" w:rsidR="00AC560C" w:rsidRPr="008B2319" w:rsidRDefault="00AC560C" w:rsidP="00AC560C">
      <w:pPr>
        <w:rPr>
          <w:lang w:val="en-US"/>
        </w:rPr>
      </w:pPr>
      <w:r w:rsidRPr="008B2319">
        <w:rPr>
          <w:lang w:val="en-US"/>
        </w:rPr>
        <w:t>Finally, according to the previous calculation, the maximum applicable load ramp results to be equal to 0.30 A/min, which corresponds approximately to 13W/min in terms of electric power.</w:t>
      </w:r>
    </w:p>
    <w:p w14:paraId="76F65C56" w14:textId="77777777" w:rsidR="004C0FE7" w:rsidRPr="008B2319" w:rsidRDefault="006F730B" w:rsidP="00997AC3">
      <w:pPr>
        <w:jc w:val="center"/>
        <w:rPr>
          <w:lang w:val="en-US"/>
        </w:rPr>
      </w:pPr>
      <w:r w:rsidRPr="008B2319">
        <w:rPr>
          <w:noProof/>
          <w:lang w:val="it-IT" w:eastAsia="it-IT"/>
        </w:rPr>
        <w:lastRenderedPageBreak/>
        <w:drawing>
          <wp:inline distT="0" distB="0" distL="0" distR="0" wp14:anchorId="4F7E939D" wp14:editId="12509792">
            <wp:extent cx="4320000" cy="4554782"/>
            <wp:effectExtent l="0" t="0" r="444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13-tot.png"/>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4320000" cy="4554782"/>
                    </a:xfrm>
                    <a:prstGeom prst="rect">
                      <a:avLst/>
                    </a:prstGeom>
                    <a:ln>
                      <a:noFill/>
                    </a:ln>
                    <a:extLst>
                      <a:ext uri="{53640926-AAD7-44D8-BBD7-CCE9431645EC}">
                        <a14:shadowObscured xmlns:a14="http://schemas.microsoft.com/office/drawing/2010/main"/>
                      </a:ext>
                    </a:extLst>
                  </pic:spPr>
                </pic:pic>
              </a:graphicData>
            </a:graphic>
          </wp:inline>
        </w:drawing>
      </w:r>
    </w:p>
    <w:p w14:paraId="6441488D" w14:textId="77777777" w:rsidR="00B53F43" w:rsidRPr="008B2319" w:rsidRDefault="00B53F43" w:rsidP="00B53F43">
      <w:pPr>
        <w:pStyle w:val="Caption"/>
      </w:pPr>
      <w:bookmarkStart w:id="23" w:name="_Ref468375889"/>
      <w:r w:rsidRPr="008B2319">
        <w:t xml:space="preserve">Figure </w:t>
      </w:r>
      <w:fldSimple w:instr=" SEQ Figure \* ARABIC ">
        <w:r w:rsidR="00AC560C" w:rsidRPr="008B2319">
          <w:rPr>
            <w:noProof/>
          </w:rPr>
          <w:t>12</w:t>
        </w:r>
      </w:fldSimple>
      <w:bookmarkEnd w:id="23"/>
      <w:r w:rsidRPr="008B2319">
        <w:t xml:space="preserve">. Load following simulations – Temperature </w:t>
      </w:r>
      <w:r w:rsidRPr="008B2319">
        <w:rPr>
          <w:noProof/>
        </w:rPr>
        <w:t>vs</w:t>
      </w:r>
      <w:r w:rsidR="00735262" w:rsidRPr="008B2319">
        <w:rPr>
          <w:noProof/>
        </w:rPr>
        <w:t>.</w:t>
      </w:r>
      <w:r w:rsidRPr="008B2319">
        <w:t xml:space="preserve"> Airflow </w:t>
      </w:r>
      <w:r w:rsidRPr="008B2319">
        <w:rPr>
          <w:noProof/>
        </w:rPr>
        <w:t>vs</w:t>
      </w:r>
      <w:r w:rsidR="00735262" w:rsidRPr="008B2319">
        <w:rPr>
          <w:noProof/>
        </w:rPr>
        <w:t>.</w:t>
      </w:r>
      <w:r w:rsidRPr="008B2319">
        <w:t xml:space="preserve"> Current.</w:t>
      </w:r>
    </w:p>
    <w:p w14:paraId="3789260F" w14:textId="77777777" w:rsidR="002267BF" w:rsidRPr="008B2319" w:rsidRDefault="00463475" w:rsidP="002267BF">
      <w:pPr>
        <w:pStyle w:val="Heading2"/>
      </w:pPr>
      <w:bookmarkStart w:id="24" w:name="_Toc444608487"/>
      <w:r w:rsidRPr="008B2319">
        <w:t xml:space="preserve">Malfunction of cathode air blower: </w:t>
      </w:r>
      <w:r w:rsidR="00014D41" w:rsidRPr="008B2319">
        <w:t>reduced</w:t>
      </w:r>
      <w:r w:rsidR="002267BF" w:rsidRPr="008B2319">
        <w:t xml:space="preserve"> air flow at constant load</w:t>
      </w:r>
      <w:bookmarkEnd w:id="24"/>
    </w:p>
    <w:p w14:paraId="2385E950" w14:textId="77777777" w:rsidR="002267BF" w:rsidRPr="008B2319" w:rsidRDefault="002267BF" w:rsidP="00D06A25">
      <w:pPr>
        <w:rPr>
          <w:lang w:val="en-US"/>
        </w:rPr>
      </w:pPr>
      <w:r w:rsidRPr="008B2319">
        <w:rPr>
          <w:lang w:val="en-US"/>
        </w:rPr>
        <w:t xml:space="preserve">The purpose of this simulation is to verify how a malfunctioning of the air blower during the plant operation </w:t>
      </w:r>
      <w:r w:rsidR="00465B91" w:rsidRPr="008B2319">
        <w:rPr>
          <w:lang w:val="en-US"/>
        </w:rPr>
        <w:t>would affect</w:t>
      </w:r>
      <w:r w:rsidRPr="008B2319">
        <w:rPr>
          <w:lang w:val="en-US"/>
        </w:rPr>
        <w:t xml:space="preserve"> the stack behavior.</w:t>
      </w:r>
    </w:p>
    <w:p w14:paraId="63547010" w14:textId="135CF1CE" w:rsidR="002267BF" w:rsidRPr="008B2319" w:rsidRDefault="005B61FD" w:rsidP="00D06A25">
      <w:pPr>
        <w:rPr>
          <w:lang w:val="en-US"/>
        </w:rPr>
      </w:pPr>
      <w:r w:rsidRPr="008B2319">
        <w:rPr>
          <w:lang w:val="en-US"/>
        </w:rPr>
        <w:t xml:space="preserve">The </w:t>
      </w:r>
      <w:r w:rsidR="00014D41" w:rsidRPr="008B2319">
        <w:rPr>
          <w:lang w:val="en-US"/>
        </w:rPr>
        <w:t>simulations are</w:t>
      </w:r>
      <w:r w:rsidRPr="008B2319">
        <w:rPr>
          <w:lang w:val="en-US"/>
        </w:rPr>
        <w:t xml:space="preserve"> </w:t>
      </w:r>
      <w:r w:rsidR="00014D41" w:rsidRPr="008B2319">
        <w:rPr>
          <w:lang w:val="en-US"/>
        </w:rPr>
        <w:t xml:space="preserve">down </w:t>
      </w:r>
      <w:r w:rsidRPr="008B2319">
        <w:rPr>
          <w:lang w:val="en-US"/>
        </w:rPr>
        <w:t>in t</w:t>
      </w:r>
      <w:r w:rsidR="002267BF" w:rsidRPr="008B2319">
        <w:rPr>
          <w:lang w:val="en-US"/>
        </w:rPr>
        <w:t xml:space="preserve">wo </w:t>
      </w:r>
      <w:r w:rsidRPr="008B2319">
        <w:rPr>
          <w:lang w:val="en-US"/>
        </w:rPr>
        <w:t xml:space="preserve">different </w:t>
      </w:r>
      <w:r w:rsidR="00014D41" w:rsidRPr="008B2319">
        <w:rPr>
          <w:lang w:val="en-US"/>
        </w:rPr>
        <w:t xml:space="preserve">load conditions: </w:t>
      </w:r>
      <w:r w:rsidR="00014D41" w:rsidRPr="008B2319">
        <w:rPr>
          <w:noProof/>
          <w:lang w:val="en-US"/>
        </w:rPr>
        <w:t>medium</w:t>
      </w:r>
      <w:r w:rsidR="00832878" w:rsidRPr="008B2319">
        <w:rPr>
          <w:noProof/>
          <w:lang w:val="en-US"/>
        </w:rPr>
        <w:t xml:space="preserve"> </w:t>
      </w:r>
      <w:r w:rsidR="002267BF" w:rsidRPr="008B2319">
        <w:rPr>
          <w:noProof/>
          <w:lang w:val="en-US"/>
        </w:rPr>
        <w:t>lo</w:t>
      </w:r>
      <w:r w:rsidRPr="008B2319">
        <w:rPr>
          <w:noProof/>
          <w:lang w:val="en-US"/>
        </w:rPr>
        <w:t>ad</w:t>
      </w:r>
      <w:r w:rsidRPr="008B2319">
        <w:rPr>
          <w:lang w:val="en-US"/>
        </w:rPr>
        <w:t xml:space="preserve"> (12A) and nominal load (24A). </w:t>
      </w:r>
      <w:r w:rsidR="00014D41" w:rsidRPr="008B2319">
        <w:rPr>
          <w:lang w:val="en-US"/>
        </w:rPr>
        <w:t xml:space="preserve">In </w:t>
      </w:r>
      <w:r w:rsidRPr="008B2319">
        <w:rPr>
          <w:lang w:val="en-US"/>
        </w:rPr>
        <w:t xml:space="preserve">both </w:t>
      </w:r>
      <w:r w:rsidR="00014D41" w:rsidRPr="008B2319">
        <w:rPr>
          <w:lang w:val="en-US"/>
        </w:rPr>
        <w:t xml:space="preserve">cases, the fuel feed is </w:t>
      </w:r>
      <w:r w:rsidRPr="008B2319">
        <w:rPr>
          <w:lang w:val="en-US"/>
        </w:rPr>
        <w:t>H</w:t>
      </w:r>
      <w:r w:rsidRPr="008B2319">
        <w:rPr>
          <w:vertAlign w:val="subscript"/>
          <w:lang w:val="en-US"/>
        </w:rPr>
        <w:t>2</w:t>
      </w:r>
      <w:r w:rsidRPr="008B2319">
        <w:rPr>
          <w:lang w:val="en-US"/>
        </w:rPr>
        <w:t>/N</w:t>
      </w:r>
      <w:r w:rsidRPr="008B2319">
        <w:rPr>
          <w:vertAlign w:val="subscript"/>
          <w:lang w:val="en-US"/>
        </w:rPr>
        <w:t>2</w:t>
      </w:r>
      <w:r w:rsidRPr="008B2319">
        <w:rPr>
          <w:lang w:val="en-US"/>
        </w:rPr>
        <w:t xml:space="preserve"> 40/60</w:t>
      </w:r>
      <w:r w:rsidR="00014D41" w:rsidRPr="008B2319">
        <w:rPr>
          <w:lang w:val="en-US"/>
        </w:rPr>
        <w:t xml:space="preserve"> vol. </w:t>
      </w:r>
      <w:r w:rsidRPr="008B2319">
        <w:rPr>
          <w:noProof/>
          <w:lang w:val="en-US"/>
        </w:rPr>
        <w:t>%</w:t>
      </w:r>
      <w:r w:rsidRPr="008B2319">
        <w:rPr>
          <w:lang w:val="en-US"/>
        </w:rPr>
        <w:t xml:space="preserve"> </w:t>
      </w:r>
      <w:r w:rsidR="00014D41" w:rsidRPr="008B2319">
        <w:rPr>
          <w:lang w:val="en-US"/>
        </w:rPr>
        <w:t xml:space="preserve">and FU is equal to </w:t>
      </w:r>
      <w:r w:rsidRPr="008B2319">
        <w:rPr>
          <w:lang w:val="en-US"/>
        </w:rPr>
        <w:t>75%.</w:t>
      </w:r>
      <w:r w:rsidR="002267BF" w:rsidRPr="008B2319">
        <w:rPr>
          <w:lang w:val="en-US"/>
        </w:rPr>
        <w:t xml:space="preserve"> </w:t>
      </w:r>
      <w:r w:rsidRPr="008B2319">
        <w:rPr>
          <w:lang w:val="en-US"/>
        </w:rPr>
        <w:t>F</w:t>
      </w:r>
      <w:r w:rsidR="002267BF" w:rsidRPr="008B2319">
        <w:rPr>
          <w:lang w:val="en-US"/>
        </w:rPr>
        <w:t>or both conditions, the airflow rate was progressively reduced, from 250 Nl/min to 175 Nl/min.</w:t>
      </w:r>
      <w:r w:rsidR="00FE6B9E" w:rsidRPr="008B2319">
        <w:rPr>
          <w:lang w:val="en-US"/>
        </w:rPr>
        <w:t xml:space="preserve"> </w:t>
      </w:r>
      <w:r w:rsidR="00014D41" w:rsidRPr="008B2319">
        <w:rPr>
          <w:lang w:val="en-US"/>
        </w:rPr>
        <w:t>The simulations r</w:t>
      </w:r>
      <w:r w:rsidR="00FE6B9E" w:rsidRPr="008B2319">
        <w:rPr>
          <w:lang w:val="en-US"/>
        </w:rPr>
        <w:t xml:space="preserve">esults are shown in </w:t>
      </w:r>
      <w:r w:rsidR="00FE6B9E" w:rsidRPr="008B2319">
        <w:rPr>
          <w:lang w:val="en-US"/>
        </w:rPr>
        <w:fldChar w:fldCharType="begin"/>
      </w:r>
      <w:r w:rsidR="00FE6B9E" w:rsidRPr="008B2319">
        <w:rPr>
          <w:lang w:val="en-US"/>
        </w:rPr>
        <w:instrText xml:space="preserve"> REF _Ref468375917 \h </w:instrText>
      </w:r>
      <w:r w:rsidR="00FE6B9E" w:rsidRPr="008B2319">
        <w:rPr>
          <w:lang w:val="en-US"/>
        </w:rPr>
      </w:r>
      <w:r w:rsidR="00FE6B9E" w:rsidRPr="008B2319">
        <w:rPr>
          <w:lang w:val="en-US"/>
        </w:rPr>
        <w:fldChar w:fldCharType="separate"/>
      </w:r>
      <w:r w:rsidR="00FE6B9E" w:rsidRPr="008B2319">
        <w:t xml:space="preserve">Figure </w:t>
      </w:r>
      <w:r w:rsidR="00FE6B9E" w:rsidRPr="008B2319">
        <w:rPr>
          <w:noProof/>
        </w:rPr>
        <w:t>13</w:t>
      </w:r>
      <w:r w:rsidR="00FE6B9E" w:rsidRPr="008B2319">
        <w:rPr>
          <w:lang w:val="en-US"/>
        </w:rPr>
        <w:fldChar w:fldCharType="end"/>
      </w:r>
      <w:r w:rsidR="00FE6B9E" w:rsidRPr="008B2319">
        <w:rPr>
          <w:lang w:val="en-US"/>
        </w:rPr>
        <w:t>.</w:t>
      </w:r>
    </w:p>
    <w:p w14:paraId="395BF306" w14:textId="77777777" w:rsidR="00997AC3" w:rsidRPr="008B2319" w:rsidRDefault="00014D41" w:rsidP="00997AC3">
      <w:pPr>
        <w:rPr>
          <w:lang w:val="en-US"/>
        </w:rPr>
      </w:pPr>
      <w:r w:rsidRPr="008B2319">
        <w:rPr>
          <w:lang w:val="en-US"/>
        </w:rPr>
        <w:t>We observe that</w:t>
      </w:r>
      <w:r w:rsidR="00997AC3" w:rsidRPr="008B2319">
        <w:rPr>
          <w:lang w:val="en-US"/>
        </w:rPr>
        <w:t>:</w:t>
      </w:r>
    </w:p>
    <w:p w14:paraId="17870586" w14:textId="77777777" w:rsidR="00997AC3" w:rsidRPr="008B2319" w:rsidRDefault="00014D41" w:rsidP="00997AC3">
      <w:pPr>
        <w:pStyle w:val="ListParagraph"/>
        <w:numPr>
          <w:ilvl w:val="0"/>
          <w:numId w:val="20"/>
        </w:numPr>
        <w:rPr>
          <w:lang w:val="en-US"/>
        </w:rPr>
      </w:pPr>
      <w:r w:rsidRPr="008B2319">
        <w:rPr>
          <w:lang w:val="en-US"/>
        </w:rPr>
        <w:t>At medium-</w:t>
      </w:r>
      <w:r w:rsidR="00997AC3" w:rsidRPr="008B2319">
        <w:rPr>
          <w:lang w:val="en-US"/>
        </w:rPr>
        <w:t>load</w:t>
      </w:r>
      <w:r w:rsidRPr="008B2319">
        <w:rPr>
          <w:lang w:val="en-US"/>
        </w:rPr>
        <w:t xml:space="preserve"> operation</w:t>
      </w:r>
      <w:r w:rsidR="00997AC3" w:rsidRPr="008B2319">
        <w:rPr>
          <w:lang w:val="en-US"/>
        </w:rPr>
        <w:t xml:space="preserve"> (12A), any </w:t>
      </w:r>
      <w:r w:rsidRPr="008B2319">
        <w:rPr>
          <w:lang w:val="en-US"/>
        </w:rPr>
        <w:t xml:space="preserve">further </w:t>
      </w:r>
      <w:r w:rsidR="00997AC3" w:rsidRPr="008B2319">
        <w:rPr>
          <w:lang w:val="en-US"/>
        </w:rPr>
        <w:t>reduction of the air</w:t>
      </w:r>
      <w:r w:rsidRPr="008B2319">
        <w:rPr>
          <w:lang w:val="en-US"/>
        </w:rPr>
        <w:t xml:space="preserve"> </w:t>
      </w:r>
      <w:r w:rsidR="00997AC3" w:rsidRPr="008B2319">
        <w:rPr>
          <w:lang w:val="en-US"/>
        </w:rPr>
        <w:t>flow</w:t>
      </w:r>
      <w:r w:rsidRPr="008B2319">
        <w:rPr>
          <w:lang w:val="en-US"/>
        </w:rPr>
        <w:t xml:space="preserve"> rate</w:t>
      </w:r>
      <w:r w:rsidR="00997AC3" w:rsidRPr="008B2319">
        <w:rPr>
          <w:lang w:val="en-US"/>
        </w:rPr>
        <w:t xml:space="preserve"> does not lead to </w:t>
      </w:r>
      <w:r w:rsidRPr="008B2319">
        <w:rPr>
          <w:lang w:val="en-US"/>
        </w:rPr>
        <w:t xml:space="preserve">any </w:t>
      </w:r>
      <w:r w:rsidR="00997AC3" w:rsidRPr="008B2319">
        <w:rPr>
          <w:lang w:val="en-US"/>
        </w:rPr>
        <w:t>harmful c</w:t>
      </w:r>
      <w:r w:rsidRPr="008B2319">
        <w:rPr>
          <w:lang w:val="en-US"/>
        </w:rPr>
        <w:t>ondition</w:t>
      </w:r>
      <w:r w:rsidR="00997AC3" w:rsidRPr="008B2319">
        <w:rPr>
          <w:lang w:val="en-US"/>
        </w:rPr>
        <w:t xml:space="preserve"> for the</w:t>
      </w:r>
      <w:r w:rsidRPr="008B2319">
        <w:rPr>
          <w:lang w:val="en-US"/>
        </w:rPr>
        <w:t xml:space="preserve"> fuel</w:t>
      </w:r>
      <w:r w:rsidR="00997AC3" w:rsidRPr="008B2319">
        <w:rPr>
          <w:lang w:val="en-US"/>
        </w:rPr>
        <w:t xml:space="preserve"> cell </w:t>
      </w:r>
      <w:r w:rsidRPr="008B2319">
        <w:rPr>
          <w:lang w:val="en-US"/>
        </w:rPr>
        <w:t>– the stack</w:t>
      </w:r>
      <w:r w:rsidR="00997AC3" w:rsidRPr="008B2319">
        <w:rPr>
          <w:lang w:val="en-US"/>
        </w:rPr>
        <w:t xml:space="preserve"> temperature rise</w:t>
      </w:r>
      <w:r w:rsidRPr="008B2319">
        <w:rPr>
          <w:lang w:val="en-US"/>
        </w:rPr>
        <w:t>s by</w:t>
      </w:r>
      <w:r w:rsidR="00997AC3" w:rsidRPr="008B2319">
        <w:rPr>
          <w:lang w:val="en-US"/>
        </w:rPr>
        <w:t xml:space="preserve"> 10-15°C</w:t>
      </w:r>
      <w:r w:rsidRPr="008B2319">
        <w:rPr>
          <w:lang w:val="en-US"/>
        </w:rPr>
        <w:t xml:space="preserve"> maximum</w:t>
      </w:r>
      <w:r w:rsidR="00997AC3" w:rsidRPr="008B2319">
        <w:rPr>
          <w:lang w:val="en-US"/>
        </w:rPr>
        <w:t xml:space="preserve">. As the temperature increases, internal losses </w:t>
      </w:r>
      <w:r w:rsidRPr="008B2319">
        <w:rPr>
          <w:lang w:val="en-US"/>
        </w:rPr>
        <w:t xml:space="preserve">will </w:t>
      </w:r>
      <w:r w:rsidR="00997AC3" w:rsidRPr="008B2319">
        <w:rPr>
          <w:lang w:val="en-US"/>
        </w:rPr>
        <w:t xml:space="preserve">decrease, leading to a </w:t>
      </w:r>
      <w:r w:rsidR="00997AC3" w:rsidRPr="008B2319">
        <w:rPr>
          <w:noProof/>
          <w:lang w:val="en-US"/>
        </w:rPr>
        <w:t>slight</w:t>
      </w:r>
      <w:r w:rsidR="00735262" w:rsidRPr="008B2319">
        <w:rPr>
          <w:noProof/>
          <w:lang w:val="en-US"/>
        </w:rPr>
        <w:t>ly</w:t>
      </w:r>
      <w:r w:rsidRPr="008B2319">
        <w:rPr>
          <w:lang w:val="en-US"/>
        </w:rPr>
        <w:t xml:space="preserve"> increased</w:t>
      </w:r>
      <w:r w:rsidR="00997AC3" w:rsidRPr="008B2319">
        <w:rPr>
          <w:lang w:val="en-US"/>
        </w:rPr>
        <w:t xml:space="preserve"> </w:t>
      </w:r>
      <w:r w:rsidRPr="008B2319">
        <w:rPr>
          <w:lang w:val="en-US"/>
        </w:rPr>
        <w:t>power output</w:t>
      </w:r>
      <w:r w:rsidR="00997AC3" w:rsidRPr="008B2319">
        <w:rPr>
          <w:lang w:val="en-US"/>
        </w:rPr>
        <w:t xml:space="preserve"> (about 100 W).</w:t>
      </w:r>
      <w:r w:rsidR="00463475" w:rsidRPr="008B2319">
        <w:rPr>
          <w:lang w:val="en-US"/>
        </w:rPr>
        <w:t xml:space="preserve"> </w:t>
      </w:r>
    </w:p>
    <w:p w14:paraId="31EB9F13" w14:textId="77777777" w:rsidR="00014D41" w:rsidRPr="008B2319" w:rsidRDefault="00014D41" w:rsidP="00014D41">
      <w:pPr>
        <w:pStyle w:val="ListParagraph"/>
        <w:numPr>
          <w:ilvl w:val="0"/>
          <w:numId w:val="20"/>
        </w:numPr>
      </w:pPr>
      <w:r w:rsidRPr="008B2319">
        <w:rPr>
          <w:lang w:val="en-US"/>
        </w:rPr>
        <w:t>At high current load</w:t>
      </w:r>
      <w:r w:rsidR="00997AC3" w:rsidRPr="008B2319">
        <w:rPr>
          <w:lang w:val="en-US"/>
        </w:rPr>
        <w:t xml:space="preserve"> (24A), </w:t>
      </w:r>
      <w:r w:rsidRPr="008B2319">
        <w:rPr>
          <w:lang w:val="en-US"/>
        </w:rPr>
        <w:t>a critical stack operating condition might be reached depending on the available stack air flow rate</w:t>
      </w:r>
      <w:r w:rsidR="00997AC3" w:rsidRPr="008B2319">
        <w:rPr>
          <w:lang w:val="en-US"/>
        </w:rPr>
        <w:t xml:space="preserve">. </w:t>
      </w:r>
      <w:r w:rsidRPr="008B2319">
        <w:rPr>
          <w:lang w:val="en-US"/>
        </w:rPr>
        <w:t xml:space="preserve">A </w:t>
      </w:r>
      <w:r w:rsidR="00997AC3" w:rsidRPr="008B2319">
        <w:rPr>
          <w:lang w:val="en-US"/>
        </w:rPr>
        <w:t xml:space="preserve">50 Nl/min </w:t>
      </w:r>
      <w:r w:rsidR="00B3218E" w:rsidRPr="008B2319">
        <w:rPr>
          <w:lang w:val="en-US"/>
        </w:rPr>
        <w:t xml:space="preserve">reduction of </w:t>
      </w:r>
      <w:r w:rsidRPr="008B2319">
        <w:rPr>
          <w:lang w:val="en-US"/>
        </w:rPr>
        <w:t xml:space="preserve">the </w:t>
      </w:r>
      <w:r w:rsidR="00997AC3" w:rsidRPr="008B2319">
        <w:rPr>
          <w:lang w:val="en-US"/>
        </w:rPr>
        <w:t>air</w:t>
      </w:r>
      <w:r w:rsidR="00B3218E" w:rsidRPr="008B2319">
        <w:rPr>
          <w:lang w:val="en-US"/>
        </w:rPr>
        <w:t xml:space="preserve"> </w:t>
      </w:r>
      <w:r w:rsidR="00997AC3" w:rsidRPr="008B2319">
        <w:rPr>
          <w:lang w:val="en-US"/>
        </w:rPr>
        <w:t>flow rate</w:t>
      </w:r>
      <w:r w:rsidRPr="008B2319">
        <w:rPr>
          <w:lang w:val="en-US"/>
        </w:rPr>
        <w:t xml:space="preserve"> results in a stack</w:t>
      </w:r>
      <w:r w:rsidR="00B3218E" w:rsidRPr="008B2319">
        <w:rPr>
          <w:lang w:val="en-US"/>
        </w:rPr>
        <w:t xml:space="preserve"> </w:t>
      </w:r>
      <w:r w:rsidR="00997AC3" w:rsidRPr="008B2319">
        <w:rPr>
          <w:lang w:val="en-US"/>
        </w:rPr>
        <w:t xml:space="preserve">temperature </w:t>
      </w:r>
      <w:r w:rsidRPr="008B2319">
        <w:rPr>
          <w:lang w:val="en-US"/>
        </w:rPr>
        <w:t xml:space="preserve">that </w:t>
      </w:r>
      <w:r w:rsidR="00997AC3" w:rsidRPr="008B2319">
        <w:rPr>
          <w:lang w:val="en-US"/>
        </w:rPr>
        <w:t>exceeds the maximum temperature</w:t>
      </w:r>
      <w:r w:rsidRPr="008B2319">
        <w:rPr>
          <w:lang w:val="en-US"/>
        </w:rPr>
        <w:t xml:space="preserve"> allowed by the manufacturer (860 °C). A further reduction of the air flow rate to 175 Nml/min results </w:t>
      </w:r>
      <w:r w:rsidR="00997AC3" w:rsidRPr="008B2319">
        <w:rPr>
          <w:lang w:val="en-US"/>
        </w:rPr>
        <w:t xml:space="preserve">to </w:t>
      </w:r>
      <w:r w:rsidRPr="008B2319">
        <w:rPr>
          <w:lang w:val="en-US"/>
        </w:rPr>
        <w:t xml:space="preserve">a stack temperature of </w:t>
      </w:r>
      <w:r w:rsidR="00997AC3" w:rsidRPr="008B2319">
        <w:rPr>
          <w:lang w:val="en-US"/>
        </w:rPr>
        <w:t>950°</w:t>
      </w:r>
      <w:r w:rsidRPr="008B2319">
        <w:rPr>
          <w:lang w:val="en-US"/>
        </w:rPr>
        <w:t>, well above the limiting value provided by the manufacturer.</w:t>
      </w:r>
    </w:p>
    <w:p w14:paraId="37427AFD" w14:textId="77777777" w:rsidR="00B53F43" w:rsidRPr="008B2319" w:rsidRDefault="003872B8" w:rsidP="00014D41">
      <w:pPr>
        <w:jc w:val="center"/>
      </w:pPr>
      <w:r w:rsidRPr="008B2319">
        <w:rPr>
          <w:noProof/>
          <w:lang w:val="it-IT" w:eastAsia="it-IT"/>
        </w:rPr>
        <w:lastRenderedPageBreak/>
        <w:drawing>
          <wp:inline distT="0" distB="0" distL="0" distR="0" wp14:anchorId="4A526C74" wp14:editId="449B0949">
            <wp:extent cx="5040000" cy="3909065"/>
            <wp:effectExtent l="0" t="0" r="8255"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16030"/>
                    <a:stretch/>
                  </pic:blipFill>
                  <pic:spPr bwMode="auto">
                    <a:xfrm>
                      <a:off x="0" y="0"/>
                      <a:ext cx="5040000" cy="3909065"/>
                    </a:xfrm>
                    <a:prstGeom prst="rect">
                      <a:avLst/>
                    </a:prstGeom>
                    <a:noFill/>
                    <a:ln>
                      <a:noFill/>
                    </a:ln>
                    <a:extLst>
                      <a:ext uri="{53640926-AAD7-44D8-BBD7-CCE9431645EC}">
                        <a14:shadowObscured xmlns:a14="http://schemas.microsoft.com/office/drawing/2010/main"/>
                      </a:ext>
                    </a:extLst>
                  </pic:spPr>
                </pic:pic>
              </a:graphicData>
            </a:graphic>
          </wp:inline>
        </w:drawing>
      </w:r>
    </w:p>
    <w:p w14:paraId="0C7502A5" w14:textId="1EA57F94" w:rsidR="002267BF" w:rsidRPr="008B2319" w:rsidRDefault="00B53F43" w:rsidP="00B53F43">
      <w:pPr>
        <w:pStyle w:val="Caption"/>
      </w:pPr>
      <w:bookmarkStart w:id="25" w:name="_Ref468375917"/>
      <w:r w:rsidRPr="008B2319">
        <w:t xml:space="preserve">Figure </w:t>
      </w:r>
      <w:fldSimple w:instr=" SEQ Figure \* ARABIC ">
        <w:r w:rsidR="00AC560C" w:rsidRPr="008B2319">
          <w:rPr>
            <w:noProof/>
          </w:rPr>
          <w:t>13</w:t>
        </w:r>
      </w:fldSimple>
      <w:bookmarkEnd w:id="25"/>
      <w:r w:rsidRPr="008B2319">
        <w:t xml:space="preserve">. </w:t>
      </w:r>
      <w:r w:rsidR="00463475" w:rsidRPr="008B2319">
        <w:t>Malfunction</w:t>
      </w:r>
      <w:r w:rsidR="00832878" w:rsidRPr="008B2319">
        <w:t>ing of the cathode air blower (i.e.,</w:t>
      </w:r>
      <w:r w:rsidR="00463475" w:rsidRPr="008B2319">
        <w:t xml:space="preserve"> </w:t>
      </w:r>
      <w:r w:rsidR="00832878" w:rsidRPr="008B2319">
        <w:rPr>
          <w:noProof/>
        </w:rPr>
        <w:t>the available</w:t>
      </w:r>
      <w:r w:rsidR="00463475" w:rsidRPr="008B2319">
        <w:t xml:space="preserve"> air</w:t>
      </w:r>
      <w:r w:rsidR="00B3218E" w:rsidRPr="008B2319">
        <w:t xml:space="preserve"> </w:t>
      </w:r>
      <w:r w:rsidR="00463475" w:rsidRPr="008B2319">
        <w:t>flow</w:t>
      </w:r>
      <w:r w:rsidR="00B3218E" w:rsidRPr="008B2319">
        <w:t xml:space="preserve"> rate</w:t>
      </w:r>
      <w:r w:rsidR="00832878" w:rsidRPr="008B2319">
        <w:t xml:space="preserve"> reduces</w:t>
      </w:r>
      <w:r w:rsidR="00463475" w:rsidRPr="008B2319">
        <w:t xml:space="preserve"> at</w:t>
      </w:r>
      <w:r w:rsidRPr="008B2319">
        <w:t xml:space="preserve"> constant load</w:t>
      </w:r>
      <w:r w:rsidR="00832878" w:rsidRPr="008B2319">
        <w:t>)</w:t>
      </w:r>
      <w:r w:rsidRPr="008B2319">
        <w:t xml:space="preserve"> </w:t>
      </w:r>
    </w:p>
    <w:p w14:paraId="7FF33965" w14:textId="77777777" w:rsidR="00997AC3" w:rsidRPr="008B2319" w:rsidRDefault="00997AC3">
      <w:pPr>
        <w:spacing w:before="0" w:after="160" w:line="259" w:lineRule="auto"/>
        <w:jc w:val="left"/>
        <w:rPr>
          <w:lang w:val="en-US"/>
        </w:rPr>
      </w:pPr>
    </w:p>
    <w:p w14:paraId="30EDE682" w14:textId="77777777" w:rsidR="006E2828" w:rsidRPr="008B2319" w:rsidRDefault="006E2828" w:rsidP="006E2828">
      <w:pPr>
        <w:pStyle w:val="Heading1"/>
        <w:rPr>
          <w:sz w:val="28"/>
          <w:szCs w:val="28"/>
        </w:rPr>
      </w:pPr>
      <w:bookmarkStart w:id="26" w:name="_Toc444608489"/>
      <w:r w:rsidRPr="008B2319">
        <w:rPr>
          <w:sz w:val="28"/>
          <w:szCs w:val="28"/>
        </w:rPr>
        <w:t>Conclusion</w:t>
      </w:r>
      <w:bookmarkEnd w:id="26"/>
    </w:p>
    <w:p w14:paraId="67B4F558" w14:textId="3E599AC1" w:rsidR="004F1D1D" w:rsidRPr="008B2319" w:rsidRDefault="004F1D1D" w:rsidP="004F1D1D">
      <w:pPr>
        <w:rPr>
          <w:lang w:val="en-US"/>
        </w:rPr>
      </w:pPr>
      <w:r w:rsidRPr="008B2319">
        <w:rPr>
          <w:lang w:val="en-US"/>
        </w:rPr>
        <w:t xml:space="preserve">This work presents findings from the SOFCOM </w:t>
      </w:r>
      <w:r w:rsidRPr="008B2319">
        <w:rPr>
          <w:noProof/>
          <w:lang w:val="en-US"/>
        </w:rPr>
        <w:t>project, a</w:t>
      </w:r>
      <w:r w:rsidR="00832878" w:rsidRPr="008B2319">
        <w:rPr>
          <w:noProof/>
          <w:lang w:val="en-US"/>
        </w:rPr>
        <w:t>n</w:t>
      </w:r>
      <w:r w:rsidRPr="008B2319">
        <w:rPr>
          <w:noProof/>
          <w:lang w:val="en-US"/>
        </w:rPr>
        <w:t xml:space="preserve"> EU-funded</w:t>
      </w:r>
      <w:r w:rsidRPr="008B2319">
        <w:rPr>
          <w:lang w:val="en-US"/>
        </w:rPr>
        <w:t xml:space="preserve"> applied research project devoted to </w:t>
      </w:r>
      <w:r w:rsidRPr="008B2319">
        <w:rPr>
          <w:noProof/>
          <w:lang w:val="en-US"/>
        </w:rPr>
        <w:t>demonstrating</w:t>
      </w:r>
      <w:r w:rsidRPr="008B2319">
        <w:rPr>
          <w:lang w:val="en-US"/>
        </w:rPr>
        <w:t xml:space="preserve"> the technical feasibility, efficiency and environmental advantages of CHP plants based on the SOFC technology and fed by different types of locally produced biogenous primary fuels. This work focuses especially on the performance of a biogas-fed SOFC stack. </w:t>
      </w:r>
    </w:p>
    <w:p w14:paraId="24351AFF" w14:textId="77777777" w:rsidR="004F1D1D" w:rsidRPr="008B2319" w:rsidRDefault="004F1D1D" w:rsidP="004F1D1D">
      <w:pPr>
        <w:rPr>
          <w:lang w:val="en-US"/>
        </w:rPr>
      </w:pPr>
      <w:r w:rsidRPr="008B2319">
        <w:rPr>
          <w:lang w:val="en-US"/>
        </w:rPr>
        <w:t>The aim of the paper was to develop a dynamic model of the fuel cell stack in order to predict its behavior under unconventional (or fault) operating conditions which might occur during the power plant lifetime. The research focus has been directed on the design and simulation of a robust control system of the fuel cell stack, which is able to avoid the damaging of the stack (e.g., overheating).</w:t>
      </w:r>
    </w:p>
    <w:p w14:paraId="24595CF0" w14:textId="74F3228C" w:rsidR="004F1D1D" w:rsidRPr="008B2319" w:rsidRDefault="004F1D1D" w:rsidP="004F1D1D">
      <w:pPr>
        <w:rPr>
          <w:lang w:val="en-US"/>
        </w:rPr>
      </w:pPr>
      <w:r w:rsidRPr="008B2319">
        <w:rPr>
          <w:lang w:val="en-US"/>
        </w:rPr>
        <w:t xml:space="preserve">Since the load-response of an SOFC system is strongly influenced by the auxiliaries included in the Balance of Plant – as it was also confirmed by the real operation of the proof-of-concept – a simulation model has been implemented to predict the thermal performances of the fuel cell stack that </w:t>
      </w:r>
      <w:r w:rsidR="00832878" w:rsidRPr="008B2319">
        <w:rPr>
          <w:noProof/>
          <w:lang w:val="en-US"/>
        </w:rPr>
        <w:t>also includes</w:t>
      </w:r>
      <w:r w:rsidRPr="008B2319">
        <w:rPr>
          <w:lang w:val="en-US"/>
        </w:rPr>
        <w:t xml:space="preserve"> the reformer unit and the heat-exchangers. Realistic thermal data (e.g., thermal capacity) for the stack components have been used for the dynamic simulations by relying on information provided by the SOFC stack manufacturer. </w:t>
      </w:r>
    </w:p>
    <w:p w14:paraId="134F34CA" w14:textId="77777777" w:rsidR="004F1D1D" w:rsidRPr="008B2319" w:rsidRDefault="004F1D1D" w:rsidP="004F1D1D">
      <w:pPr>
        <w:rPr>
          <w:lang w:val="en-US"/>
        </w:rPr>
      </w:pPr>
      <w:r w:rsidRPr="008B2319">
        <w:rPr>
          <w:lang w:val="en-US"/>
        </w:rPr>
        <w:t xml:space="preserve">The dynamic model has been validated using both the manufacturer’s available performance data as well as experimental data gathered directly for the operation of the proof-of-concept in a real </w:t>
      </w:r>
      <w:r w:rsidRPr="008B2319">
        <w:rPr>
          <w:noProof/>
          <w:lang w:val="en-US"/>
        </w:rPr>
        <w:t>wastewater</w:t>
      </w:r>
      <w:r w:rsidRPr="008B2319">
        <w:rPr>
          <w:lang w:val="en-US"/>
        </w:rPr>
        <w:t xml:space="preserve"> treatment plant. </w:t>
      </w:r>
    </w:p>
    <w:p w14:paraId="60A8D570" w14:textId="77777777" w:rsidR="004F1D1D" w:rsidRPr="008B2319" w:rsidRDefault="004F1D1D" w:rsidP="004F1D1D">
      <w:pPr>
        <w:rPr>
          <w:lang w:val="en-US"/>
        </w:rPr>
      </w:pPr>
      <w:r w:rsidRPr="008B2319">
        <w:rPr>
          <w:lang w:val="en-US"/>
        </w:rPr>
        <w:lastRenderedPageBreak/>
        <w:t>The validated model has been used to study the plant behavior under harsh operating conditions of the SOFC stack due to the possible malfunctioning of selected components (e.g., a deactivated reformer, an ill-regulated air blower, etc.). The main results show that:</w:t>
      </w:r>
    </w:p>
    <w:p w14:paraId="48112266" w14:textId="77777777" w:rsidR="004F1D1D" w:rsidRPr="008B2319" w:rsidRDefault="004F1D1D" w:rsidP="004F1D1D">
      <w:pPr>
        <w:pStyle w:val="ListParagraph"/>
        <w:numPr>
          <w:ilvl w:val="0"/>
          <w:numId w:val="22"/>
        </w:numPr>
        <w:rPr>
          <w:lang w:val="en-US"/>
        </w:rPr>
      </w:pPr>
      <w:r w:rsidRPr="008B2319">
        <w:rPr>
          <w:lang w:val="en-US"/>
        </w:rPr>
        <w:t>The Direct Internal Reforming (DIR) of biogas fuel in the fuel cell stack has been simulated up to 60% of direct CH</w:t>
      </w:r>
      <w:r w:rsidRPr="008B2319">
        <w:rPr>
          <w:vertAlign w:val="subscript"/>
          <w:lang w:val="en-US"/>
        </w:rPr>
        <w:t>4</w:t>
      </w:r>
      <w:r w:rsidRPr="008B2319">
        <w:rPr>
          <w:lang w:val="en-US"/>
        </w:rPr>
        <w:t xml:space="preserve"> conversion into the fuel cell anode. DIR operation can be seen as an additional means to control the stack thermal behavior: by feeding more biogas directly to the fuel cell, endothermic reforming reactions are promoted which can sink the internal heat generation of the stack thus limiting the risk of stack overheating. Also, by increasing the DIR ratio, a reduced air flow rate to the stack is required. We calculated how, going from 0% to 60% of DIR, the air flow rate is reduced by 14% (Fig. 11). A reduced cathode air flow rate would also entail a lower parasitic loss from the air blower: by assuming an overall pressure drop of 200 </w:t>
      </w:r>
      <w:r w:rsidRPr="008B2319">
        <w:rPr>
          <w:noProof/>
          <w:lang w:val="en-US"/>
        </w:rPr>
        <w:t>mbar</w:t>
      </w:r>
      <w:r w:rsidRPr="008B2319">
        <w:rPr>
          <w:lang w:val="en-US"/>
        </w:rPr>
        <w:t xml:space="preserve"> in the overall SOFC system and an isentropic efficiency of 50%, operation at DIR = 60% would also save about 14% of the electric power supplied to the air blower.</w:t>
      </w:r>
    </w:p>
    <w:p w14:paraId="54616E6E" w14:textId="77777777" w:rsidR="004F1D1D" w:rsidRPr="008B2319" w:rsidRDefault="004F1D1D" w:rsidP="004F1D1D">
      <w:pPr>
        <w:pStyle w:val="ListParagraph"/>
        <w:numPr>
          <w:ilvl w:val="0"/>
          <w:numId w:val="22"/>
        </w:numPr>
        <w:rPr>
          <w:lang w:val="en-US"/>
        </w:rPr>
      </w:pPr>
      <w:r w:rsidRPr="008B2319">
        <w:rPr>
          <w:lang w:val="en-US"/>
        </w:rPr>
        <w:t xml:space="preserve">The cathode air flow rate is efficiently controlled by the PID regulation; the PID controller can well manage the stack temperature set point within the safety limits provided by the manufacturer. However, careful attention should be paid to the applied current load. Especially, it is important to control (limit) the current ramp rate in the case of load-following operation. A dangerous stack </w:t>
      </w:r>
      <w:r w:rsidRPr="008B2319">
        <w:rPr>
          <w:noProof/>
          <w:lang w:val="en-US"/>
        </w:rPr>
        <w:t>overheating</w:t>
      </w:r>
      <w:r w:rsidRPr="008B2319">
        <w:rPr>
          <w:lang w:val="en-US"/>
        </w:rPr>
        <w:t xml:space="preserve"> might occur when a sudden increase of the electric load occurs. Results show that a current ramp-up rate above 0.30 A/min could be the maximum allowed one to avoid a </w:t>
      </w:r>
      <w:r w:rsidRPr="008B2319">
        <w:rPr>
          <w:noProof/>
          <w:lang w:val="en-US"/>
        </w:rPr>
        <w:t>stack</w:t>
      </w:r>
      <w:r w:rsidRPr="008B2319">
        <w:rPr>
          <w:lang w:val="en-US"/>
        </w:rPr>
        <w:t xml:space="preserve"> damage; ramping up the current above this threshold will lead to a too high thermal gradient across the fuel cell. One of the expected consequences of a too high thermal gradient is the cracking of the glass-ceramic sealing, which joins the fuel cell to the interconnect thus providing gas tightness among anode and cathode volumes. A shown by simulations provided in Fig. 12, an instantaneous load-following of the fuel cell of the electric load has been shown as being not feasible since a temperature overshoot of the solid stack structure would occur.  </w:t>
      </w:r>
    </w:p>
    <w:p w14:paraId="38D667D3" w14:textId="37D14F3D" w:rsidR="004F1D1D" w:rsidRPr="008B2319" w:rsidRDefault="004F1D1D" w:rsidP="004F1D1D">
      <w:pPr>
        <w:pStyle w:val="ListParagraph"/>
        <w:numPr>
          <w:ilvl w:val="0"/>
          <w:numId w:val="22"/>
        </w:numPr>
        <w:rPr>
          <w:lang w:val="en-US"/>
        </w:rPr>
      </w:pPr>
      <w:r w:rsidRPr="008B2319">
        <w:rPr>
          <w:lang w:val="en-US"/>
        </w:rPr>
        <w:t xml:space="preserve">A </w:t>
      </w:r>
      <w:r w:rsidR="008A464B" w:rsidRPr="008B2319">
        <w:rPr>
          <w:lang w:val="en-US"/>
        </w:rPr>
        <w:t>malfunctioning</w:t>
      </w:r>
      <w:r w:rsidRPr="008B2319">
        <w:rPr>
          <w:lang w:val="en-US"/>
        </w:rPr>
        <w:t xml:space="preserve"> of the cathode air blower has </w:t>
      </w:r>
      <w:r w:rsidR="00832878" w:rsidRPr="008B2319">
        <w:rPr>
          <w:noProof/>
          <w:lang w:val="en-US"/>
        </w:rPr>
        <w:t>also been</w:t>
      </w:r>
      <w:r w:rsidRPr="008B2319">
        <w:rPr>
          <w:lang w:val="en-US"/>
        </w:rPr>
        <w:t xml:space="preserve"> simulated. When working at high current loads, dangerous situations might occur in the </w:t>
      </w:r>
      <w:r w:rsidRPr="008B2319">
        <w:rPr>
          <w:noProof/>
          <w:lang w:val="en-US"/>
        </w:rPr>
        <w:t>case</w:t>
      </w:r>
      <w:r w:rsidRPr="008B2319">
        <w:rPr>
          <w:lang w:val="en-US"/>
        </w:rPr>
        <w:t xml:space="preserve"> of a sudden and unexpected reduction </w:t>
      </w:r>
      <w:r w:rsidRPr="008B2319">
        <w:rPr>
          <w:noProof/>
          <w:lang w:val="en-US"/>
        </w:rPr>
        <w:t>in</w:t>
      </w:r>
      <w:r w:rsidRPr="008B2319">
        <w:rPr>
          <w:lang w:val="en-US"/>
        </w:rPr>
        <w:t xml:space="preserve"> the cathode air flow rate. At partial-load operation (12 A), a sudden air reduction by 20% would not result in any stack damage since the stack temperature remains quite constant as well as the power output. At high-load operation (24 A), a sharp increase of the stack temperature would occur instead upon a sudden reduction in air flow rate. Simulations (Fig. 13) show a large overshoot of the stack temperature well above the safety limit specified by the manufacturer.</w:t>
      </w:r>
    </w:p>
    <w:p w14:paraId="1459D8C8" w14:textId="423DA459" w:rsidR="004F1D1D" w:rsidRPr="008B2319" w:rsidRDefault="004F1D1D" w:rsidP="004F1D1D">
      <w:pPr>
        <w:rPr>
          <w:lang w:val="en-US"/>
        </w:rPr>
      </w:pPr>
      <w:r w:rsidRPr="008B2319">
        <w:rPr>
          <w:lang w:val="en-US"/>
        </w:rPr>
        <w:t xml:space="preserve">Our findings, which have been calibrated and validated on a commercial stack module, show how critical is the stack thermal management for the stable and durable operation of a fuel cell plant. We have verified again that fast load following is problematic for the real-life operation of an SOFC stack. In addition, the availability of the cathode air flow rate is essential to avoid a stack overheating. </w:t>
      </w:r>
      <w:r w:rsidR="00832878" w:rsidRPr="008B2319">
        <w:rPr>
          <w:noProof/>
          <w:lang w:val="en-US"/>
        </w:rPr>
        <w:t>The i</w:t>
      </w:r>
      <w:r w:rsidRPr="008B2319">
        <w:rPr>
          <w:noProof/>
          <w:lang w:val="en-US"/>
        </w:rPr>
        <w:t>mmediate</w:t>
      </w:r>
      <w:r w:rsidRPr="008B2319">
        <w:rPr>
          <w:lang w:val="en-US"/>
        </w:rPr>
        <w:t xml:space="preserve"> open-circuit condition should </w:t>
      </w:r>
      <w:r w:rsidRPr="008B2319">
        <w:rPr>
          <w:noProof/>
          <w:lang w:val="en-US"/>
        </w:rPr>
        <w:t>be force</w:t>
      </w:r>
      <w:r w:rsidR="00832878" w:rsidRPr="008B2319">
        <w:rPr>
          <w:noProof/>
          <w:lang w:val="en-US"/>
        </w:rPr>
        <w:t>d</w:t>
      </w:r>
      <w:r w:rsidRPr="008B2319">
        <w:rPr>
          <w:lang w:val="en-US"/>
        </w:rPr>
        <w:t xml:space="preserve"> to the system in the case of a sudden reduction of the air flow rate due to a </w:t>
      </w:r>
      <w:r w:rsidRPr="008B2319">
        <w:rPr>
          <w:lang w:val="en-US"/>
        </w:rPr>
        <w:lastRenderedPageBreak/>
        <w:t xml:space="preserve">malfunctioning of the cathode air blower. Finally, direct internal reforming of biogas into the SOFC stack represents an effective means to reduce the parasitic loss of the air blower. </w:t>
      </w:r>
    </w:p>
    <w:p w14:paraId="55DE1CF0" w14:textId="77777777" w:rsidR="004F1D1D" w:rsidRPr="008B2319" w:rsidRDefault="004F1D1D" w:rsidP="004F1D1D">
      <w:r w:rsidRPr="008B2319">
        <w:t>Simulation results provide guidelines for an improved design of the control system of the plant, highlighting the feasible operating region under safe conditions and the means to maximize the overall system efficiency.</w:t>
      </w:r>
    </w:p>
    <w:p w14:paraId="596E5D20" w14:textId="77777777" w:rsidR="0009401B" w:rsidRPr="008B2319" w:rsidRDefault="0009401B" w:rsidP="00E21F78"/>
    <w:p w14:paraId="7B2E43CA" w14:textId="77777777" w:rsidR="00997AC3" w:rsidRPr="008B2319" w:rsidRDefault="00997AC3">
      <w:pPr>
        <w:spacing w:before="0" w:after="160" w:line="259" w:lineRule="auto"/>
        <w:jc w:val="left"/>
        <w:rPr>
          <w:lang w:val="en-US"/>
        </w:rPr>
      </w:pPr>
      <w:r w:rsidRPr="008B2319">
        <w:rPr>
          <w:lang w:val="en-US"/>
        </w:rPr>
        <w:br w:type="page"/>
      </w:r>
    </w:p>
    <w:p w14:paraId="38EB9BE9" w14:textId="77777777" w:rsidR="00231A01" w:rsidRPr="008B2319" w:rsidRDefault="00397BE5" w:rsidP="00397BE5">
      <w:pPr>
        <w:pStyle w:val="Heading1"/>
        <w:rPr>
          <w:sz w:val="28"/>
          <w:szCs w:val="28"/>
        </w:rPr>
      </w:pPr>
      <w:bookmarkStart w:id="27" w:name="_Toc444608490"/>
      <w:r w:rsidRPr="008B2319">
        <w:rPr>
          <w:sz w:val="28"/>
          <w:szCs w:val="28"/>
          <w:lang w:val="en-US"/>
        </w:rPr>
        <w:lastRenderedPageBreak/>
        <w:t>Acknowledgments</w:t>
      </w:r>
      <w:bookmarkEnd w:id="27"/>
      <w:r w:rsidRPr="008B2319">
        <w:rPr>
          <w:sz w:val="28"/>
          <w:szCs w:val="28"/>
          <w:lang w:val="en-US"/>
        </w:rPr>
        <w:tab/>
      </w:r>
    </w:p>
    <w:p w14:paraId="41C9197A" w14:textId="77777777" w:rsidR="00907468" w:rsidRPr="008B2319" w:rsidRDefault="00D53883" w:rsidP="00D53883">
      <w:pPr>
        <w:rPr>
          <w:iCs/>
        </w:rPr>
      </w:pPr>
      <w:r w:rsidRPr="008B2319">
        <w:rPr>
          <w:iCs/>
        </w:rPr>
        <w:t xml:space="preserve">The research leading to these results has received funding from the European Union’s Seventh Framework Program (FP7/2007-2013) for the Fuel Cells and Hydrogen Joint Technology Initiative under grant agreement number 278798 </w:t>
      </w:r>
      <w:r w:rsidRPr="008B2319">
        <w:rPr>
          <w:iCs/>
          <w:noProof/>
        </w:rPr>
        <w:t>‘SOFCOM’.</w:t>
      </w:r>
      <w:r w:rsidRPr="008B2319">
        <w:rPr>
          <w:iCs/>
        </w:rPr>
        <w:t xml:space="preserve"> </w:t>
      </w:r>
    </w:p>
    <w:p w14:paraId="5AE3435F" w14:textId="77777777" w:rsidR="00997AC3" w:rsidRPr="008B2319" w:rsidRDefault="00997AC3">
      <w:pPr>
        <w:spacing w:before="0" w:after="160" w:line="259" w:lineRule="auto"/>
        <w:jc w:val="left"/>
        <w:rPr>
          <w:iCs/>
        </w:rPr>
      </w:pPr>
      <w:r w:rsidRPr="008B2319">
        <w:rPr>
          <w:iCs/>
        </w:rPr>
        <w:br w:type="page"/>
      </w:r>
    </w:p>
    <w:p w14:paraId="5B9C7C7C" w14:textId="77777777" w:rsidR="00B00624" w:rsidRPr="008B2319" w:rsidRDefault="00C935CD" w:rsidP="00C935CD">
      <w:pPr>
        <w:pStyle w:val="Heading1"/>
        <w:rPr>
          <w:sz w:val="28"/>
        </w:rPr>
      </w:pPr>
      <w:bookmarkStart w:id="28" w:name="_Toc444608491"/>
      <w:r w:rsidRPr="008B2319">
        <w:rPr>
          <w:sz w:val="28"/>
        </w:rPr>
        <w:lastRenderedPageBreak/>
        <w:t>Bibliography</w:t>
      </w:r>
      <w:bookmarkEnd w:id="28"/>
    </w:p>
    <w:p w14:paraId="62FF8F5B" w14:textId="568C9B9A" w:rsidR="008A464B" w:rsidRPr="008B2319" w:rsidRDefault="00D9062D"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highlight w:val="yellow"/>
        </w:rPr>
        <w:fldChar w:fldCharType="begin" w:fldLock="1"/>
      </w:r>
      <w:r w:rsidRPr="008B2319">
        <w:rPr>
          <w:rFonts w:cs="Times New Roman"/>
          <w:highlight w:val="yellow"/>
        </w:rPr>
        <w:instrText xml:space="preserve">ADDIN Mendeley Bibliography CSL_BIBLIOGRAPHY </w:instrText>
      </w:r>
      <w:r w:rsidRPr="008B2319">
        <w:rPr>
          <w:rFonts w:cs="Times New Roman"/>
          <w:highlight w:val="yellow"/>
        </w:rPr>
        <w:fldChar w:fldCharType="separate"/>
      </w:r>
      <w:r w:rsidR="008A464B" w:rsidRPr="008B2319">
        <w:rPr>
          <w:rFonts w:cs="Times New Roman"/>
          <w:noProof/>
          <w:szCs w:val="24"/>
        </w:rPr>
        <w:t>[1]</w:t>
      </w:r>
      <w:r w:rsidR="008A464B" w:rsidRPr="008B2319">
        <w:rPr>
          <w:rFonts w:cs="Times New Roman"/>
          <w:noProof/>
          <w:szCs w:val="24"/>
        </w:rPr>
        <w:tab/>
        <w:t>J. Van Herle, Y. Membrez, and O. Bucheli, “Biogas as a fuel source for SOFC co-generators,” vol. 127, no. 2004, pp. 300–312, 2010.</w:t>
      </w:r>
    </w:p>
    <w:p w14:paraId="012B87BB"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w:t>
      </w:r>
      <w:r w:rsidRPr="008B2319">
        <w:rPr>
          <w:rFonts w:cs="Times New Roman"/>
          <w:noProof/>
          <w:szCs w:val="24"/>
        </w:rPr>
        <w:tab/>
        <w:t xml:space="preserve">J. Van herle, F. Maréchal, S. Leuenberger, Y. Membrez, O. Bucheli, and D. Favrat, “Process flow model of solid oxide fuel cell system supplied with sewage biogas,” </w:t>
      </w:r>
      <w:r w:rsidRPr="008B2319">
        <w:rPr>
          <w:rFonts w:cs="Times New Roman"/>
          <w:i/>
          <w:iCs/>
          <w:noProof/>
          <w:szCs w:val="24"/>
        </w:rPr>
        <w:t>J. Power Sources</w:t>
      </w:r>
      <w:r w:rsidRPr="008B2319">
        <w:rPr>
          <w:rFonts w:cs="Times New Roman"/>
          <w:noProof/>
          <w:szCs w:val="24"/>
        </w:rPr>
        <w:t>, vol. 131, no. 1–2, pp. 127–141, 2004.</w:t>
      </w:r>
    </w:p>
    <w:p w14:paraId="7E02B319"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w:t>
      </w:r>
      <w:r w:rsidRPr="008B2319">
        <w:rPr>
          <w:rFonts w:cs="Times New Roman"/>
          <w:noProof/>
          <w:szCs w:val="24"/>
        </w:rPr>
        <w:tab/>
        <w:t xml:space="preserve">G. Venkatesh and R. Abdi, “Economic e environmental analysis of handling biogas from sewage sludge digesters in WWTPs ( wastewater treatment plants ) for energy recovery : Case study of Bekkelaget WWTP in Oslo ( Norway ),” </w:t>
      </w:r>
      <w:r w:rsidRPr="008B2319">
        <w:rPr>
          <w:rFonts w:cs="Times New Roman"/>
          <w:i/>
          <w:iCs/>
          <w:noProof/>
          <w:szCs w:val="24"/>
        </w:rPr>
        <w:t>Energy</w:t>
      </w:r>
      <w:r w:rsidRPr="008B2319">
        <w:rPr>
          <w:rFonts w:cs="Times New Roman"/>
          <w:noProof/>
          <w:szCs w:val="24"/>
        </w:rPr>
        <w:t>, vol. 58, pp. 220–235, 2013.</w:t>
      </w:r>
    </w:p>
    <w:p w14:paraId="489DBFB1"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[4]</w:t>
      </w:r>
      <w:r w:rsidRPr="008B2319">
        <w:rPr>
          <w:rFonts w:cs="Times New Roman"/>
          <w:noProof/>
          <w:szCs w:val="24"/>
        </w:rPr>
        <w:tab/>
        <w:t xml:space="preserve">N. De Arespacochaga, C. Valderrama, C. Peregrina, A. Hornero, L. Bouchy, and J. L. Cortina, “On-site cogeneration with sewage biogas via high-temperature fuel cells : Benchmarking against other options based on industrial-scale data,” </w:t>
      </w:r>
      <w:r w:rsidRPr="008B2319">
        <w:rPr>
          <w:rFonts w:cs="Times New Roman"/>
          <w:i/>
          <w:iCs/>
          <w:noProof/>
          <w:szCs w:val="24"/>
        </w:rPr>
        <w:t>Fuel Process. Technol.</w:t>
      </w:r>
      <w:r w:rsidRPr="008B2319">
        <w:rPr>
          <w:rFonts w:cs="Times New Roman"/>
          <w:noProof/>
          <w:szCs w:val="24"/>
        </w:rPr>
        <w:t>, vol. 138, pp. 654–662, 2015.</w:t>
      </w:r>
    </w:p>
    <w:p w14:paraId="66CFC72F"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[5]</w:t>
      </w:r>
      <w:r w:rsidRPr="008B2319">
        <w:rPr>
          <w:rFonts w:cs="Times New Roman"/>
          <w:noProof/>
          <w:szCs w:val="24"/>
        </w:rPr>
        <w:tab/>
        <w:t xml:space="preserve">E. Achenbach, “Three-dimensional and time-dependent simulation of a planar solid oxide fuel cell stack,” </w:t>
      </w:r>
      <w:r w:rsidRPr="008B2319">
        <w:rPr>
          <w:rFonts w:cs="Times New Roman"/>
          <w:i/>
          <w:iCs/>
          <w:noProof/>
          <w:szCs w:val="24"/>
        </w:rPr>
        <w:t>J. Power Sources</w:t>
      </w:r>
      <w:r w:rsidRPr="008B2319">
        <w:rPr>
          <w:rFonts w:cs="Times New Roman"/>
          <w:noProof/>
          <w:szCs w:val="24"/>
        </w:rPr>
        <w:t>, vol. 49, no. 1–3, pp. 333–348, Apr. 1994.</w:t>
      </w:r>
    </w:p>
    <w:p w14:paraId="4C1946C4"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[6]</w:t>
      </w:r>
      <w:r w:rsidRPr="008B2319">
        <w:rPr>
          <w:rFonts w:cs="Times New Roman"/>
          <w:noProof/>
          <w:szCs w:val="24"/>
        </w:rPr>
        <w:tab/>
        <w:t xml:space="preserve">R. G. Hall, D.J. and Colclaser, “Transient modeling and simulation of a tubular solid oxide fuel cell,” </w:t>
      </w:r>
      <w:r w:rsidRPr="008B2319">
        <w:rPr>
          <w:rFonts w:cs="Times New Roman"/>
          <w:i/>
          <w:iCs/>
          <w:noProof/>
          <w:szCs w:val="24"/>
        </w:rPr>
        <w:t>IEEE Trans. ENERGY Convers.</w:t>
      </w:r>
      <w:r w:rsidRPr="008B2319">
        <w:rPr>
          <w:rFonts w:cs="Times New Roman"/>
          <w:noProof/>
          <w:szCs w:val="24"/>
        </w:rPr>
        <w:t>, vol. 14(3), pp. 749–753, 1999.</w:t>
      </w:r>
    </w:p>
    <w:p w14:paraId="00BCAE3D"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[7]</w:t>
      </w:r>
      <w:r w:rsidRPr="008B2319">
        <w:rPr>
          <w:rFonts w:cs="Times New Roman"/>
          <w:noProof/>
          <w:szCs w:val="24"/>
        </w:rPr>
        <w:tab/>
        <w:t xml:space="preserve">T. Ota, M. Koyama, C. Wen, K. Yamada, and H. Takahashi, “Object-based modeling f SOFC system: dynamic behavior of micro tubolar SOFC,” </w:t>
      </w:r>
      <w:r w:rsidRPr="008B2319">
        <w:rPr>
          <w:rFonts w:cs="Times New Roman"/>
          <w:i/>
          <w:iCs/>
          <w:noProof/>
          <w:szCs w:val="24"/>
        </w:rPr>
        <w:t>J. Power Sources</w:t>
      </w:r>
      <w:r w:rsidRPr="008B2319">
        <w:rPr>
          <w:rFonts w:cs="Times New Roman"/>
          <w:noProof/>
          <w:szCs w:val="24"/>
        </w:rPr>
        <w:t>, vol. 118, pp. 430–439, 2013.</w:t>
      </w:r>
    </w:p>
    <w:p w14:paraId="61751640"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[8]</w:t>
      </w:r>
      <w:r w:rsidRPr="008B2319">
        <w:rPr>
          <w:rFonts w:cs="Times New Roman"/>
          <w:noProof/>
          <w:szCs w:val="24"/>
        </w:rPr>
        <w:tab/>
        <w:t xml:space="preserve">L. Petruzzi, S. Cocchi, and F. Fineschi, “A global thermo-electrochemical model for SOFC system design and engineering,” </w:t>
      </w:r>
      <w:r w:rsidRPr="008B2319">
        <w:rPr>
          <w:rFonts w:cs="Times New Roman"/>
          <w:i/>
          <w:iCs/>
          <w:noProof/>
          <w:szCs w:val="24"/>
        </w:rPr>
        <w:t>J. Power Sources</w:t>
      </w:r>
      <w:r w:rsidRPr="008B2319">
        <w:rPr>
          <w:rFonts w:cs="Times New Roman"/>
          <w:noProof/>
          <w:szCs w:val="24"/>
        </w:rPr>
        <w:t>, vol. 118, pp. 96–107, 2003.</w:t>
      </w:r>
    </w:p>
    <w:p w14:paraId="63E38903"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[9]</w:t>
      </w:r>
      <w:r w:rsidRPr="008B2319">
        <w:rPr>
          <w:rFonts w:cs="Times New Roman"/>
          <w:noProof/>
          <w:szCs w:val="24"/>
        </w:rPr>
        <w:tab/>
        <w:t xml:space="preserve">M. Pfafferodt, P. Heiderbrecht, M. Stelter, and K. Sundmacher, “Model-based prediction of suitable operating range of a SOFC for an Auxiliary,” </w:t>
      </w:r>
      <w:r w:rsidRPr="008B2319">
        <w:rPr>
          <w:rFonts w:cs="Times New Roman"/>
          <w:i/>
          <w:iCs/>
          <w:noProof/>
          <w:szCs w:val="24"/>
        </w:rPr>
        <w:t>J. Power Sources</w:t>
      </w:r>
      <w:r w:rsidRPr="008B2319">
        <w:rPr>
          <w:rFonts w:cs="Times New Roman"/>
          <w:noProof/>
          <w:szCs w:val="24"/>
        </w:rPr>
        <w:t>, vol. 149, pp. 53–62, 2005.</w:t>
      </w:r>
    </w:p>
    <w:p w14:paraId="2B0C35BF"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[10]</w:t>
      </w:r>
      <w:r w:rsidRPr="008B2319">
        <w:rPr>
          <w:rFonts w:cs="Times New Roman"/>
          <w:noProof/>
          <w:szCs w:val="24"/>
        </w:rPr>
        <w:tab/>
        <w:t xml:space="preserve">P. Aguiar, C. Adjiman, and N. Brandon, “Anode-supported intermediate temperature direct internal reforming solid oxide fuel cell,” </w:t>
      </w:r>
      <w:r w:rsidRPr="008B2319">
        <w:rPr>
          <w:rFonts w:cs="Times New Roman"/>
          <w:i/>
          <w:iCs/>
          <w:noProof/>
          <w:szCs w:val="24"/>
        </w:rPr>
        <w:t>J. Power Sources</w:t>
      </w:r>
      <w:r w:rsidRPr="008B2319">
        <w:rPr>
          <w:rFonts w:cs="Times New Roman"/>
          <w:noProof/>
          <w:szCs w:val="24"/>
        </w:rPr>
        <w:t>, vol. 138, pp. 120–136, 2004.</w:t>
      </w:r>
    </w:p>
    <w:p w14:paraId="0E76AB52"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[11]</w:t>
      </w:r>
      <w:r w:rsidRPr="008B2319">
        <w:rPr>
          <w:rFonts w:cs="Times New Roman"/>
          <w:noProof/>
          <w:szCs w:val="24"/>
        </w:rPr>
        <w:tab/>
        <w:t>H. Xi and J. Sun, “Proceedings of ASME International Mechanical Engineering Congress and Exposition,” 2005.</w:t>
      </w:r>
    </w:p>
    <w:p w14:paraId="79970E7A"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[12]</w:t>
      </w:r>
      <w:r w:rsidRPr="008B2319">
        <w:rPr>
          <w:rFonts w:cs="Times New Roman"/>
          <w:noProof/>
          <w:szCs w:val="24"/>
        </w:rPr>
        <w:tab/>
        <w:t xml:space="preserve">R. Bove, P. Lunghi, and N. M. Sammes, “SOFC mathematic model for systems simulations–Part 2: Definition of an analytical model,” </w:t>
      </w:r>
      <w:r w:rsidRPr="008B2319">
        <w:rPr>
          <w:rFonts w:cs="Times New Roman"/>
          <w:i/>
          <w:iCs/>
          <w:noProof/>
          <w:szCs w:val="24"/>
        </w:rPr>
        <w:t>J. Hydrog. Energy</w:t>
      </w:r>
      <w:r w:rsidRPr="008B2319">
        <w:rPr>
          <w:rFonts w:cs="Times New Roman"/>
          <w:noProof/>
          <w:szCs w:val="24"/>
        </w:rPr>
        <w:t>, vol. 30, pp. 189–200, 2005.</w:t>
      </w:r>
    </w:p>
    <w:p w14:paraId="3313462C"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[13]</w:t>
      </w:r>
      <w:r w:rsidRPr="008B2319">
        <w:rPr>
          <w:rFonts w:cs="Times New Roman"/>
          <w:noProof/>
          <w:szCs w:val="24"/>
        </w:rPr>
        <w:tab/>
        <w:t xml:space="preserve">K. P. Recknagle, R. E. Williford, L. A. Chick, and D. R. Rector, “Three-dimensional thermo-fluid electrochemical modeling of planar SOFC stacks,” </w:t>
      </w:r>
      <w:r w:rsidRPr="008B2319">
        <w:rPr>
          <w:rFonts w:cs="Times New Roman"/>
          <w:i/>
          <w:iCs/>
          <w:noProof/>
          <w:szCs w:val="24"/>
        </w:rPr>
        <w:t>J. Power Sources</w:t>
      </w:r>
      <w:r w:rsidRPr="008B2319">
        <w:rPr>
          <w:rFonts w:cs="Times New Roman"/>
          <w:noProof/>
          <w:szCs w:val="24"/>
        </w:rPr>
        <w:t>, vol. 113 (1), pp. 109–114, 2003.</w:t>
      </w:r>
    </w:p>
    <w:p w14:paraId="0577D689"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[14]</w:t>
      </w:r>
      <w:r w:rsidRPr="008B2319">
        <w:rPr>
          <w:rFonts w:cs="Times New Roman"/>
          <w:noProof/>
          <w:szCs w:val="24"/>
        </w:rPr>
        <w:tab/>
        <w:t xml:space="preserve">J. Arriagada, P. Olausson, and A. Selimovic, “Artificial neural network simulator for SOFC performance prediction,” </w:t>
      </w:r>
      <w:r w:rsidRPr="008B2319">
        <w:rPr>
          <w:rFonts w:cs="Times New Roman"/>
          <w:i/>
          <w:iCs/>
          <w:noProof/>
          <w:szCs w:val="24"/>
        </w:rPr>
        <w:t>J. Power Sources</w:t>
      </w:r>
      <w:r w:rsidRPr="008B2319">
        <w:rPr>
          <w:rFonts w:cs="Times New Roman"/>
          <w:noProof/>
          <w:szCs w:val="24"/>
        </w:rPr>
        <w:t>, vol. 112, pp. 54–60, 2002.</w:t>
      </w:r>
    </w:p>
    <w:p w14:paraId="616E035C"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[15]</w:t>
      </w:r>
      <w:r w:rsidRPr="008B2319">
        <w:rPr>
          <w:rFonts w:cs="Times New Roman"/>
          <w:noProof/>
          <w:szCs w:val="24"/>
        </w:rPr>
        <w:tab/>
        <w:t xml:space="preserve">X.-J. Wu, X.-J. Zhu, G.-Y. Cao, and H.-Y. Tu, “Modeling a SOFC stack based on GA-RBF neural networks identification,” </w:t>
      </w:r>
      <w:r w:rsidRPr="008B2319">
        <w:rPr>
          <w:rFonts w:cs="Times New Roman"/>
          <w:i/>
          <w:iCs/>
          <w:noProof/>
          <w:szCs w:val="24"/>
        </w:rPr>
        <w:t>J. Power Sources</w:t>
      </w:r>
      <w:r w:rsidRPr="008B2319">
        <w:rPr>
          <w:rFonts w:cs="Times New Roman"/>
          <w:noProof/>
          <w:szCs w:val="24"/>
        </w:rPr>
        <w:t>, vol. 167 (1), pp. 145–150, 2007.</w:t>
      </w:r>
    </w:p>
    <w:p w14:paraId="5483C619"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[16]</w:t>
      </w:r>
      <w:r w:rsidRPr="008B2319">
        <w:rPr>
          <w:rFonts w:cs="Times New Roman"/>
          <w:noProof/>
          <w:szCs w:val="24"/>
        </w:rPr>
        <w:tab/>
        <w:t xml:space="preserve">P. Nehter, “Two-dimensional transient model of a cascaded micro-tubular solid oxide fuel cell fed with methane,” </w:t>
      </w:r>
      <w:r w:rsidRPr="008B2319">
        <w:rPr>
          <w:rFonts w:cs="Times New Roman"/>
          <w:i/>
          <w:iCs/>
          <w:noProof/>
          <w:szCs w:val="24"/>
        </w:rPr>
        <w:t>J. Power Sources</w:t>
      </w:r>
      <w:r w:rsidRPr="008B2319">
        <w:rPr>
          <w:rFonts w:cs="Times New Roman"/>
          <w:noProof/>
          <w:szCs w:val="24"/>
        </w:rPr>
        <w:t>, vol. 157, no. 1, pp. 325–334, 2006.</w:t>
      </w:r>
    </w:p>
    <w:p w14:paraId="5E539994"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[17]</w:t>
      </w:r>
      <w:r w:rsidRPr="008B2319">
        <w:rPr>
          <w:rFonts w:cs="Times New Roman"/>
          <w:noProof/>
          <w:szCs w:val="24"/>
        </w:rPr>
        <w:tab/>
        <w:t xml:space="preserve">J. Padulles, G. W. Ault, and J. R. McDonald, “An integrated SOFC plant dynamic model for power systems simulation,” </w:t>
      </w:r>
      <w:r w:rsidRPr="008B2319">
        <w:rPr>
          <w:rFonts w:cs="Times New Roman"/>
          <w:i/>
          <w:iCs/>
          <w:noProof/>
          <w:szCs w:val="24"/>
        </w:rPr>
        <w:t>J. Power Sources</w:t>
      </w:r>
      <w:r w:rsidRPr="008B2319">
        <w:rPr>
          <w:rFonts w:cs="Times New Roman"/>
          <w:noProof/>
          <w:szCs w:val="24"/>
        </w:rPr>
        <w:t>, vol. 86 (1-2), pp. 495–500, 2000.</w:t>
      </w:r>
    </w:p>
    <w:p w14:paraId="48379D34"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[18]</w:t>
      </w:r>
      <w:r w:rsidRPr="008B2319">
        <w:rPr>
          <w:rFonts w:cs="Times New Roman"/>
          <w:noProof/>
          <w:szCs w:val="24"/>
        </w:rPr>
        <w:tab/>
        <w:t xml:space="preserve">D. J. Hall and R. G. Colclaser, “Transient modeling and simulation of a tubular solid oxide fuel cell,” </w:t>
      </w:r>
      <w:r w:rsidRPr="008B2319">
        <w:rPr>
          <w:rFonts w:cs="Times New Roman"/>
          <w:i/>
          <w:iCs/>
          <w:noProof/>
          <w:szCs w:val="24"/>
        </w:rPr>
        <w:t>IEEE Trans. ENERGY Convers.</w:t>
      </w:r>
      <w:r w:rsidRPr="008B2319">
        <w:rPr>
          <w:rFonts w:cs="Times New Roman"/>
          <w:noProof/>
          <w:szCs w:val="24"/>
        </w:rPr>
        <w:t>, vol. 14 (3), pp. 749–753, 1999.</w:t>
      </w:r>
    </w:p>
    <w:p w14:paraId="1896B6F3"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[19]</w:t>
      </w:r>
      <w:r w:rsidRPr="008B2319">
        <w:rPr>
          <w:rFonts w:cs="Times New Roman"/>
          <w:noProof/>
          <w:szCs w:val="24"/>
        </w:rPr>
        <w:tab/>
        <w:t xml:space="preserve">Y. Huangfu, F. Gao, A. Abbas-Turki, D. Bouquain, and A. Miraoui, “Transient dynamic and modeling parameter sensitivity analysis of 1D solid oxide fuel cell model,” </w:t>
      </w:r>
      <w:r w:rsidRPr="008B2319">
        <w:rPr>
          <w:rFonts w:cs="Times New Roman"/>
          <w:i/>
          <w:iCs/>
          <w:noProof/>
          <w:szCs w:val="24"/>
        </w:rPr>
        <w:t>Energy Convers. Manag.</w:t>
      </w:r>
      <w:r w:rsidRPr="008B2319">
        <w:rPr>
          <w:rFonts w:cs="Times New Roman"/>
          <w:noProof/>
          <w:szCs w:val="24"/>
        </w:rPr>
        <w:t>, vol. 71, pp. 172–185, 2013.</w:t>
      </w:r>
    </w:p>
    <w:p w14:paraId="68F540B2"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[20]</w:t>
      </w:r>
      <w:r w:rsidRPr="008B2319">
        <w:rPr>
          <w:rFonts w:cs="Times New Roman"/>
          <w:noProof/>
          <w:szCs w:val="24"/>
        </w:rPr>
        <w:tab/>
        <w:t xml:space="preserve">E. Achenbach, “Response of a solid oxide fuel cell to load change,” </w:t>
      </w:r>
      <w:r w:rsidRPr="008B2319">
        <w:rPr>
          <w:rFonts w:cs="Times New Roman"/>
          <w:i/>
          <w:iCs/>
          <w:noProof/>
          <w:szCs w:val="24"/>
        </w:rPr>
        <w:t>J. Power Sources</w:t>
      </w:r>
      <w:r w:rsidRPr="008B2319">
        <w:rPr>
          <w:rFonts w:cs="Times New Roman"/>
          <w:noProof/>
          <w:szCs w:val="24"/>
        </w:rPr>
        <w:t>, vol. 57, pp. 105–109, 1995.</w:t>
      </w:r>
    </w:p>
    <w:p w14:paraId="23BFE440"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[21]</w:t>
      </w:r>
      <w:r w:rsidRPr="008B2319">
        <w:rPr>
          <w:rFonts w:cs="Times New Roman"/>
          <w:noProof/>
          <w:szCs w:val="24"/>
        </w:rPr>
        <w:tab/>
        <w:t xml:space="preserve">C. Aguiar, N. Adjiman, and J. Brandon, “Anode-supported intermediate temperature direct internal reforming solid oxide fuel cell,” </w:t>
      </w:r>
      <w:r w:rsidRPr="008B2319">
        <w:rPr>
          <w:rFonts w:cs="Times New Roman"/>
          <w:i/>
          <w:iCs/>
          <w:noProof/>
          <w:szCs w:val="24"/>
        </w:rPr>
        <w:t>J. Power Sources</w:t>
      </w:r>
      <w:r w:rsidRPr="008B2319">
        <w:rPr>
          <w:rFonts w:cs="Times New Roman"/>
          <w:noProof/>
          <w:szCs w:val="24"/>
        </w:rPr>
        <w:t>, vol. 147, pp. 136–147, 2005.</w:t>
      </w:r>
    </w:p>
    <w:p w14:paraId="13A44132"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[22]</w:t>
      </w:r>
      <w:r w:rsidRPr="008B2319">
        <w:rPr>
          <w:rFonts w:cs="Times New Roman"/>
          <w:noProof/>
          <w:szCs w:val="24"/>
        </w:rPr>
        <w:tab/>
        <w:t xml:space="preserve">L. Barelli, G. Bidini, and A. Ottaviano, “Solid oxide fuel cell modelling : Electrochemical performance and thermal management during load-following operation,” </w:t>
      </w:r>
      <w:r w:rsidRPr="008B2319">
        <w:rPr>
          <w:rFonts w:cs="Times New Roman"/>
          <w:i/>
          <w:iCs/>
          <w:noProof/>
          <w:szCs w:val="24"/>
        </w:rPr>
        <w:t>Energy</w:t>
      </w:r>
      <w:r w:rsidRPr="008B2319">
        <w:rPr>
          <w:rFonts w:cs="Times New Roman"/>
          <w:noProof/>
          <w:szCs w:val="24"/>
        </w:rPr>
        <w:t>, vol. 115, pp. 107–119, 2016.</w:t>
      </w:r>
    </w:p>
    <w:p w14:paraId="1F65DBC1"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lastRenderedPageBreak/>
        <w:t>[23]</w:t>
      </w:r>
      <w:r w:rsidRPr="008B2319">
        <w:rPr>
          <w:rFonts w:cs="Times New Roman"/>
          <w:noProof/>
          <w:szCs w:val="24"/>
        </w:rPr>
        <w:tab/>
        <w:t xml:space="preserve">L. Barelli, G. Bidini, G. Cinti, and A. Ottaviano, “SOFC regulation at constant temperature: Experimental test and data regression study,” </w:t>
      </w:r>
      <w:r w:rsidRPr="008B2319">
        <w:rPr>
          <w:rFonts w:cs="Times New Roman"/>
          <w:i/>
          <w:iCs/>
          <w:noProof/>
          <w:szCs w:val="24"/>
        </w:rPr>
        <w:t>Energy Convers. Manag.</w:t>
      </w:r>
      <w:r w:rsidRPr="008B2319">
        <w:rPr>
          <w:rFonts w:cs="Times New Roman"/>
          <w:noProof/>
          <w:szCs w:val="24"/>
        </w:rPr>
        <w:t>, vol. 117, pp. 289–296, 2016.</w:t>
      </w:r>
    </w:p>
    <w:p w14:paraId="21AC449F"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[24]</w:t>
      </w:r>
      <w:r w:rsidRPr="008B2319">
        <w:rPr>
          <w:rFonts w:cs="Times New Roman"/>
          <w:noProof/>
          <w:szCs w:val="24"/>
        </w:rPr>
        <w:tab/>
        <w:t xml:space="preserve">X. Wu and D. Gao, “Fault tolerance control of SOFC systems based on nonlinear model predictive control,” </w:t>
      </w:r>
      <w:r w:rsidRPr="008B2319">
        <w:rPr>
          <w:rFonts w:cs="Times New Roman"/>
          <w:i/>
          <w:iCs/>
          <w:noProof/>
          <w:szCs w:val="24"/>
        </w:rPr>
        <w:t>Int. J. Hydrogen Energy</w:t>
      </w:r>
      <w:r w:rsidRPr="008B2319">
        <w:rPr>
          <w:rFonts w:cs="Times New Roman"/>
          <w:noProof/>
          <w:szCs w:val="24"/>
        </w:rPr>
        <w:t>, pp. 1–21, 2016.</w:t>
      </w:r>
    </w:p>
    <w:p w14:paraId="68D14281"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[25]</w:t>
      </w:r>
      <w:r w:rsidRPr="008B2319">
        <w:rPr>
          <w:rFonts w:cs="Times New Roman"/>
          <w:noProof/>
          <w:szCs w:val="24"/>
        </w:rPr>
        <w:tab/>
        <w:t xml:space="preserve">M. Fardadi, D. F. McLarty, and F. Jabbari, “Investigation of thermal control for different {SOFC} flow geometries,” </w:t>
      </w:r>
      <w:r w:rsidRPr="008B2319">
        <w:rPr>
          <w:rFonts w:cs="Times New Roman"/>
          <w:i/>
          <w:iCs/>
          <w:noProof/>
          <w:szCs w:val="24"/>
        </w:rPr>
        <w:t>Appl. Energy</w:t>
      </w:r>
      <w:r w:rsidRPr="008B2319">
        <w:rPr>
          <w:rFonts w:cs="Times New Roman"/>
          <w:noProof/>
          <w:szCs w:val="24"/>
        </w:rPr>
        <w:t>, vol. 178, pp. 43–55, 2016.</w:t>
      </w:r>
    </w:p>
    <w:p w14:paraId="3EF1384A"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[26]</w:t>
      </w:r>
      <w:r w:rsidRPr="008B2319">
        <w:rPr>
          <w:rFonts w:cs="Times New Roman"/>
          <w:noProof/>
          <w:szCs w:val="24"/>
        </w:rPr>
        <w:tab/>
        <w:t xml:space="preserve">S. C. Singhal and K. Kendall, </w:t>
      </w:r>
      <w:r w:rsidRPr="008B2319">
        <w:rPr>
          <w:rFonts w:cs="Times New Roman"/>
          <w:i/>
          <w:iCs/>
          <w:noProof/>
          <w:szCs w:val="24"/>
        </w:rPr>
        <w:t>High-temperature solid oxide fuel cells: fundamentals, design, and applicatons</w:t>
      </w:r>
      <w:r w:rsidRPr="008B2319">
        <w:rPr>
          <w:rFonts w:cs="Times New Roman"/>
          <w:noProof/>
          <w:szCs w:val="24"/>
        </w:rPr>
        <w:t>. 2003.</w:t>
      </w:r>
    </w:p>
    <w:p w14:paraId="4709382A"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[27]</w:t>
      </w:r>
      <w:r w:rsidRPr="008B2319">
        <w:rPr>
          <w:rFonts w:cs="Times New Roman"/>
          <w:noProof/>
          <w:szCs w:val="24"/>
        </w:rPr>
        <w:tab/>
        <w:t xml:space="preserve">K. N. Grew and W. K. S. Chiu, “A review of modeling and simulation techniques across the length scales for the solid oxide fuel cell,” </w:t>
      </w:r>
      <w:r w:rsidRPr="008B2319">
        <w:rPr>
          <w:rFonts w:cs="Times New Roman"/>
          <w:i/>
          <w:iCs/>
          <w:noProof/>
          <w:szCs w:val="24"/>
        </w:rPr>
        <w:t>Journal of Power Sources</w:t>
      </w:r>
      <w:r w:rsidRPr="008B2319">
        <w:rPr>
          <w:rFonts w:cs="Times New Roman"/>
          <w:noProof/>
          <w:szCs w:val="24"/>
        </w:rPr>
        <w:t>, vol. 199. pp. 1–13, 2012.</w:t>
      </w:r>
    </w:p>
    <w:p w14:paraId="47BC6F76"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[28]</w:t>
      </w:r>
      <w:r w:rsidRPr="008B2319">
        <w:rPr>
          <w:rFonts w:cs="Times New Roman"/>
          <w:noProof/>
          <w:szCs w:val="24"/>
        </w:rPr>
        <w:tab/>
        <w:t xml:space="preserve">J. M. J. Kupecki, J, Jewulski, “Multi-Level Mathematical Modeling of Solid Oxide Fuel Cells,” </w:t>
      </w:r>
      <w:r w:rsidRPr="008B2319">
        <w:rPr>
          <w:rFonts w:cs="Times New Roman"/>
          <w:i/>
          <w:iCs/>
          <w:noProof/>
          <w:szCs w:val="24"/>
        </w:rPr>
        <w:t>Clean Energy</w:t>
      </w:r>
      <w:r w:rsidRPr="008B2319">
        <w:rPr>
          <w:rFonts w:cs="Times New Roman"/>
          <w:noProof/>
          <w:szCs w:val="24"/>
        </w:rPr>
        <w:t>, 2012.</w:t>
      </w:r>
    </w:p>
    <w:p w14:paraId="230CD14B"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[29]</w:t>
      </w:r>
      <w:r w:rsidRPr="008B2319">
        <w:rPr>
          <w:rFonts w:cs="Times New Roman"/>
          <w:noProof/>
          <w:szCs w:val="24"/>
        </w:rPr>
        <w:tab/>
        <w:t xml:space="preserve">T. Tanaka, Y. Inui, A. Urata, and T. Kanno, “Three dimensional analysis of planar solid oxide fuel cell stack considering radiation,” </w:t>
      </w:r>
      <w:r w:rsidRPr="008B2319">
        <w:rPr>
          <w:rFonts w:cs="Times New Roman"/>
          <w:i/>
          <w:iCs/>
          <w:noProof/>
          <w:szCs w:val="24"/>
        </w:rPr>
        <w:t>Energy Convers. Manag.</w:t>
      </w:r>
      <w:r w:rsidRPr="008B2319">
        <w:rPr>
          <w:rFonts w:cs="Times New Roman"/>
          <w:noProof/>
          <w:szCs w:val="24"/>
        </w:rPr>
        <w:t>, vol. 48, pp. 1491–1498, 2007.</w:t>
      </w:r>
    </w:p>
    <w:p w14:paraId="3DC5F267"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[30]</w:t>
      </w:r>
      <w:r w:rsidRPr="008B2319">
        <w:rPr>
          <w:rFonts w:cs="Times New Roman"/>
          <w:noProof/>
          <w:szCs w:val="24"/>
        </w:rPr>
        <w:tab/>
        <w:t>Http://www.sofcom.eu., “SOFCOM Project, SOFC CCHP with Poly-fuel Operation and Maintenance.” .</w:t>
      </w:r>
    </w:p>
    <w:p w14:paraId="6DF1302F"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[31]</w:t>
      </w:r>
      <w:r w:rsidRPr="008B2319">
        <w:rPr>
          <w:rFonts w:cs="Times New Roman"/>
          <w:noProof/>
          <w:szCs w:val="24"/>
        </w:rPr>
        <w:tab/>
        <w:t xml:space="preserve"> a. Lanzini, T. G. Kreutz, E. Martelli, and M. Santarelli, “Energy and economic performance of novel integrated gasifier fuel cell (IGFC) cycles with carbon capture,” </w:t>
      </w:r>
      <w:r w:rsidRPr="008B2319">
        <w:rPr>
          <w:rFonts w:cs="Times New Roman"/>
          <w:i/>
          <w:iCs/>
          <w:noProof/>
          <w:szCs w:val="24"/>
        </w:rPr>
        <w:t>Int. J. Greenh. Gas Control</w:t>
      </w:r>
      <w:r w:rsidRPr="008B2319">
        <w:rPr>
          <w:rFonts w:cs="Times New Roman"/>
          <w:noProof/>
          <w:szCs w:val="24"/>
        </w:rPr>
        <w:t>, vol. 26, pp. 169–184, Jul. 2014.</w:t>
      </w:r>
    </w:p>
    <w:p w14:paraId="58D261F3"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[32]</w:t>
      </w:r>
      <w:r w:rsidRPr="008B2319">
        <w:rPr>
          <w:rFonts w:cs="Times New Roman"/>
          <w:noProof/>
          <w:szCs w:val="24"/>
        </w:rPr>
        <w:tab/>
        <w:t xml:space="preserve">F. Curletti, M. Gandiglio, A. Lanzini, M. Santarelli, and F. Maréchal, “Large size biogas-fed Solid Oxide Fuel Cell power plants with carbon dioxide management: Technical and economic optimization,” </w:t>
      </w:r>
      <w:r w:rsidRPr="008B2319">
        <w:rPr>
          <w:rFonts w:cs="Times New Roman"/>
          <w:i/>
          <w:iCs/>
          <w:noProof/>
          <w:szCs w:val="24"/>
        </w:rPr>
        <w:t>J. Power Sources</w:t>
      </w:r>
      <w:r w:rsidRPr="008B2319">
        <w:rPr>
          <w:rFonts w:cs="Times New Roman"/>
          <w:noProof/>
          <w:szCs w:val="24"/>
        </w:rPr>
        <w:t>, vol. 294, pp. 669–690, Oct. 2015.</w:t>
      </w:r>
    </w:p>
    <w:p w14:paraId="1A049041"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[33]</w:t>
      </w:r>
      <w:r w:rsidRPr="008B2319">
        <w:rPr>
          <w:rFonts w:cs="Times New Roman"/>
          <w:noProof/>
          <w:szCs w:val="24"/>
        </w:rPr>
        <w:tab/>
        <w:t xml:space="preserve">M. Gandiglio, A. Lanzini, M. Santarelli, and P. Leone, “ASME DC | Journal of Fuel Cell Science and Technology | Design and Balance-of-Plant of a Demonstration Plant With a Solid Oxide Fuel Cell Fed by Biogas From Waste-Water and Exhaust Carbon Recycling for Algae Growth,” </w:t>
      </w:r>
      <w:r w:rsidRPr="008B2319">
        <w:rPr>
          <w:rFonts w:cs="Times New Roman"/>
          <w:i/>
          <w:iCs/>
          <w:noProof/>
          <w:szCs w:val="24"/>
        </w:rPr>
        <w:t>J. Fuel Cell Sci. Technol.</w:t>
      </w:r>
      <w:r w:rsidRPr="008B2319">
        <w:rPr>
          <w:rFonts w:cs="Times New Roman"/>
          <w:noProof/>
          <w:szCs w:val="24"/>
        </w:rPr>
        <w:t>, vol. 11, no. June, p. 31003, 2014.</w:t>
      </w:r>
    </w:p>
    <w:p w14:paraId="3C1ED372"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[34]</w:t>
      </w:r>
      <w:r w:rsidRPr="008B2319">
        <w:rPr>
          <w:rFonts w:cs="Times New Roman"/>
          <w:noProof/>
          <w:szCs w:val="24"/>
        </w:rPr>
        <w:tab/>
        <w:t xml:space="preserve">J. Larminie and A. Dicks, </w:t>
      </w:r>
      <w:r w:rsidRPr="008B2319">
        <w:rPr>
          <w:rFonts w:cs="Times New Roman"/>
          <w:i/>
          <w:iCs/>
          <w:noProof/>
          <w:szCs w:val="24"/>
        </w:rPr>
        <w:t>Fuel Cell Systems Explained</w:t>
      </w:r>
      <w:r w:rsidRPr="008B2319">
        <w:rPr>
          <w:rFonts w:cs="Times New Roman"/>
          <w:noProof/>
          <w:szCs w:val="24"/>
        </w:rPr>
        <w:t>, vol. 93. 2001.</w:t>
      </w:r>
    </w:p>
    <w:p w14:paraId="05A2A159"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[35]</w:t>
      </w:r>
      <w:r w:rsidRPr="008B2319">
        <w:rPr>
          <w:rFonts w:cs="Times New Roman"/>
          <w:noProof/>
          <w:szCs w:val="24"/>
        </w:rPr>
        <w:tab/>
        <w:t xml:space="preserve">F. L. A.F. Massardo, “Internal Reforming Solid Oxide Fuel Cell- Gas Turbine Combined Cycles (IRSOFC-GT): PartA—Cell Model and Cycle Thermodynamic Analysis,” </w:t>
      </w:r>
      <w:r w:rsidRPr="008B2319">
        <w:rPr>
          <w:rFonts w:cs="Times New Roman"/>
          <w:i/>
          <w:iCs/>
          <w:noProof/>
          <w:szCs w:val="24"/>
        </w:rPr>
        <w:t>J. Eng. Gas Turbines Power</w:t>
      </w:r>
      <w:r w:rsidRPr="008B2319">
        <w:rPr>
          <w:rFonts w:cs="Times New Roman"/>
          <w:noProof/>
          <w:szCs w:val="24"/>
        </w:rPr>
        <w:t>, vol. 122/2, 2000.</w:t>
      </w:r>
    </w:p>
    <w:p w14:paraId="4B147A25"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[36]</w:t>
      </w:r>
      <w:r w:rsidRPr="008B2319">
        <w:rPr>
          <w:rFonts w:cs="Times New Roman"/>
          <w:noProof/>
          <w:szCs w:val="24"/>
        </w:rPr>
        <w:tab/>
        <w:t xml:space="preserve">M. Gianotti Pret, D. Ferrero, A. Lanzini, and M. Santarelli, “Thermal design, modeling and validation of a steam-reforming reactor for fuel cell applications,” </w:t>
      </w:r>
      <w:r w:rsidRPr="008B2319">
        <w:rPr>
          <w:rFonts w:cs="Times New Roman"/>
          <w:i/>
          <w:iCs/>
          <w:noProof/>
          <w:szCs w:val="24"/>
        </w:rPr>
        <w:t>Chem. Eng. Res. Des.</w:t>
      </w:r>
      <w:r w:rsidRPr="008B2319">
        <w:rPr>
          <w:rFonts w:cs="Times New Roman"/>
          <w:noProof/>
          <w:szCs w:val="24"/>
        </w:rPr>
        <w:t>, vol. 104, pp. 503–512, Dec. 2015.</w:t>
      </w:r>
    </w:p>
    <w:p w14:paraId="6B9EBABA"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[37]</w:t>
      </w:r>
      <w:r w:rsidRPr="008B2319">
        <w:rPr>
          <w:rFonts w:cs="Times New Roman"/>
          <w:noProof/>
          <w:szCs w:val="24"/>
        </w:rPr>
        <w:tab/>
        <w:t xml:space="preserve">A. Salogni and P. Colonna, “Modeling of solid oxide fuel cells for dynamic simulations of integrated systems,” </w:t>
      </w:r>
      <w:r w:rsidRPr="008B2319">
        <w:rPr>
          <w:rFonts w:cs="Times New Roman"/>
          <w:i/>
          <w:iCs/>
          <w:noProof/>
          <w:szCs w:val="24"/>
        </w:rPr>
        <w:t>Appl. Therm. Eng.</w:t>
      </w:r>
      <w:r w:rsidRPr="008B2319">
        <w:rPr>
          <w:rFonts w:cs="Times New Roman"/>
          <w:noProof/>
          <w:szCs w:val="24"/>
        </w:rPr>
        <w:t>, vol. 30, pp. 464–477, 2010.</w:t>
      </w:r>
    </w:p>
    <w:p w14:paraId="436E50E1"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[38]</w:t>
      </w:r>
      <w:r w:rsidRPr="008B2319">
        <w:rPr>
          <w:rFonts w:cs="Times New Roman"/>
          <w:noProof/>
          <w:szCs w:val="24"/>
        </w:rPr>
        <w:tab/>
        <w:t xml:space="preserve">H. Cao, X. Li, Z. Deng, J. Li, and Y. Qin, “Thermal management oriented steady state analysis and optimization of a kW scale solid oxide fuel cell stand-alone system for maximum system efficiency,” </w:t>
      </w:r>
      <w:r w:rsidRPr="008B2319">
        <w:rPr>
          <w:rFonts w:cs="Times New Roman"/>
          <w:i/>
          <w:iCs/>
          <w:noProof/>
          <w:szCs w:val="24"/>
        </w:rPr>
        <w:t>Int. J. Hydrogen Energy</w:t>
      </w:r>
      <w:r w:rsidRPr="008B2319">
        <w:rPr>
          <w:rFonts w:cs="Times New Roman"/>
          <w:noProof/>
          <w:szCs w:val="24"/>
        </w:rPr>
        <w:t>, vol. 38, no. 28, pp. 12404–12417, 2013.</w:t>
      </w:r>
    </w:p>
    <w:p w14:paraId="7A21A35F"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szCs w:val="24"/>
        </w:rPr>
      </w:pPr>
      <w:r w:rsidRPr="008B2319">
        <w:rPr>
          <w:rFonts w:cs="Times New Roman"/>
          <w:noProof/>
          <w:szCs w:val="24"/>
        </w:rPr>
        <w:t>[39]</w:t>
      </w:r>
      <w:r w:rsidRPr="008B2319">
        <w:rPr>
          <w:rFonts w:cs="Times New Roman"/>
          <w:noProof/>
          <w:szCs w:val="24"/>
        </w:rPr>
        <w:tab/>
        <w:t>T. Vdm, “Crofer22H Material Data Sheet No. 4050,” no. 4050, 2008.</w:t>
      </w:r>
    </w:p>
    <w:p w14:paraId="77857955" w14:textId="77777777" w:rsidR="008A464B" w:rsidRPr="008B2319" w:rsidRDefault="008A464B" w:rsidP="008A464B">
      <w:pPr>
        <w:widowControl w:val="0"/>
        <w:autoSpaceDE w:val="0"/>
        <w:autoSpaceDN w:val="0"/>
        <w:adjustRightInd w:val="0"/>
        <w:spacing w:after="0" w:line="240" w:lineRule="auto"/>
        <w:ind w:left="640" w:hanging="640"/>
        <w:rPr>
          <w:rFonts w:cs="Times New Roman"/>
          <w:noProof/>
        </w:rPr>
      </w:pPr>
      <w:r w:rsidRPr="008B2319">
        <w:rPr>
          <w:rFonts w:cs="Times New Roman"/>
          <w:noProof/>
          <w:szCs w:val="24"/>
        </w:rPr>
        <w:t>[40]</w:t>
      </w:r>
      <w:r w:rsidRPr="008B2319">
        <w:rPr>
          <w:rFonts w:cs="Times New Roman"/>
          <w:noProof/>
          <w:szCs w:val="24"/>
        </w:rPr>
        <w:tab/>
        <w:t>Microtherm, “FREEFLOW-Free pouring granules of high temperature insulation 1000°C.”</w:t>
      </w:r>
    </w:p>
    <w:p w14:paraId="48483607" w14:textId="77777777" w:rsidR="00C935CD" w:rsidRPr="008B2319" w:rsidRDefault="00D9062D" w:rsidP="006E2828">
      <w:pPr>
        <w:autoSpaceDE w:val="0"/>
        <w:autoSpaceDN w:val="0"/>
        <w:adjustRightInd w:val="0"/>
        <w:spacing w:after="0" w:line="240" w:lineRule="auto"/>
      </w:pPr>
      <w:r w:rsidRPr="008B2319">
        <w:rPr>
          <w:rFonts w:cs="Times New Roman"/>
          <w:highlight w:val="yellow"/>
        </w:rPr>
        <w:fldChar w:fldCharType="end"/>
      </w:r>
      <w:bookmarkStart w:id="29" w:name="_GoBack"/>
      <w:bookmarkEnd w:id="29"/>
    </w:p>
    <w:sectPr w:rsidR="00C935CD" w:rsidRPr="008B2319" w:rsidSect="005538F0">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37BE28" w14:textId="77777777" w:rsidR="00825D4F" w:rsidRDefault="00825D4F" w:rsidP="00753680">
      <w:pPr>
        <w:spacing w:before="0" w:after="0" w:line="240" w:lineRule="auto"/>
      </w:pPr>
      <w:r>
        <w:separator/>
      </w:r>
    </w:p>
  </w:endnote>
  <w:endnote w:type="continuationSeparator" w:id="0">
    <w:p w14:paraId="005590F4" w14:textId="77777777" w:rsidR="00825D4F" w:rsidRDefault="00825D4F" w:rsidP="0075368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6353470"/>
      <w:docPartObj>
        <w:docPartGallery w:val="Page Numbers (Bottom of Page)"/>
        <w:docPartUnique/>
      </w:docPartObj>
    </w:sdtPr>
    <w:sdtEndPr/>
    <w:sdtContent>
      <w:p w14:paraId="154D739A" w14:textId="7F6D071C" w:rsidR="00451BE0" w:rsidRDefault="00451BE0">
        <w:pPr>
          <w:pStyle w:val="Footer"/>
          <w:jc w:val="right"/>
        </w:pPr>
        <w:r>
          <w:fldChar w:fldCharType="begin"/>
        </w:r>
        <w:r>
          <w:instrText>PAGE   \* MERGEFORMAT</w:instrText>
        </w:r>
        <w:r>
          <w:fldChar w:fldCharType="separate"/>
        </w:r>
        <w:r w:rsidR="008B2319" w:rsidRPr="008B2319">
          <w:rPr>
            <w:noProof/>
            <w:lang w:val="it-IT"/>
          </w:rPr>
          <w:t>27</w:t>
        </w:r>
        <w:r>
          <w:fldChar w:fldCharType="end"/>
        </w:r>
      </w:p>
    </w:sdtContent>
  </w:sdt>
  <w:p w14:paraId="5758923E" w14:textId="77777777" w:rsidR="00451BE0" w:rsidRDefault="00451B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95B6B1" w14:textId="77777777" w:rsidR="00825D4F" w:rsidRDefault="00825D4F" w:rsidP="00753680">
      <w:pPr>
        <w:spacing w:before="0" w:after="0" w:line="240" w:lineRule="auto"/>
      </w:pPr>
      <w:r>
        <w:separator/>
      </w:r>
    </w:p>
  </w:footnote>
  <w:footnote w:type="continuationSeparator" w:id="0">
    <w:p w14:paraId="67A0222A" w14:textId="77777777" w:rsidR="00825D4F" w:rsidRDefault="00825D4F" w:rsidP="00753680">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54BD7"/>
    <w:multiLevelType w:val="hybridMultilevel"/>
    <w:tmpl w:val="7E10C08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30B5AFD"/>
    <w:multiLevelType w:val="multilevel"/>
    <w:tmpl w:val="769846D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63D1049"/>
    <w:multiLevelType w:val="hybridMultilevel"/>
    <w:tmpl w:val="CBD2AB94"/>
    <w:lvl w:ilvl="0" w:tplc="DECCC606">
      <w:start w:val="1"/>
      <w:numFmt w:val="bullet"/>
      <w:lvlText w:val="-"/>
      <w:lvlJc w:val="left"/>
      <w:pPr>
        <w:ind w:left="720" w:hanging="360"/>
      </w:pPr>
      <w:rPr>
        <w:rFonts w:ascii="Candara" w:eastAsiaTheme="minorHAnsi" w:hAnsi="Candar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B6F45A9"/>
    <w:multiLevelType w:val="hybridMultilevel"/>
    <w:tmpl w:val="3550A9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715C8B"/>
    <w:multiLevelType w:val="hybridMultilevel"/>
    <w:tmpl w:val="F97EF58A"/>
    <w:lvl w:ilvl="0" w:tplc="DECCC606">
      <w:start w:val="1"/>
      <w:numFmt w:val="bullet"/>
      <w:lvlText w:val="-"/>
      <w:lvlJc w:val="left"/>
      <w:pPr>
        <w:ind w:left="720" w:hanging="360"/>
      </w:pPr>
      <w:rPr>
        <w:rFonts w:ascii="Candara" w:eastAsiaTheme="minorHAnsi" w:hAnsi="Candar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8B33E09"/>
    <w:multiLevelType w:val="multilevel"/>
    <w:tmpl w:val="AA0E8B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8C33A1"/>
    <w:multiLevelType w:val="hybridMultilevel"/>
    <w:tmpl w:val="FB88453A"/>
    <w:lvl w:ilvl="0" w:tplc="B77E0BA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8B63CE"/>
    <w:multiLevelType w:val="hybridMultilevel"/>
    <w:tmpl w:val="FB88453A"/>
    <w:lvl w:ilvl="0" w:tplc="B77E0BA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675B85"/>
    <w:multiLevelType w:val="hybridMultilevel"/>
    <w:tmpl w:val="0EB482CA"/>
    <w:lvl w:ilvl="0" w:tplc="296A5276">
      <w:numFmt w:val="bullet"/>
      <w:lvlText w:val="-"/>
      <w:lvlJc w:val="left"/>
      <w:pPr>
        <w:ind w:left="720" w:hanging="360"/>
      </w:pPr>
      <w:rPr>
        <w:rFonts w:ascii="Candara" w:eastAsiaTheme="minorHAnsi" w:hAnsi="Candar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6E149D"/>
    <w:multiLevelType w:val="multilevel"/>
    <w:tmpl w:val="0410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313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2D346AA0"/>
    <w:multiLevelType w:val="multilevel"/>
    <w:tmpl w:val="48E83E1C"/>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2DB47DFF"/>
    <w:multiLevelType w:val="hybridMultilevel"/>
    <w:tmpl w:val="DAE0846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35873F00"/>
    <w:multiLevelType w:val="hybridMultilevel"/>
    <w:tmpl w:val="359E751C"/>
    <w:lvl w:ilvl="0" w:tplc="0809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36C570F4"/>
    <w:multiLevelType w:val="multilevel"/>
    <w:tmpl w:val="48E83E1C"/>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38001B57"/>
    <w:multiLevelType w:val="hybridMultilevel"/>
    <w:tmpl w:val="2BD05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153633"/>
    <w:multiLevelType w:val="multilevel"/>
    <w:tmpl w:val="2EDE769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3E9638F7"/>
    <w:multiLevelType w:val="hybridMultilevel"/>
    <w:tmpl w:val="240EAB50"/>
    <w:lvl w:ilvl="0" w:tplc="DECCC606">
      <w:start w:val="1"/>
      <w:numFmt w:val="bullet"/>
      <w:lvlText w:val="-"/>
      <w:lvlJc w:val="left"/>
      <w:pPr>
        <w:ind w:left="1080" w:hanging="360"/>
      </w:pPr>
      <w:rPr>
        <w:rFonts w:ascii="Candara" w:eastAsiaTheme="minorHAnsi" w:hAnsi="Candara"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3F46114C"/>
    <w:multiLevelType w:val="hybridMultilevel"/>
    <w:tmpl w:val="7AC43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B55627"/>
    <w:multiLevelType w:val="multilevel"/>
    <w:tmpl w:val="A69E9B86"/>
    <w:lvl w:ilvl="0">
      <w:start w:val="4"/>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48E00B1A"/>
    <w:multiLevelType w:val="hybridMultilevel"/>
    <w:tmpl w:val="1CBCB988"/>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15:restartNumberingAfterBreak="0">
    <w:nsid w:val="498E0D30"/>
    <w:multiLevelType w:val="hybridMultilevel"/>
    <w:tmpl w:val="1C9C0D6E"/>
    <w:lvl w:ilvl="0" w:tplc="0410000B">
      <w:start w:val="1"/>
      <w:numFmt w:val="bullet"/>
      <w:lvlText w:val=""/>
      <w:lvlJc w:val="left"/>
      <w:pPr>
        <w:ind w:left="1060" w:hanging="360"/>
      </w:pPr>
      <w:rPr>
        <w:rFonts w:ascii="Wingdings" w:hAnsi="Wingdings"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21" w15:restartNumberingAfterBreak="0">
    <w:nsid w:val="4F397E98"/>
    <w:multiLevelType w:val="hybridMultilevel"/>
    <w:tmpl w:val="C86C5D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F53697B"/>
    <w:multiLevelType w:val="multilevel"/>
    <w:tmpl w:val="CF080F8C"/>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50297D0A"/>
    <w:multiLevelType w:val="hybridMultilevel"/>
    <w:tmpl w:val="675459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1F2683A"/>
    <w:multiLevelType w:val="hybridMultilevel"/>
    <w:tmpl w:val="40D6D160"/>
    <w:lvl w:ilvl="0" w:tplc="6DC205F0">
      <w:start w:val="19"/>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4AA3C5E"/>
    <w:multiLevelType w:val="hybridMultilevel"/>
    <w:tmpl w:val="CD76A952"/>
    <w:lvl w:ilvl="0" w:tplc="DECCC606">
      <w:start w:val="1"/>
      <w:numFmt w:val="bullet"/>
      <w:lvlText w:val="-"/>
      <w:lvlJc w:val="left"/>
      <w:pPr>
        <w:ind w:left="720" w:hanging="360"/>
      </w:pPr>
      <w:rPr>
        <w:rFonts w:ascii="Candara" w:eastAsiaTheme="minorHAnsi" w:hAnsi="Candar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7312EBD"/>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58A03363"/>
    <w:multiLevelType w:val="hybridMultilevel"/>
    <w:tmpl w:val="8BD4E4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DE73A8C"/>
    <w:multiLevelType w:val="hybridMultilevel"/>
    <w:tmpl w:val="B336AF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0E6ED3"/>
    <w:multiLevelType w:val="hybridMultilevel"/>
    <w:tmpl w:val="E25216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18D24BF"/>
    <w:multiLevelType w:val="hybridMultilevel"/>
    <w:tmpl w:val="4704D8A6"/>
    <w:lvl w:ilvl="0" w:tplc="DECCC606">
      <w:start w:val="1"/>
      <w:numFmt w:val="bullet"/>
      <w:lvlText w:val="-"/>
      <w:lvlJc w:val="left"/>
      <w:pPr>
        <w:ind w:left="720" w:hanging="360"/>
      </w:pPr>
      <w:rPr>
        <w:rFonts w:ascii="Candara" w:eastAsiaTheme="minorHAnsi" w:hAnsi="Candar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0059F1"/>
    <w:multiLevelType w:val="hybridMultilevel"/>
    <w:tmpl w:val="97AC387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64683355"/>
    <w:multiLevelType w:val="hybridMultilevel"/>
    <w:tmpl w:val="1B8AE3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695242EA"/>
    <w:multiLevelType w:val="hybridMultilevel"/>
    <w:tmpl w:val="38CE81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9AE7C30"/>
    <w:multiLevelType w:val="multilevel"/>
    <w:tmpl w:val="48E83E1C"/>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6DB03F52"/>
    <w:multiLevelType w:val="hybridMultilevel"/>
    <w:tmpl w:val="BE3A2E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F0738EB"/>
    <w:multiLevelType w:val="hybridMultilevel"/>
    <w:tmpl w:val="9F4E04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14C4CAB"/>
    <w:multiLevelType w:val="multilevel"/>
    <w:tmpl w:val="A3A2122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73EA189A"/>
    <w:multiLevelType w:val="hybridMultilevel"/>
    <w:tmpl w:val="7A94E0D8"/>
    <w:lvl w:ilvl="0" w:tplc="0FCAF938">
      <w:numFmt w:val="bullet"/>
      <w:lvlText w:val="-"/>
      <w:lvlJc w:val="left"/>
      <w:pPr>
        <w:ind w:left="720" w:hanging="360"/>
      </w:pPr>
      <w:rPr>
        <w:rFonts w:ascii="Cambria Math" w:eastAsiaTheme="minorHAnsi" w:hAnsi="Cambria Math" w:cs="Cambria Math"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BC00BB"/>
    <w:multiLevelType w:val="hybridMultilevel"/>
    <w:tmpl w:val="5E322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480749"/>
    <w:multiLevelType w:val="hybridMultilevel"/>
    <w:tmpl w:val="6BAC234C"/>
    <w:lvl w:ilvl="0" w:tplc="DECCC606">
      <w:start w:val="1"/>
      <w:numFmt w:val="bullet"/>
      <w:lvlText w:val="-"/>
      <w:lvlJc w:val="left"/>
      <w:pPr>
        <w:ind w:left="720" w:hanging="360"/>
      </w:pPr>
      <w:rPr>
        <w:rFonts w:ascii="Candara" w:eastAsiaTheme="minorHAnsi" w:hAnsi="Candar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B1102A7"/>
    <w:multiLevelType w:val="hybridMultilevel"/>
    <w:tmpl w:val="C3C26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7"/>
  </w:num>
  <w:num w:numId="3">
    <w:abstractNumId w:val="11"/>
  </w:num>
  <w:num w:numId="4">
    <w:abstractNumId w:val="22"/>
  </w:num>
  <w:num w:numId="5">
    <w:abstractNumId w:val="18"/>
  </w:num>
  <w:num w:numId="6">
    <w:abstractNumId w:val="5"/>
  </w:num>
  <w:num w:numId="7">
    <w:abstractNumId w:val="1"/>
  </w:num>
  <w:num w:numId="8">
    <w:abstractNumId w:val="8"/>
  </w:num>
  <w:num w:numId="9">
    <w:abstractNumId w:val="38"/>
  </w:num>
  <w:num w:numId="10">
    <w:abstractNumId w:val="23"/>
  </w:num>
  <w:num w:numId="11">
    <w:abstractNumId w:val="33"/>
  </w:num>
  <w:num w:numId="12">
    <w:abstractNumId w:val="14"/>
  </w:num>
  <w:num w:numId="13">
    <w:abstractNumId w:val="15"/>
  </w:num>
  <w:num w:numId="14">
    <w:abstractNumId w:val="37"/>
  </w:num>
  <w:num w:numId="15">
    <w:abstractNumId w:val="26"/>
  </w:num>
  <w:num w:numId="16">
    <w:abstractNumId w:val="27"/>
  </w:num>
  <w:num w:numId="17">
    <w:abstractNumId w:val="30"/>
  </w:num>
  <w:num w:numId="18">
    <w:abstractNumId w:val="28"/>
  </w:num>
  <w:num w:numId="19">
    <w:abstractNumId w:val="20"/>
  </w:num>
  <w:num w:numId="20">
    <w:abstractNumId w:val="34"/>
  </w:num>
  <w:num w:numId="21">
    <w:abstractNumId w:val="10"/>
  </w:num>
  <w:num w:numId="22">
    <w:abstractNumId w:val="13"/>
  </w:num>
  <w:num w:numId="23">
    <w:abstractNumId w:val="41"/>
  </w:num>
  <w:num w:numId="24">
    <w:abstractNumId w:val="39"/>
  </w:num>
  <w:num w:numId="25">
    <w:abstractNumId w:val="17"/>
  </w:num>
  <w:num w:numId="26">
    <w:abstractNumId w:val="6"/>
  </w:num>
  <w:num w:numId="27">
    <w:abstractNumId w:val="9"/>
  </w:num>
  <w:num w:numId="28">
    <w:abstractNumId w:val="35"/>
  </w:num>
  <w:num w:numId="29">
    <w:abstractNumId w:val="31"/>
  </w:num>
  <w:num w:numId="30">
    <w:abstractNumId w:val="3"/>
  </w:num>
  <w:num w:numId="31">
    <w:abstractNumId w:val="29"/>
  </w:num>
  <w:num w:numId="32">
    <w:abstractNumId w:val="21"/>
  </w:num>
  <w:num w:numId="33">
    <w:abstractNumId w:val="19"/>
  </w:num>
  <w:num w:numId="34">
    <w:abstractNumId w:val="0"/>
  </w:num>
  <w:num w:numId="35">
    <w:abstractNumId w:val="12"/>
  </w:num>
  <w:num w:numId="36">
    <w:abstractNumId w:val="9"/>
  </w:num>
  <w:num w:numId="37">
    <w:abstractNumId w:val="24"/>
  </w:num>
  <w:num w:numId="38">
    <w:abstractNumId w:val="40"/>
  </w:num>
  <w:num w:numId="39">
    <w:abstractNumId w:val="4"/>
  </w:num>
  <w:num w:numId="40">
    <w:abstractNumId w:val="2"/>
  </w:num>
  <w:num w:numId="41">
    <w:abstractNumId w:val="16"/>
  </w:num>
  <w:num w:numId="42">
    <w:abstractNumId w:val="25"/>
  </w:num>
  <w:num w:numId="4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it-IT" w:vendorID="64" w:dllVersion="131078" w:nlCheck="1" w:checkStyle="0"/>
  <w:activeWritingStyle w:appName="MSWord" w:lang="en-US" w:vendorID="64" w:dllVersion="131078" w:nlCheck="1" w:checkStyle="0"/>
  <w:activeWritingStyle w:appName="MSWord" w:lang="en-GB" w:vendorID="64" w:dllVersion="131078" w:nlCheck="1" w:checkStyle="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DcxN7M0NDUzMTAwMbJU0lEKTi0uzszPAykwNKwFAHPvMfQtAAAA"/>
  </w:docVars>
  <w:rsids>
    <w:rsidRoot w:val="00C402BE"/>
    <w:rsid w:val="00005317"/>
    <w:rsid w:val="00014D41"/>
    <w:rsid w:val="0001753C"/>
    <w:rsid w:val="00027251"/>
    <w:rsid w:val="0004637B"/>
    <w:rsid w:val="00054E2F"/>
    <w:rsid w:val="00067425"/>
    <w:rsid w:val="00070D38"/>
    <w:rsid w:val="0007251F"/>
    <w:rsid w:val="00077B16"/>
    <w:rsid w:val="00080E1B"/>
    <w:rsid w:val="00091518"/>
    <w:rsid w:val="00091D0D"/>
    <w:rsid w:val="00092BEF"/>
    <w:rsid w:val="0009401B"/>
    <w:rsid w:val="00094ACE"/>
    <w:rsid w:val="000B0D46"/>
    <w:rsid w:val="000B19DF"/>
    <w:rsid w:val="000B4E80"/>
    <w:rsid w:val="000C3675"/>
    <w:rsid w:val="000D21AC"/>
    <w:rsid w:val="000F282B"/>
    <w:rsid w:val="0010059A"/>
    <w:rsid w:val="00102266"/>
    <w:rsid w:val="00120123"/>
    <w:rsid w:val="00123B9F"/>
    <w:rsid w:val="00124DE6"/>
    <w:rsid w:val="00163B69"/>
    <w:rsid w:val="00163FE2"/>
    <w:rsid w:val="00165920"/>
    <w:rsid w:val="00167E77"/>
    <w:rsid w:val="0018357B"/>
    <w:rsid w:val="001B070B"/>
    <w:rsid w:val="001B3270"/>
    <w:rsid w:val="001B3477"/>
    <w:rsid w:val="001C6D37"/>
    <w:rsid w:val="001D4188"/>
    <w:rsid w:val="001E1CA5"/>
    <w:rsid w:val="001F163E"/>
    <w:rsid w:val="001F677C"/>
    <w:rsid w:val="002119C8"/>
    <w:rsid w:val="00217ED5"/>
    <w:rsid w:val="00222BD9"/>
    <w:rsid w:val="002267BF"/>
    <w:rsid w:val="0022759D"/>
    <w:rsid w:val="00231A01"/>
    <w:rsid w:val="00242BC6"/>
    <w:rsid w:val="00264A4E"/>
    <w:rsid w:val="002754BD"/>
    <w:rsid w:val="00285368"/>
    <w:rsid w:val="002857CC"/>
    <w:rsid w:val="0028675F"/>
    <w:rsid w:val="002A297B"/>
    <w:rsid w:val="002A4395"/>
    <w:rsid w:val="002A4BE7"/>
    <w:rsid w:val="002B118D"/>
    <w:rsid w:val="002C37DE"/>
    <w:rsid w:val="002D470A"/>
    <w:rsid w:val="002D4A4F"/>
    <w:rsid w:val="002D6587"/>
    <w:rsid w:val="002E0064"/>
    <w:rsid w:val="002F59CE"/>
    <w:rsid w:val="002F5E54"/>
    <w:rsid w:val="002F74B5"/>
    <w:rsid w:val="0030553D"/>
    <w:rsid w:val="00306911"/>
    <w:rsid w:val="003151E5"/>
    <w:rsid w:val="00321209"/>
    <w:rsid w:val="00333AC6"/>
    <w:rsid w:val="00340D7A"/>
    <w:rsid w:val="003528ED"/>
    <w:rsid w:val="00353863"/>
    <w:rsid w:val="00370B7D"/>
    <w:rsid w:val="00370D63"/>
    <w:rsid w:val="003765D4"/>
    <w:rsid w:val="00380644"/>
    <w:rsid w:val="00384D0C"/>
    <w:rsid w:val="003872B8"/>
    <w:rsid w:val="0039164D"/>
    <w:rsid w:val="003938C3"/>
    <w:rsid w:val="00393BA4"/>
    <w:rsid w:val="00394586"/>
    <w:rsid w:val="00397BE5"/>
    <w:rsid w:val="003A7D64"/>
    <w:rsid w:val="003B2A4D"/>
    <w:rsid w:val="003C229A"/>
    <w:rsid w:val="003C3397"/>
    <w:rsid w:val="003C3FED"/>
    <w:rsid w:val="003D30DC"/>
    <w:rsid w:val="003D4F68"/>
    <w:rsid w:val="003F33D1"/>
    <w:rsid w:val="00404528"/>
    <w:rsid w:val="004359A5"/>
    <w:rsid w:val="00444065"/>
    <w:rsid w:val="00451BE0"/>
    <w:rsid w:val="00453681"/>
    <w:rsid w:val="004577B4"/>
    <w:rsid w:val="004631E7"/>
    <w:rsid w:val="00463475"/>
    <w:rsid w:val="00465B91"/>
    <w:rsid w:val="00484780"/>
    <w:rsid w:val="00485CEF"/>
    <w:rsid w:val="00491DE2"/>
    <w:rsid w:val="004A06F5"/>
    <w:rsid w:val="004A14FF"/>
    <w:rsid w:val="004A4C61"/>
    <w:rsid w:val="004B6308"/>
    <w:rsid w:val="004C0FE7"/>
    <w:rsid w:val="004C2D22"/>
    <w:rsid w:val="004D554D"/>
    <w:rsid w:val="004E2AE2"/>
    <w:rsid w:val="004F1D1D"/>
    <w:rsid w:val="004F2EA9"/>
    <w:rsid w:val="004F4308"/>
    <w:rsid w:val="00515B12"/>
    <w:rsid w:val="005168D2"/>
    <w:rsid w:val="00522B9A"/>
    <w:rsid w:val="00531AA5"/>
    <w:rsid w:val="00535B49"/>
    <w:rsid w:val="00541A9A"/>
    <w:rsid w:val="005538F0"/>
    <w:rsid w:val="005563AD"/>
    <w:rsid w:val="00571F30"/>
    <w:rsid w:val="00582AD5"/>
    <w:rsid w:val="005911E6"/>
    <w:rsid w:val="005A4C9E"/>
    <w:rsid w:val="005B07AE"/>
    <w:rsid w:val="005B3CE3"/>
    <w:rsid w:val="005B61FD"/>
    <w:rsid w:val="005C09B0"/>
    <w:rsid w:val="005D0732"/>
    <w:rsid w:val="005D1209"/>
    <w:rsid w:val="005D7509"/>
    <w:rsid w:val="005E2AFD"/>
    <w:rsid w:val="005E744D"/>
    <w:rsid w:val="005E77D6"/>
    <w:rsid w:val="0061069F"/>
    <w:rsid w:val="0061234A"/>
    <w:rsid w:val="006135C6"/>
    <w:rsid w:val="00615429"/>
    <w:rsid w:val="0062154B"/>
    <w:rsid w:val="006342E8"/>
    <w:rsid w:val="00640366"/>
    <w:rsid w:val="00642311"/>
    <w:rsid w:val="006454AF"/>
    <w:rsid w:val="006526EF"/>
    <w:rsid w:val="00652D09"/>
    <w:rsid w:val="0065464D"/>
    <w:rsid w:val="00657BF1"/>
    <w:rsid w:val="00663210"/>
    <w:rsid w:val="006676BB"/>
    <w:rsid w:val="00674EF2"/>
    <w:rsid w:val="0068439F"/>
    <w:rsid w:val="006968DA"/>
    <w:rsid w:val="006975C5"/>
    <w:rsid w:val="006B05B5"/>
    <w:rsid w:val="006B27C6"/>
    <w:rsid w:val="006B3657"/>
    <w:rsid w:val="006B4722"/>
    <w:rsid w:val="006B6EBE"/>
    <w:rsid w:val="006B7FA5"/>
    <w:rsid w:val="006C270B"/>
    <w:rsid w:val="006C3BF1"/>
    <w:rsid w:val="006C7BED"/>
    <w:rsid w:val="006E0EBC"/>
    <w:rsid w:val="006E2828"/>
    <w:rsid w:val="006E6138"/>
    <w:rsid w:val="006F730B"/>
    <w:rsid w:val="007020C5"/>
    <w:rsid w:val="007062D8"/>
    <w:rsid w:val="00713D86"/>
    <w:rsid w:val="00724540"/>
    <w:rsid w:val="00726090"/>
    <w:rsid w:val="00735262"/>
    <w:rsid w:val="00751B5D"/>
    <w:rsid w:val="00751DEC"/>
    <w:rsid w:val="00753680"/>
    <w:rsid w:val="00756D00"/>
    <w:rsid w:val="0076099D"/>
    <w:rsid w:val="00761C58"/>
    <w:rsid w:val="00776A94"/>
    <w:rsid w:val="00785954"/>
    <w:rsid w:val="0079532C"/>
    <w:rsid w:val="007A2FD1"/>
    <w:rsid w:val="007A528A"/>
    <w:rsid w:val="007D4C6B"/>
    <w:rsid w:val="007D511B"/>
    <w:rsid w:val="007D6C37"/>
    <w:rsid w:val="007D70EE"/>
    <w:rsid w:val="007D7BD3"/>
    <w:rsid w:val="00824DFF"/>
    <w:rsid w:val="00825D4F"/>
    <w:rsid w:val="00832878"/>
    <w:rsid w:val="008400CF"/>
    <w:rsid w:val="00840D89"/>
    <w:rsid w:val="008526EC"/>
    <w:rsid w:val="008626FF"/>
    <w:rsid w:val="0087171B"/>
    <w:rsid w:val="008863FE"/>
    <w:rsid w:val="00890C07"/>
    <w:rsid w:val="0089558A"/>
    <w:rsid w:val="008A0FC2"/>
    <w:rsid w:val="008A464B"/>
    <w:rsid w:val="008A4B05"/>
    <w:rsid w:val="008B199D"/>
    <w:rsid w:val="008B2319"/>
    <w:rsid w:val="008D1C9F"/>
    <w:rsid w:val="008D7F39"/>
    <w:rsid w:val="008E0B1A"/>
    <w:rsid w:val="008E500C"/>
    <w:rsid w:val="008E5842"/>
    <w:rsid w:val="008F2DB5"/>
    <w:rsid w:val="008F74AA"/>
    <w:rsid w:val="00903159"/>
    <w:rsid w:val="009043B9"/>
    <w:rsid w:val="00906AB0"/>
    <w:rsid w:val="00907468"/>
    <w:rsid w:val="00912439"/>
    <w:rsid w:val="00912F24"/>
    <w:rsid w:val="00925CE7"/>
    <w:rsid w:val="0093380B"/>
    <w:rsid w:val="009426A4"/>
    <w:rsid w:val="0094518F"/>
    <w:rsid w:val="00945A99"/>
    <w:rsid w:val="009466E3"/>
    <w:rsid w:val="00960879"/>
    <w:rsid w:val="00970CB5"/>
    <w:rsid w:val="00984769"/>
    <w:rsid w:val="00997AC3"/>
    <w:rsid w:val="009B0D34"/>
    <w:rsid w:val="009B566B"/>
    <w:rsid w:val="009F1A09"/>
    <w:rsid w:val="00A0024C"/>
    <w:rsid w:val="00A046BC"/>
    <w:rsid w:val="00A05A6C"/>
    <w:rsid w:val="00A06451"/>
    <w:rsid w:val="00A34162"/>
    <w:rsid w:val="00A35FA6"/>
    <w:rsid w:val="00A45392"/>
    <w:rsid w:val="00A469B5"/>
    <w:rsid w:val="00A56035"/>
    <w:rsid w:val="00A6309C"/>
    <w:rsid w:val="00A64D13"/>
    <w:rsid w:val="00A7627D"/>
    <w:rsid w:val="00A80D97"/>
    <w:rsid w:val="00A81F9B"/>
    <w:rsid w:val="00A90807"/>
    <w:rsid w:val="00A94B52"/>
    <w:rsid w:val="00AA0243"/>
    <w:rsid w:val="00AA298D"/>
    <w:rsid w:val="00AA36A1"/>
    <w:rsid w:val="00AA4084"/>
    <w:rsid w:val="00AB5F1B"/>
    <w:rsid w:val="00AC4D50"/>
    <w:rsid w:val="00AC560C"/>
    <w:rsid w:val="00AC7ED4"/>
    <w:rsid w:val="00AD62D0"/>
    <w:rsid w:val="00AE0197"/>
    <w:rsid w:val="00B00624"/>
    <w:rsid w:val="00B10D53"/>
    <w:rsid w:val="00B11987"/>
    <w:rsid w:val="00B2444E"/>
    <w:rsid w:val="00B30D8A"/>
    <w:rsid w:val="00B31A39"/>
    <w:rsid w:val="00B3218E"/>
    <w:rsid w:val="00B53F43"/>
    <w:rsid w:val="00B72769"/>
    <w:rsid w:val="00BA00A1"/>
    <w:rsid w:val="00BA0513"/>
    <w:rsid w:val="00BC194A"/>
    <w:rsid w:val="00BC79A8"/>
    <w:rsid w:val="00BE3060"/>
    <w:rsid w:val="00BF0972"/>
    <w:rsid w:val="00C03619"/>
    <w:rsid w:val="00C14A46"/>
    <w:rsid w:val="00C402BE"/>
    <w:rsid w:val="00C40AC7"/>
    <w:rsid w:val="00C5045F"/>
    <w:rsid w:val="00C51B25"/>
    <w:rsid w:val="00C5434A"/>
    <w:rsid w:val="00C5500F"/>
    <w:rsid w:val="00C55C62"/>
    <w:rsid w:val="00C77EFE"/>
    <w:rsid w:val="00C827D7"/>
    <w:rsid w:val="00C935CD"/>
    <w:rsid w:val="00CA0637"/>
    <w:rsid w:val="00CB2BEC"/>
    <w:rsid w:val="00CB7CBC"/>
    <w:rsid w:val="00CC41A7"/>
    <w:rsid w:val="00CC5A56"/>
    <w:rsid w:val="00CC67B5"/>
    <w:rsid w:val="00D015D3"/>
    <w:rsid w:val="00D04A3E"/>
    <w:rsid w:val="00D06A25"/>
    <w:rsid w:val="00D12DC5"/>
    <w:rsid w:val="00D1357A"/>
    <w:rsid w:val="00D15D00"/>
    <w:rsid w:val="00D17D73"/>
    <w:rsid w:val="00D3574B"/>
    <w:rsid w:val="00D35A5B"/>
    <w:rsid w:val="00D419B3"/>
    <w:rsid w:val="00D45674"/>
    <w:rsid w:val="00D53883"/>
    <w:rsid w:val="00D55C0E"/>
    <w:rsid w:val="00D666E3"/>
    <w:rsid w:val="00D70E8C"/>
    <w:rsid w:val="00D847DC"/>
    <w:rsid w:val="00D866CF"/>
    <w:rsid w:val="00D9062D"/>
    <w:rsid w:val="00D91721"/>
    <w:rsid w:val="00DA0CE5"/>
    <w:rsid w:val="00DB058E"/>
    <w:rsid w:val="00DE45D1"/>
    <w:rsid w:val="00DF1DAC"/>
    <w:rsid w:val="00E02BFF"/>
    <w:rsid w:val="00E10AC5"/>
    <w:rsid w:val="00E21F78"/>
    <w:rsid w:val="00E24FF7"/>
    <w:rsid w:val="00E2773D"/>
    <w:rsid w:val="00E3134A"/>
    <w:rsid w:val="00E334F0"/>
    <w:rsid w:val="00E37885"/>
    <w:rsid w:val="00E61BF2"/>
    <w:rsid w:val="00E64206"/>
    <w:rsid w:val="00E9012F"/>
    <w:rsid w:val="00E911F5"/>
    <w:rsid w:val="00E91E5F"/>
    <w:rsid w:val="00EA2E35"/>
    <w:rsid w:val="00EA30B9"/>
    <w:rsid w:val="00EB6442"/>
    <w:rsid w:val="00EC177D"/>
    <w:rsid w:val="00EC23D6"/>
    <w:rsid w:val="00ED6AC7"/>
    <w:rsid w:val="00EE4556"/>
    <w:rsid w:val="00EE4EB2"/>
    <w:rsid w:val="00EF4816"/>
    <w:rsid w:val="00F10E86"/>
    <w:rsid w:val="00F13A0B"/>
    <w:rsid w:val="00F219F5"/>
    <w:rsid w:val="00F25CEE"/>
    <w:rsid w:val="00F26DAE"/>
    <w:rsid w:val="00F4202E"/>
    <w:rsid w:val="00F463C5"/>
    <w:rsid w:val="00F50A00"/>
    <w:rsid w:val="00F656D2"/>
    <w:rsid w:val="00F662C8"/>
    <w:rsid w:val="00F67E1E"/>
    <w:rsid w:val="00F85869"/>
    <w:rsid w:val="00F86708"/>
    <w:rsid w:val="00F876B4"/>
    <w:rsid w:val="00F90CE4"/>
    <w:rsid w:val="00FB32A7"/>
    <w:rsid w:val="00FC2028"/>
    <w:rsid w:val="00FD4230"/>
    <w:rsid w:val="00FE4D49"/>
    <w:rsid w:val="00FE6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9BDEB"/>
  <w15:docId w15:val="{1D32C292-1BA7-4C9B-81DF-EFD99950A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1CA5"/>
    <w:pPr>
      <w:spacing w:before="40" w:after="120" w:line="360" w:lineRule="auto"/>
      <w:jc w:val="both"/>
    </w:pPr>
    <w:rPr>
      <w:rFonts w:ascii="Times New Roman" w:hAnsi="Times New Roman"/>
    </w:rPr>
  </w:style>
  <w:style w:type="paragraph" w:styleId="Heading1">
    <w:name w:val="heading 1"/>
    <w:basedOn w:val="Normal"/>
    <w:next w:val="Normal"/>
    <w:link w:val="Heading1Char"/>
    <w:uiPriority w:val="9"/>
    <w:qFormat/>
    <w:rsid w:val="002F5E54"/>
    <w:pPr>
      <w:numPr>
        <w:numId w:val="27"/>
      </w:numPr>
      <w:outlineLvl w:val="0"/>
    </w:pPr>
    <w:rPr>
      <w:b/>
    </w:rPr>
  </w:style>
  <w:style w:type="paragraph" w:styleId="Heading2">
    <w:name w:val="heading 2"/>
    <w:basedOn w:val="ListParagraph"/>
    <w:next w:val="Normal"/>
    <w:link w:val="Heading2Char"/>
    <w:uiPriority w:val="9"/>
    <w:unhideWhenUsed/>
    <w:qFormat/>
    <w:rsid w:val="00B31A39"/>
    <w:pPr>
      <w:numPr>
        <w:ilvl w:val="1"/>
        <w:numId w:val="27"/>
      </w:numPr>
      <w:outlineLvl w:val="1"/>
    </w:pPr>
    <w:rPr>
      <w:b/>
    </w:rPr>
  </w:style>
  <w:style w:type="paragraph" w:styleId="Heading3">
    <w:name w:val="heading 3"/>
    <w:basedOn w:val="Normal"/>
    <w:next w:val="Normal"/>
    <w:link w:val="Heading3Char"/>
    <w:uiPriority w:val="9"/>
    <w:unhideWhenUsed/>
    <w:qFormat/>
    <w:rsid w:val="00B31A39"/>
    <w:pPr>
      <w:keepNext/>
      <w:keepLines/>
      <w:numPr>
        <w:ilvl w:val="2"/>
        <w:numId w:val="27"/>
      </w:numPr>
      <w:spacing w:after="0"/>
      <w:ind w:left="720"/>
      <w:outlineLvl w:val="2"/>
    </w:pPr>
    <w:rPr>
      <w:rFonts w:eastAsiaTheme="majorEastAsia" w:cstheme="majorBidi"/>
      <w:b/>
      <w:color w:val="000000" w:themeColor="text1"/>
      <w:sz w:val="24"/>
      <w:szCs w:val="24"/>
    </w:rPr>
  </w:style>
  <w:style w:type="paragraph" w:styleId="Heading4">
    <w:name w:val="heading 4"/>
    <w:basedOn w:val="Normal"/>
    <w:next w:val="Normal"/>
    <w:link w:val="Heading4Char"/>
    <w:uiPriority w:val="9"/>
    <w:unhideWhenUsed/>
    <w:rsid w:val="006E2828"/>
    <w:pPr>
      <w:keepNext/>
      <w:keepLines/>
      <w:numPr>
        <w:ilvl w:val="3"/>
        <w:numId w:val="27"/>
      </w:numPr>
      <w:spacing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E2828"/>
    <w:pPr>
      <w:keepNext/>
      <w:keepLines/>
      <w:numPr>
        <w:ilvl w:val="4"/>
        <w:numId w:val="27"/>
      </w:numPr>
      <w:spacing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E2828"/>
    <w:pPr>
      <w:keepNext/>
      <w:keepLines/>
      <w:numPr>
        <w:ilvl w:val="5"/>
        <w:numId w:val="27"/>
      </w:numPr>
      <w:spacing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E2828"/>
    <w:pPr>
      <w:keepNext/>
      <w:keepLines/>
      <w:numPr>
        <w:ilvl w:val="6"/>
        <w:numId w:val="27"/>
      </w:numPr>
      <w:spacing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E2828"/>
    <w:pPr>
      <w:keepNext/>
      <w:keepLines/>
      <w:numPr>
        <w:ilvl w:val="7"/>
        <w:numId w:val="27"/>
      </w:numPr>
      <w:spacing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E2828"/>
    <w:pPr>
      <w:keepNext/>
      <w:keepLines/>
      <w:numPr>
        <w:ilvl w:val="8"/>
        <w:numId w:val="27"/>
      </w:numPr>
      <w:spacing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B00624"/>
    <w:pPr>
      <w:ind w:left="720"/>
      <w:contextualSpacing/>
    </w:pPr>
  </w:style>
  <w:style w:type="character" w:styleId="CommentReference">
    <w:name w:val="annotation reference"/>
    <w:basedOn w:val="DefaultParagraphFont"/>
    <w:uiPriority w:val="99"/>
    <w:semiHidden/>
    <w:unhideWhenUsed/>
    <w:rsid w:val="00A046BC"/>
    <w:rPr>
      <w:sz w:val="16"/>
      <w:szCs w:val="16"/>
    </w:rPr>
  </w:style>
  <w:style w:type="paragraph" w:styleId="CommentText">
    <w:name w:val="annotation text"/>
    <w:basedOn w:val="Normal"/>
    <w:link w:val="CommentTextChar"/>
    <w:uiPriority w:val="99"/>
    <w:unhideWhenUsed/>
    <w:rsid w:val="00A046BC"/>
    <w:pPr>
      <w:spacing w:line="240" w:lineRule="auto"/>
    </w:pPr>
    <w:rPr>
      <w:sz w:val="20"/>
      <w:szCs w:val="20"/>
    </w:rPr>
  </w:style>
  <w:style w:type="character" w:customStyle="1" w:styleId="CommentTextChar">
    <w:name w:val="Comment Text Char"/>
    <w:basedOn w:val="DefaultParagraphFont"/>
    <w:link w:val="CommentText"/>
    <w:uiPriority w:val="99"/>
    <w:rsid w:val="00A046BC"/>
    <w:rPr>
      <w:sz w:val="20"/>
      <w:szCs w:val="20"/>
    </w:rPr>
  </w:style>
  <w:style w:type="paragraph" w:styleId="BalloonText">
    <w:name w:val="Balloon Text"/>
    <w:basedOn w:val="Normal"/>
    <w:link w:val="BalloonTextChar"/>
    <w:uiPriority w:val="99"/>
    <w:semiHidden/>
    <w:unhideWhenUsed/>
    <w:rsid w:val="00A046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46BC"/>
    <w:rPr>
      <w:rFonts w:ascii="Tahoma" w:hAnsi="Tahoma" w:cs="Tahoma"/>
      <w:sz w:val="16"/>
      <w:szCs w:val="16"/>
    </w:rPr>
  </w:style>
  <w:style w:type="character" w:customStyle="1" w:styleId="Heading1Char">
    <w:name w:val="Heading 1 Char"/>
    <w:basedOn w:val="DefaultParagraphFont"/>
    <w:link w:val="Heading1"/>
    <w:uiPriority w:val="9"/>
    <w:rsid w:val="002F5E54"/>
    <w:rPr>
      <w:rFonts w:ascii="Times New Roman" w:hAnsi="Times New Roman"/>
      <w:b/>
    </w:rPr>
  </w:style>
  <w:style w:type="character" w:customStyle="1" w:styleId="Heading2Char">
    <w:name w:val="Heading 2 Char"/>
    <w:basedOn w:val="DefaultParagraphFont"/>
    <w:link w:val="Heading2"/>
    <w:uiPriority w:val="9"/>
    <w:rsid w:val="00B31A39"/>
    <w:rPr>
      <w:rFonts w:ascii="Times New Roman" w:hAnsi="Times New Roman"/>
      <w:b/>
    </w:rPr>
  </w:style>
  <w:style w:type="character" w:customStyle="1" w:styleId="Heading3Char">
    <w:name w:val="Heading 3 Char"/>
    <w:basedOn w:val="DefaultParagraphFont"/>
    <w:link w:val="Heading3"/>
    <w:uiPriority w:val="9"/>
    <w:rsid w:val="00B31A39"/>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6E2828"/>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6E2828"/>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6E2828"/>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6E2828"/>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6E282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E2828"/>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165920"/>
    <w:pPr>
      <w:spacing w:after="200" w:line="240" w:lineRule="auto"/>
      <w:jc w:val="center"/>
    </w:pPr>
    <w:rPr>
      <w:b/>
      <w:iCs/>
      <w:sz w:val="18"/>
      <w:szCs w:val="18"/>
    </w:rPr>
  </w:style>
  <w:style w:type="table" w:styleId="TableGrid">
    <w:name w:val="Table Grid"/>
    <w:basedOn w:val="TableNormal"/>
    <w:uiPriority w:val="39"/>
    <w:rsid w:val="006E28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E2828"/>
    <w:rPr>
      <w:color w:val="0563C1" w:themeColor="hyperlink"/>
      <w:u w:val="single"/>
    </w:rPr>
  </w:style>
  <w:style w:type="character" w:styleId="PlaceholderText">
    <w:name w:val="Placeholder Text"/>
    <w:basedOn w:val="DefaultParagraphFont"/>
    <w:uiPriority w:val="99"/>
    <w:semiHidden/>
    <w:rsid w:val="006E2828"/>
    <w:rPr>
      <w:color w:val="808080"/>
    </w:rPr>
  </w:style>
  <w:style w:type="paragraph" w:styleId="CommentSubject">
    <w:name w:val="annotation subject"/>
    <w:basedOn w:val="CommentText"/>
    <w:next w:val="CommentText"/>
    <w:link w:val="CommentSubjectChar"/>
    <w:uiPriority w:val="99"/>
    <w:semiHidden/>
    <w:unhideWhenUsed/>
    <w:rsid w:val="006E2828"/>
    <w:rPr>
      <w:rFonts w:ascii="Candara" w:hAnsi="Candara"/>
      <w:b/>
      <w:bCs/>
    </w:rPr>
  </w:style>
  <w:style w:type="character" w:customStyle="1" w:styleId="CommentSubjectChar">
    <w:name w:val="Comment Subject Char"/>
    <w:basedOn w:val="CommentTextChar"/>
    <w:link w:val="CommentSubject"/>
    <w:uiPriority w:val="99"/>
    <w:semiHidden/>
    <w:rsid w:val="006E2828"/>
    <w:rPr>
      <w:rFonts w:ascii="Candara" w:hAnsi="Candara"/>
      <w:b/>
      <w:bCs/>
      <w:sz w:val="20"/>
      <w:szCs w:val="20"/>
    </w:rPr>
  </w:style>
  <w:style w:type="paragraph" w:styleId="NoSpacing">
    <w:name w:val="No Spacing"/>
    <w:uiPriority w:val="1"/>
    <w:qFormat/>
    <w:rsid w:val="006E2828"/>
    <w:pPr>
      <w:spacing w:after="0" w:line="240" w:lineRule="auto"/>
      <w:jc w:val="both"/>
    </w:pPr>
    <w:rPr>
      <w:rFonts w:ascii="Candara" w:hAnsi="Candara"/>
    </w:rPr>
  </w:style>
  <w:style w:type="character" w:customStyle="1" w:styleId="ListParagraphChar">
    <w:name w:val="List Paragraph Char"/>
    <w:basedOn w:val="DefaultParagraphFont"/>
    <w:link w:val="ListParagraph"/>
    <w:uiPriority w:val="34"/>
    <w:rsid w:val="006E2828"/>
  </w:style>
  <w:style w:type="paragraph" w:styleId="TOC1">
    <w:name w:val="toc 1"/>
    <w:basedOn w:val="Normal"/>
    <w:next w:val="Normal"/>
    <w:autoRedefine/>
    <w:uiPriority w:val="39"/>
    <w:unhideWhenUsed/>
    <w:rsid w:val="00397BE5"/>
    <w:pPr>
      <w:spacing w:before="360" w:after="360"/>
    </w:pPr>
    <w:rPr>
      <w:b/>
      <w:bCs/>
      <w:caps/>
      <w:u w:val="single"/>
    </w:rPr>
  </w:style>
  <w:style w:type="paragraph" w:styleId="TOC2">
    <w:name w:val="toc 2"/>
    <w:basedOn w:val="Normal"/>
    <w:next w:val="Normal"/>
    <w:autoRedefine/>
    <w:uiPriority w:val="39"/>
    <w:unhideWhenUsed/>
    <w:rsid w:val="00397BE5"/>
    <w:pPr>
      <w:spacing w:after="0"/>
    </w:pPr>
    <w:rPr>
      <w:b/>
      <w:bCs/>
      <w:smallCaps/>
    </w:rPr>
  </w:style>
  <w:style w:type="paragraph" w:styleId="TOC3">
    <w:name w:val="toc 3"/>
    <w:basedOn w:val="Normal"/>
    <w:next w:val="Normal"/>
    <w:autoRedefine/>
    <w:uiPriority w:val="39"/>
    <w:unhideWhenUsed/>
    <w:rsid w:val="00397BE5"/>
    <w:pPr>
      <w:spacing w:after="0"/>
    </w:pPr>
    <w:rPr>
      <w:smallCaps/>
    </w:rPr>
  </w:style>
  <w:style w:type="paragraph" w:styleId="TOC4">
    <w:name w:val="toc 4"/>
    <w:basedOn w:val="Normal"/>
    <w:next w:val="Normal"/>
    <w:autoRedefine/>
    <w:uiPriority w:val="39"/>
    <w:unhideWhenUsed/>
    <w:rsid w:val="00397BE5"/>
    <w:pPr>
      <w:spacing w:after="0"/>
    </w:pPr>
  </w:style>
  <w:style w:type="paragraph" w:styleId="TOC5">
    <w:name w:val="toc 5"/>
    <w:basedOn w:val="Normal"/>
    <w:next w:val="Normal"/>
    <w:autoRedefine/>
    <w:uiPriority w:val="39"/>
    <w:unhideWhenUsed/>
    <w:rsid w:val="00397BE5"/>
    <w:pPr>
      <w:spacing w:after="0"/>
    </w:pPr>
  </w:style>
  <w:style w:type="paragraph" w:styleId="TOC6">
    <w:name w:val="toc 6"/>
    <w:basedOn w:val="Normal"/>
    <w:next w:val="Normal"/>
    <w:autoRedefine/>
    <w:uiPriority w:val="39"/>
    <w:unhideWhenUsed/>
    <w:rsid w:val="00397BE5"/>
    <w:pPr>
      <w:spacing w:after="0"/>
    </w:pPr>
  </w:style>
  <w:style w:type="paragraph" w:styleId="TOC7">
    <w:name w:val="toc 7"/>
    <w:basedOn w:val="Normal"/>
    <w:next w:val="Normal"/>
    <w:autoRedefine/>
    <w:uiPriority w:val="39"/>
    <w:unhideWhenUsed/>
    <w:rsid w:val="00397BE5"/>
    <w:pPr>
      <w:spacing w:after="0"/>
    </w:pPr>
  </w:style>
  <w:style w:type="paragraph" w:styleId="TOC8">
    <w:name w:val="toc 8"/>
    <w:basedOn w:val="Normal"/>
    <w:next w:val="Normal"/>
    <w:autoRedefine/>
    <w:uiPriority w:val="39"/>
    <w:unhideWhenUsed/>
    <w:rsid w:val="00397BE5"/>
    <w:pPr>
      <w:spacing w:after="0"/>
    </w:pPr>
  </w:style>
  <w:style w:type="paragraph" w:styleId="TOC9">
    <w:name w:val="toc 9"/>
    <w:basedOn w:val="Normal"/>
    <w:next w:val="Normal"/>
    <w:autoRedefine/>
    <w:uiPriority w:val="39"/>
    <w:unhideWhenUsed/>
    <w:rsid w:val="00397BE5"/>
    <w:pPr>
      <w:spacing w:after="0"/>
    </w:pPr>
  </w:style>
  <w:style w:type="table" w:customStyle="1" w:styleId="GridTable1Light1">
    <w:name w:val="Grid Table 1 Light1"/>
    <w:basedOn w:val="TableNormal"/>
    <w:uiPriority w:val="46"/>
    <w:rsid w:val="00CB7CB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BC79A8"/>
    <w:pPr>
      <w:spacing w:before="100" w:beforeAutospacing="1" w:after="100" w:afterAutospacing="1" w:line="240" w:lineRule="auto"/>
      <w:jc w:val="left"/>
    </w:pPr>
    <w:rPr>
      <w:rFonts w:eastAsiaTheme="minorEastAsia" w:cs="Times New Roman"/>
      <w:sz w:val="24"/>
      <w:szCs w:val="24"/>
      <w:lang w:val="it-IT" w:eastAsia="it-IT"/>
    </w:rPr>
  </w:style>
  <w:style w:type="paragraph" w:styleId="Revision">
    <w:name w:val="Revision"/>
    <w:hidden/>
    <w:uiPriority w:val="99"/>
    <w:semiHidden/>
    <w:rsid w:val="0001753C"/>
    <w:pPr>
      <w:spacing w:after="0" w:line="240" w:lineRule="auto"/>
    </w:pPr>
    <w:rPr>
      <w:rFonts w:ascii="Times New Roman" w:hAnsi="Times New Roman"/>
    </w:rPr>
  </w:style>
  <w:style w:type="paragraph" w:styleId="Header">
    <w:name w:val="header"/>
    <w:basedOn w:val="Normal"/>
    <w:link w:val="HeaderChar"/>
    <w:uiPriority w:val="99"/>
    <w:unhideWhenUsed/>
    <w:rsid w:val="00753680"/>
    <w:pPr>
      <w:tabs>
        <w:tab w:val="center" w:pos="4819"/>
        <w:tab w:val="right" w:pos="9638"/>
      </w:tabs>
      <w:spacing w:before="0" w:after="0" w:line="240" w:lineRule="auto"/>
    </w:pPr>
  </w:style>
  <w:style w:type="character" w:customStyle="1" w:styleId="HeaderChar">
    <w:name w:val="Header Char"/>
    <w:basedOn w:val="DefaultParagraphFont"/>
    <w:link w:val="Header"/>
    <w:uiPriority w:val="99"/>
    <w:rsid w:val="00753680"/>
    <w:rPr>
      <w:rFonts w:ascii="Times New Roman" w:hAnsi="Times New Roman"/>
    </w:rPr>
  </w:style>
  <w:style w:type="paragraph" w:styleId="Footer">
    <w:name w:val="footer"/>
    <w:basedOn w:val="Normal"/>
    <w:link w:val="FooterChar"/>
    <w:uiPriority w:val="99"/>
    <w:unhideWhenUsed/>
    <w:rsid w:val="00753680"/>
    <w:pPr>
      <w:tabs>
        <w:tab w:val="center" w:pos="4819"/>
        <w:tab w:val="right" w:pos="9638"/>
      </w:tabs>
      <w:spacing w:before="0" w:after="0" w:line="240" w:lineRule="auto"/>
    </w:pPr>
  </w:style>
  <w:style w:type="character" w:customStyle="1" w:styleId="FooterChar">
    <w:name w:val="Footer Char"/>
    <w:basedOn w:val="DefaultParagraphFont"/>
    <w:link w:val="Footer"/>
    <w:uiPriority w:val="99"/>
    <w:rsid w:val="00753680"/>
    <w:rPr>
      <w:rFonts w:ascii="Times New Roman" w:hAnsi="Times New Roman"/>
    </w:rPr>
  </w:style>
  <w:style w:type="character" w:styleId="LineNumber">
    <w:name w:val="line number"/>
    <w:basedOn w:val="DefaultParagraphFont"/>
    <w:uiPriority w:val="99"/>
    <w:semiHidden/>
    <w:unhideWhenUsed/>
    <w:rsid w:val="005538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361466">
      <w:bodyDiv w:val="1"/>
      <w:marLeft w:val="0"/>
      <w:marRight w:val="0"/>
      <w:marTop w:val="0"/>
      <w:marBottom w:val="0"/>
      <w:divBdr>
        <w:top w:val="none" w:sz="0" w:space="0" w:color="auto"/>
        <w:left w:val="none" w:sz="0" w:space="0" w:color="auto"/>
        <w:bottom w:val="none" w:sz="0" w:space="0" w:color="auto"/>
        <w:right w:val="none" w:sz="0" w:space="0" w:color="auto"/>
      </w:divBdr>
      <w:divsChild>
        <w:div w:id="419453775">
          <w:marLeft w:val="0"/>
          <w:marRight w:val="0"/>
          <w:marTop w:val="0"/>
          <w:marBottom w:val="0"/>
          <w:divBdr>
            <w:top w:val="none" w:sz="0" w:space="0" w:color="auto"/>
            <w:left w:val="none" w:sz="0" w:space="0" w:color="auto"/>
            <w:bottom w:val="none" w:sz="0" w:space="0" w:color="auto"/>
            <w:right w:val="none" w:sz="0" w:space="0" w:color="auto"/>
          </w:divBdr>
        </w:div>
        <w:div w:id="185405619">
          <w:marLeft w:val="0"/>
          <w:marRight w:val="0"/>
          <w:marTop w:val="0"/>
          <w:marBottom w:val="0"/>
          <w:divBdr>
            <w:top w:val="none" w:sz="0" w:space="0" w:color="auto"/>
            <w:left w:val="none" w:sz="0" w:space="0" w:color="auto"/>
            <w:bottom w:val="none" w:sz="0" w:space="0" w:color="auto"/>
            <w:right w:val="none" w:sz="0" w:space="0" w:color="auto"/>
          </w:divBdr>
        </w:div>
        <w:div w:id="871961051">
          <w:marLeft w:val="0"/>
          <w:marRight w:val="0"/>
          <w:marTop w:val="0"/>
          <w:marBottom w:val="0"/>
          <w:divBdr>
            <w:top w:val="none" w:sz="0" w:space="0" w:color="auto"/>
            <w:left w:val="none" w:sz="0" w:space="0" w:color="auto"/>
            <w:bottom w:val="none" w:sz="0" w:space="0" w:color="auto"/>
            <w:right w:val="none" w:sz="0" w:space="0" w:color="auto"/>
          </w:divBdr>
        </w:div>
        <w:div w:id="334653371">
          <w:marLeft w:val="0"/>
          <w:marRight w:val="0"/>
          <w:marTop w:val="0"/>
          <w:marBottom w:val="0"/>
          <w:divBdr>
            <w:top w:val="none" w:sz="0" w:space="0" w:color="auto"/>
            <w:left w:val="none" w:sz="0" w:space="0" w:color="auto"/>
            <w:bottom w:val="none" w:sz="0" w:space="0" w:color="auto"/>
            <w:right w:val="none" w:sz="0" w:space="0" w:color="auto"/>
          </w:divBdr>
        </w:div>
        <w:div w:id="224804972">
          <w:marLeft w:val="0"/>
          <w:marRight w:val="0"/>
          <w:marTop w:val="0"/>
          <w:marBottom w:val="0"/>
          <w:divBdr>
            <w:top w:val="none" w:sz="0" w:space="0" w:color="auto"/>
            <w:left w:val="none" w:sz="0" w:space="0" w:color="auto"/>
            <w:bottom w:val="none" w:sz="0" w:space="0" w:color="auto"/>
            <w:right w:val="none" w:sz="0" w:space="0" w:color="auto"/>
          </w:divBdr>
        </w:div>
        <w:div w:id="310057297">
          <w:marLeft w:val="0"/>
          <w:marRight w:val="0"/>
          <w:marTop w:val="0"/>
          <w:marBottom w:val="0"/>
          <w:divBdr>
            <w:top w:val="none" w:sz="0" w:space="0" w:color="auto"/>
            <w:left w:val="none" w:sz="0" w:space="0" w:color="auto"/>
            <w:bottom w:val="none" w:sz="0" w:space="0" w:color="auto"/>
            <w:right w:val="none" w:sz="0" w:space="0" w:color="auto"/>
          </w:divBdr>
        </w:div>
        <w:div w:id="1383410280">
          <w:marLeft w:val="0"/>
          <w:marRight w:val="0"/>
          <w:marTop w:val="0"/>
          <w:marBottom w:val="0"/>
          <w:divBdr>
            <w:top w:val="none" w:sz="0" w:space="0" w:color="auto"/>
            <w:left w:val="none" w:sz="0" w:space="0" w:color="auto"/>
            <w:bottom w:val="none" w:sz="0" w:space="0" w:color="auto"/>
            <w:right w:val="none" w:sz="0" w:space="0" w:color="auto"/>
          </w:divBdr>
        </w:div>
        <w:div w:id="1836338392">
          <w:marLeft w:val="0"/>
          <w:marRight w:val="0"/>
          <w:marTop w:val="0"/>
          <w:marBottom w:val="0"/>
          <w:divBdr>
            <w:top w:val="none" w:sz="0" w:space="0" w:color="auto"/>
            <w:left w:val="none" w:sz="0" w:space="0" w:color="auto"/>
            <w:bottom w:val="none" w:sz="0" w:space="0" w:color="auto"/>
            <w:right w:val="none" w:sz="0" w:space="0" w:color="auto"/>
          </w:divBdr>
        </w:div>
        <w:div w:id="425080427">
          <w:marLeft w:val="0"/>
          <w:marRight w:val="0"/>
          <w:marTop w:val="0"/>
          <w:marBottom w:val="0"/>
          <w:divBdr>
            <w:top w:val="none" w:sz="0" w:space="0" w:color="auto"/>
            <w:left w:val="none" w:sz="0" w:space="0" w:color="auto"/>
            <w:bottom w:val="none" w:sz="0" w:space="0" w:color="auto"/>
            <w:right w:val="none" w:sz="0" w:space="0" w:color="auto"/>
          </w:divBdr>
        </w:div>
        <w:div w:id="935551948">
          <w:marLeft w:val="0"/>
          <w:marRight w:val="0"/>
          <w:marTop w:val="0"/>
          <w:marBottom w:val="0"/>
          <w:divBdr>
            <w:top w:val="none" w:sz="0" w:space="0" w:color="auto"/>
            <w:left w:val="none" w:sz="0" w:space="0" w:color="auto"/>
            <w:bottom w:val="none" w:sz="0" w:space="0" w:color="auto"/>
            <w:right w:val="none" w:sz="0" w:space="0" w:color="auto"/>
          </w:divBdr>
        </w:div>
        <w:div w:id="1080296719">
          <w:marLeft w:val="0"/>
          <w:marRight w:val="0"/>
          <w:marTop w:val="0"/>
          <w:marBottom w:val="0"/>
          <w:divBdr>
            <w:top w:val="none" w:sz="0" w:space="0" w:color="auto"/>
            <w:left w:val="none" w:sz="0" w:space="0" w:color="auto"/>
            <w:bottom w:val="none" w:sz="0" w:space="0" w:color="auto"/>
            <w:right w:val="none" w:sz="0" w:space="0" w:color="auto"/>
          </w:divBdr>
        </w:div>
        <w:div w:id="272632065">
          <w:marLeft w:val="0"/>
          <w:marRight w:val="0"/>
          <w:marTop w:val="0"/>
          <w:marBottom w:val="0"/>
          <w:divBdr>
            <w:top w:val="none" w:sz="0" w:space="0" w:color="auto"/>
            <w:left w:val="none" w:sz="0" w:space="0" w:color="auto"/>
            <w:bottom w:val="none" w:sz="0" w:space="0" w:color="auto"/>
            <w:right w:val="none" w:sz="0" w:space="0" w:color="auto"/>
          </w:divBdr>
        </w:div>
        <w:div w:id="1678846521">
          <w:marLeft w:val="0"/>
          <w:marRight w:val="0"/>
          <w:marTop w:val="0"/>
          <w:marBottom w:val="0"/>
          <w:divBdr>
            <w:top w:val="none" w:sz="0" w:space="0" w:color="auto"/>
            <w:left w:val="none" w:sz="0" w:space="0" w:color="auto"/>
            <w:bottom w:val="none" w:sz="0" w:space="0" w:color="auto"/>
            <w:right w:val="none" w:sz="0" w:space="0" w:color="auto"/>
          </w:divBdr>
        </w:div>
        <w:div w:id="1853493854">
          <w:marLeft w:val="0"/>
          <w:marRight w:val="0"/>
          <w:marTop w:val="0"/>
          <w:marBottom w:val="0"/>
          <w:divBdr>
            <w:top w:val="none" w:sz="0" w:space="0" w:color="auto"/>
            <w:left w:val="none" w:sz="0" w:space="0" w:color="auto"/>
            <w:bottom w:val="none" w:sz="0" w:space="0" w:color="auto"/>
            <w:right w:val="none" w:sz="0" w:space="0" w:color="auto"/>
          </w:divBdr>
        </w:div>
        <w:div w:id="1048915871">
          <w:marLeft w:val="0"/>
          <w:marRight w:val="0"/>
          <w:marTop w:val="0"/>
          <w:marBottom w:val="0"/>
          <w:divBdr>
            <w:top w:val="none" w:sz="0" w:space="0" w:color="auto"/>
            <w:left w:val="none" w:sz="0" w:space="0" w:color="auto"/>
            <w:bottom w:val="none" w:sz="0" w:space="0" w:color="auto"/>
            <w:right w:val="none" w:sz="0" w:space="0" w:color="auto"/>
          </w:divBdr>
        </w:div>
        <w:div w:id="1898390639">
          <w:marLeft w:val="0"/>
          <w:marRight w:val="0"/>
          <w:marTop w:val="0"/>
          <w:marBottom w:val="0"/>
          <w:divBdr>
            <w:top w:val="none" w:sz="0" w:space="0" w:color="auto"/>
            <w:left w:val="none" w:sz="0" w:space="0" w:color="auto"/>
            <w:bottom w:val="none" w:sz="0" w:space="0" w:color="auto"/>
            <w:right w:val="none" w:sz="0" w:space="0" w:color="auto"/>
          </w:divBdr>
        </w:div>
        <w:div w:id="1110055086">
          <w:marLeft w:val="0"/>
          <w:marRight w:val="0"/>
          <w:marTop w:val="0"/>
          <w:marBottom w:val="0"/>
          <w:divBdr>
            <w:top w:val="none" w:sz="0" w:space="0" w:color="auto"/>
            <w:left w:val="none" w:sz="0" w:space="0" w:color="auto"/>
            <w:bottom w:val="none" w:sz="0" w:space="0" w:color="auto"/>
            <w:right w:val="none" w:sz="0" w:space="0" w:color="auto"/>
          </w:divBdr>
        </w:div>
        <w:div w:id="1781562724">
          <w:marLeft w:val="0"/>
          <w:marRight w:val="0"/>
          <w:marTop w:val="0"/>
          <w:marBottom w:val="0"/>
          <w:divBdr>
            <w:top w:val="none" w:sz="0" w:space="0" w:color="auto"/>
            <w:left w:val="none" w:sz="0" w:space="0" w:color="auto"/>
            <w:bottom w:val="none" w:sz="0" w:space="0" w:color="auto"/>
            <w:right w:val="none" w:sz="0" w:space="0" w:color="auto"/>
          </w:divBdr>
        </w:div>
        <w:div w:id="410084310">
          <w:marLeft w:val="0"/>
          <w:marRight w:val="0"/>
          <w:marTop w:val="0"/>
          <w:marBottom w:val="0"/>
          <w:divBdr>
            <w:top w:val="none" w:sz="0" w:space="0" w:color="auto"/>
            <w:left w:val="none" w:sz="0" w:space="0" w:color="auto"/>
            <w:bottom w:val="none" w:sz="0" w:space="0" w:color="auto"/>
            <w:right w:val="none" w:sz="0" w:space="0" w:color="auto"/>
          </w:divBdr>
        </w:div>
        <w:div w:id="899249267">
          <w:marLeft w:val="0"/>
          <w:marRight w:val="0"/>
          <w:marTop w:val="0"/>
          <w:marBottom w:val="0"/>
          <w:divBdr>
            <w:top w:val="none" w:sz="0" w:space="0" w:color="auto"/>
            <w:left w:val="none" w:sz="0" w:space="0" w:color="auto"/>
            <w:bottom w:val="none" w:sz="0" w:space="0" w:color="auto"/>
            <w:right w:val="none" w:sz="0" w:space="0" w:color="auto"/>
          </w:divBdr>
        </w:div>
        <w:div w:id="57942334">
          <w:marLeft w:val="0"/>
          <w:marRight w:val="0"/>
          <w:marTop w:val="0"/>
          <w:marBottom w:val="0"/>
          <w:divBdr>
            <w:top w:val="none" w:sz="0" w:space="0" w:color="auto"/>
            <w:left w:val="none" w:sz="0" w:space="0" w:color="auto"/>
            <w:bottom w:val="none" w:sz="0" w:space="0" w:color="auto"/>
            <w:right w:val="none" w:sz="0" w:space="0" w:color="auto"/>
          </w:divBdr>
        </w:div>
        <w:div w:id="1269652898">
          <w:marLeft w:val="0"/>
          <w:marRight w:val="0"/>
          <w:marTop w:val="0"/>
          <w:marBottom w:val="0"/>
          <w:divBdr>
            <w:top w:val="none" w:sz="0" w:space="0" w:color="auto"/>
            <w:left w:val="none" w:sz="0" w:space="0" w:color="auto"/>
            <w:bottom w:val="none" w:sz="0" w:space="0" w:color="auto"/>
            <w:right w:val="none" w:sz="0" w:space="0" w:color="auto"/>
          </w:divBdr>
        </w:div>
        <w:div w:id="1041244678">
          <w:marLeft w:val="0"/>
          <w:marRight w:val="0"/>
          <w:marTop w:val="0"/>
          <w:marBottom w:val="0"/>
          <w:divBdr>
            <w:top w:val="none" w:sz="0" w:space="0" w:color="auto"/>
            <w:left w:val="none" w:sz="0" w:space="0" w:color="auto"/>
            <w:bottom w:val="none" w:sz="0" w:space="0" w:color="auto"/>
            <w:right w:val="none" w:sz="0" w:space="0" w:color="auto"/>
          </w:divBdr>
        </w:div>
        <w:div w:id="1697152319">
          <w:marLeft w:val="0"/>
          <w:marRight w:val="0"/>
          <w:marTop w:val="0"/>
          <w:marBottom w:val="0"/>
          <w:divBdr>
            <w:top w:val="none" w:sz="0" w:space="0" w:color="auto"/>
            <w:left w:val="none" w:sz="0" w:space="0" w:color="auto"/>
            <w:bottom w:val="none" w:sz="0" w:space="0" w:color="auto"/>
            <w:right w:val="none" w:sz="0" w:space="0" w:color="auto"/>
          </w:divBdr>
        </w:div>
        <w:div w:id="2093314976">
          <w:marLeft w:val="0"/>
          <w:marRight w:val="0"/>
          <w:marTop w:val="0"/>
          <w:marBottom w:val="0"/>
          <w:divBdr>
            <w:top w:val="none" w:sz="0" w:space="0" w:color="auto"/>
            <w:left w:val="none" w:sz="0" w:space="0" w:color="auto"/>
            <w:bottom w:val="none" w:sz="0" w:space="0" w:color="auto"/>
            <w:right w:val="none" w:sz="0" w:space="0" w:color="auto"/>
          </w:divBdr>
        </w:div>
        <w:div w:id="1657420441">
          <w:marLeft w:val="0"/>
          <w:marRight w:val="0"/>
          <w:marTop w:val="0"/>
          <w:marBottom w:val="0"/>
          <w:divBdr>
            <w:top w:val="none" w:sz="0" w:space="0" w:color="auto"/>
            <w:left w:val="none" w:sz="0" w:space="0" w:color="auto"/>
            <w:bottom w:val="none" w:sz="0" w:space="0" w:color="auto"/>
            <w:right w:val="none" w:sz="0" w:space="0" w:color="auto"/>
          </w:divBdr>
        </w:div>
        <w:div w:id="199901479">
          <w:marLeft w:val="0"/>
          <w:marRight w:val="0"/>
          <w:marTop w:val="0"/>
          <w:marBottom w:val="0"/>
          <w:divBdr>
            <w:top w:val="none" w:sz="0" w:space="0" w:color="auto"/>
            <w:left w:val="none" w:sz="0" w:space="0" w:color="auto"/>
            <w:bottom w:val="none" w:sz="0" w:space="0" w:color="auto"/>
            <w:right w:val="none" w:sz="0" w:space="0" w:color="auto"/>
          </w:divBdr>
        </w:div>
        <w:div w:id="461390780">
          <w:marLeft w:val="0"/>
          <w:marRight w:val="0"/>
          <w:marTop w:val="0"/>
          <w:marBottom w:val="0"/>
          <w:divBdr>
            <w:top w:val="none" w:sz="0" w:space="0" w:color="auto"/>
            <w:left w:val="none" w:sz="0" w:space="0" w:color="auto"/>
            <w:bottom w:val="none" w:sz="0" w:space="0" w:color="auto"/>
            <w:right w:val="none" w:sz="0" w:space="0" w:color="auto"/>
          </w:divBdr>
        </w:div>
        <w:div w:id="425811467">
          <w:marLeft w:val="0"/>
          <w:marRight w:val="0"/>
          <w:marTop w:val="0"/>
          <w:marBottom w:val="0"/>
          <w:divBdr>
            <w:top w:val="none" w:sz="0" w:space="0" w:color="auto"/>
            <w:left w:val="none" w:sz="0" w:space="0" w:color="auto"/>
            <w:bottom w:val="none" w:sz="0" w:space="0" w:color="auto"/>
            <w:right w:val="none" w:sz="0" w:space="0" w:color="auto"/>
          </w:divBdr>
        </w:div>
        <w:div w:id="1761175726">
          <w:marLeft w:val="0"/>
          <w:marRight w:val="0"/>
          <w:marTop w:val="0"/>
          <w:marBottom w:val="0"/>
          <w:divBdr>
            <w:top w:val="none" w:sz="0" w:space="0" w:color="auto"/>
            <w:left w:val="none" w:sz="0" w:space="0" w:color="auto"/>
            <w:bottom w:val="none" w:sz="0" w:space="0" w:color="auto"/>
            <w:right w:val="none" w:sz="0" w:space="0" w:color="auto"/>
          </w:divBdr>
        </w:div>
        <w:div w:id="274140973">
          <w:marLeft w:val="0"/>
          <w:marRight w:val="0"/>
          <w:marTop w:val="0"/>
          <w:marBottom w:val="0"/>
          <w:divBdr>
            <w:top w:val="none" w:sz="0" w:space="0" w:color="auto"/>
            <w:left w:val="none" w:sz="0" w:space="0" w:color="auto"/>
            <w:bottom w:val="none" w:sz="0" w:space="0" w:color="auto"/>
            <w:right w:val="none" w:sz="0" w:space="0" w:color="auto"/>
          </w:divBdr>
        </w:div>
        <w:div w:id="1152990965">
          <w:marLeft w:val="0"/>
          <w:marRight w:val="0"/>
          <w:marTop w:val="0"/>
          <w:marBottom w:val="0"/>
          <w:divBdr>
            <w:top w:val="none" w:sz="0" w:space="0" w:color="auto"/>
            <w:left w:val="none" w:sz="0" w:space="0" w:color="auto"/>
            <w:bottom w:val="none" w:sz="0" w:space="0" w:color="auto"/>
            <w:right w:val="none" w:sz="0" w:space="0" w:color="auto"/>
          </w:divBdr>
        </w:div>
        <w:div w:id="1224831893">
          <w:marLeft w:val="0"/>
          <w:marRight w:val="0"/>
          <w:marTop w:val="0"/>
          <w:marBottom w:val="0"/>
          <w:divBdr>
            <w:top w:val="none" w:sz="0" w:space="0" w:color="auto"/>
            <w:left w:val="none" w:sz="0" w:space="0" w:color="auto"/>
            <w:bottom w:val="none" w:sz="0" w:space="0" w:color="auto"/>
            <w:right w:val="none" w:sz="0" w:space="0" w:color="auto"/>
          </w:divBdr>
        </w:div>
        <w:div w:id="1208640580">
          <w:marLeft w:val="0"/>
          <w:marRight w:val="0"/>
          <w:marTop w:val="0"/>
          <w:marBottom w:val="0"/>
          <w:divBdr>
            <w:top w:val="none" w:sz="0" w:space="0" w:color="auto"/>
            <w:left w:val="none" w:sz="0" w:space="0" w:color="auto"/>
            <w:bottom w:val="none" w:sz="0" w:space="0" w:color="auto"/>
            <w:right w:val="none" w:sz="0" w:space="0" w:color="auto"/>
          </w:divBdr>
        </w:div>
        <w:div w:id="678459596">
          <w:marLeft w:val="0"/>
          <w:marRight w:val="0"/>
          <w:marTop w:val="0"/>
          <w:marBottom w:val="0"/>
          <w:divBdr>
            <w:top w:val="none" w:sz="0" w:space="0" w:color="auto"/>
            <w:left w:val="none" w:sz="0" w:space="0" w:color="auto"/>
            <w:bottom w:val="none" w:sz="0" w:space="0" w:color="auto"/>
            <w:right w:val="none" w:sz="0" w:space="0" w:color="auto"/>
          </w:divBdr>
        </w:div>
        <w:div w:id="1329332692">
          <w:marLeft w:val="0"/>
          <w:marRight w:val="0"/>
          <w:marTop w:val="0"/>
          <w:marBottom w:val="0"/>
          <w:divBdr>
            <w:top w:val="none" w:sz="0" w:space="0" w:color="auto"/>
            <w:left w:val="none" w:sz="0" w:space="0" w:color="auto"/>
            <w:bottom w:val="none" w:sz="0" w:space="0" w:color="auto"/>
            <w:right w:val="none" w:sz="0" w:space="0" w:color="auto"/>
          </w:divBdr>
        </w:div>
        <w:div w:id="842622381">
          <w:marLeft w:val="0"/>
          <w:marRight w:val="0"/>
          <w:marTop w:val="0"/>
          <w:marBottom w:val="0"/>
          <w:divBdr>
            <w:top w:val="none" w:sz="0" w:space="0" w:color="auto"/>
            <w:left w:val="none" w:sz="0" w:space="0" w:color="auto"/>
            <w:bottom w:val="none" w:sz="0" w:space="0" w:color="auto"/>
            <w:right w:val="none" w:sz="0" w:space="0" w:color="auto"/>
          </w:divBdr>
        </w:div>
        <w:div w:id="1350177611">
          <w:marLeft w:val="0"/>
          <w:marRight w:val="0"/>
          <w:marTop w:val="0"/>
          <w:marBottom w:val="0"/>
          <w:divBdr>
            <w:top w:val="none" w:sz="0" w:space="0" w:color="auto"/>
            <w:left w:val="none" w:sz="0" w:space="0" w:color="auto"/>
            <w:bottom w:val="none" w:sz="0" w:space="0" w:color="auto"/>
            <w:right w:val="none" w:sz="0" w:space="0" w:color="auto"/>
          </w:divBdr>
        </w:div>
        <w:div w:id="1106272394">
          <w:marLeft w:val="0"/>
          <w:marRight w:val="0"/>
          <w:marTop w:val="0"/>
          <w:marBottom w:val="0"/>
          <w:divBdr>
            <w:top w:val="none" w:sz="0" w:space="0" w:color="auto"/>
            <w:left w:val="none" w:sz="0" w:space="0" w:color="auto"/>
            <w:bottom w:val="none" w:sz="0" w:space="0" w:color="auto"/>
            <w:right w:val="none" w:sz="0" w:space="0" w:color="auto"/>
          </w:divBdr>
        </w:div>
        <w:div w:id="930309959">
          <w:marLeft w:val="0"/>
          <w:marRight w:val="0"/>
          <w:marTop w:val="0"/>
          <w:marBottom w:val="0"/>
          <w:divBdr>
            <w:top w:val="none" w:sz="0" w:space="0" w:color="auto"/>
            <w:left w:val="none" w:sz="0" w:space="0" w:color="auto"/>
            <w:bottom w:val="none" w:sz="0" w:space="0" w:color="auto"/>
            <w:right w:val="none" w:sz="0" w:space="0" w:color="auto"/>
          </w:divBdr>
        </w:div>
        <w:div w:id="581643513">
          <w:marLeft w:val="0"/>
          <w:marRight w:val="0"/>
          <w:marTop w:val="0"/>
          <w:marBottom w:val="0"/>
          <w:divBdr>
            <w:top w:val="none" w:sz="0" w:space="0" w:color="auto"/>
            <w:left w:val="none" w:sz="0" w:space="0" w:color="auto"/>
            <w:bottom w:val="none" w:sz="0" w:space="0" w:color="auto"/>
            <w:right w:val="none" w:sz="0" w:space="0" w:color="auto"/>
          </w:divBdr>
        </w:div>
        <w:div w:id="1379665792">
          <w:marLeft w:val="0"/>
          <w:marRight w:val="0"/>
          <w:marTop w:val="0"/>
          <w:marBottom w:val="0"/>
          <w:divBdr>
            <w:top w:val="none" w:sz="0" w:space="0" w:color="auto"/>
            <w:left w:val="none" w:sz="0" w:space="0" w:color="auto"/>
            <w:bottom w:val="none" w:sz="0" w:space="0" w:color="auto"/>
            <w:right w:val="none" w:sz="0" w:space="0" w:color="auto"/>
          </w:divBdr>
        </w:div>
        <w:div w:id="1247568037">
          <w:marLeft w:val="0"/>
          <w:marRight w:val="0"/>
          <w:marTop w:val="0"/>
          <w:marBottom w:val="0"/>
          <w:divBdr>
            <w:top w:val="none" w:sz="0" w:space="0" w:color="auto"/>
            <w:left w:val="none" w:sz="0" w:space="0" w:color="auto"/>
            <w:bottom w:val="none" w:sz="0" w:space="0" w:color="auto"/>
            <w:right w:val="none" w:sz="0" w:space="0" w:color="auto"/>
          </w:divBdr>
        </w:div>
        <w:div w:id="1086657043">
          <w:marLeft w:val="0"/>
          <w:marRight w:val="0"/>
          <w:marTop w:val="0"/>
          <w:marBottom w:val="0"/>
          <w:divBdr>
            <w:top w:val="none" w:sz="0" w:space="0" w:color="auto"/>
            <w:left w:val="none" w:sz="0" w:space="0" w:color="auto"/>
            <w:bottom w:val="none" w:sz="0" w:space="0" w:color="auto"/>
            <w:right w:val="none" w:sz="0" w:space="0" w:color="auto"/>
          </w:divBdr>
        </w:div>
        <w:div w:id="2120685824">
          <w:marLeft w:val="0"/>
          <w:marRight w:val="0"/>
          <w:marTop w:val="0"/>
          <w:marBottom w:val="0"/>
          <w:divBdr>
            <w:top w:val="none" w:sz="0" w:space="0" w:color="auto"/>
            <w:left w:val="none" w:sz="0" w:space="0" w:color="auto"/>
            <w:bottom w:val="none" w:sz="0" w:space="0" w:color="auto"/>
            <w:right w:val="none" w:sz="0" w:space="0" w:color="auto"/>
          </w:divBdr>
        </w:div>
        <w:div w:id="877011836">
          <w:marLeft w:val="0"/>
          <w:marRight w:val="0"/>
          <w:marTop w:val="0"/>
          <w:marBottom w:val="0"/>
          <w:divBdr>
            <w:top w:val="none" w:sz="0" w:space="0" w:color="auto"/>
            <w:left w:val="none" w:sz="0" w:space="0" w:color="auto"/>
            <w:bottom w:val="none" w:sz="0" w:space="0" w:color="auto"/>
            <w:right w:val="none" w:sz="0" w:space="0" w:color="auto"/>
          </w:divBdr>
        </w:div>
        <w:div w:id="1766414810">
          <w:marLeft w:val="0"/>
          <w:marRight w:val="0"/>
          <w:marTop w:val="0"/>
          <w:marBottom w:val="0"/>
          <w:divBdr>
            <w:top w:val="none" w:sz="0" w:space="0" w:color="auto"/>
            <w:left w:val="none" w:sz="0" w:space="0" w:color="auto"/>
            <w:bottom w:val="none" w:sz="0" w:space="0" w:color="auto"/>
            <w:right w:val="none" w:sz="0" w:space="0" w:color="auto"/>
          </w:divBdr>
        </w:div>
        <w:div w:id="423768354">
          <w:marLeft w:val="0"/>
          <w:marRight w:val="0"/>
          <w:marTop w:val="0"/>
          <w:marBottom w:val="0"/>
          <w:divBdr>
            <w:top w:val="none" w:sz="0" w:space="0" w:color="auto"/>
            <w:left w:val="none" w:sz="0" w:space="0" w:color="auto"/>
            <w:bottom w:val="none" w:sz="0" w:space="0" w:color="auto"/>
            <w:right w:val="none" w:sz="0" w:space="0" w:color="auto"/>
          </w:divBdr>
        </w:div>
        <w:div w:id="222300362">
          <w:marLeft w:val="0"/>
          <w:marRight w:val="0"/>
          <w:marTop w:val="0"/>
          <w:marBottom w:val="0"/>
          <w:divBdr>
            <w:top w:val="none" w:sz="0" w:space="0" w:color="auto"/>
            <w:left w:val="none" w:sz="0" w:space="0" w:color="auto"/>
            <w:bottom w:val="none" w:sz="0" w:space="0" w:color="auto"/>
            <w:right w:val="none" w:sz="0" w:space="0" w:color="auto"/>
          </w:divBdr>
        </w:div>
        <w:div w:id="1046300320">
          <w:marLeft w:val="0"/>
          <w:marRight w:val="0"/>
          <w:marTop w:val="0"/>
          <w:marBottom w:val="0"/>
          <w:divBdr>
            <w:top w:val="none" w:sz="0" w:space="0" w:color="auto"/>
            <w:left w:val="none" w:sz="0" w:space="0" w:color="auto"/>
            <w:bottom w:val="none" w:sz="0" w:space="0" w:color="auto"/>
            <w:right w:val="none" w:sz="0" w:space="0" w:color="auto"/>
          </w:divBdr>
        </w:div>
        <w:div w:id="2077628838">
          <w:marLeft w:val="0"/>
          <w:marRight w:val="0"/>
          <w:marTop w:val="0"/>
          <w:marBottom w:val="0"/>
          <w:divBdr>
            <w:top w:val="none" w:sz="0" w:space="0" w:color="auto"/>
            <w:left w:val="none" w:sz="0" w:space="0" w:color="auto"/>
            <w:bottom w:val="none" w:sz="0" w:space="0" w:color="auto"/>
            <w:right w:val="none" w:sz="0" w:space="0" w:color="auto"/>
          </w:divBdr>
        </w:div>
        <w:div w:id="97526818">
          <w:marLeft w:val="0"/>
          <w:marRight w:val="0"/>
          <w:marTop w:val="0"/>
          <w:marBottom w:val="0"/>
          <w:divBdr>
            <w:top w:val="none" w:sz="0" w:space="0" w:color="auto"/>
            <w:left w:val="none" w:sz="0" w:space="0" w:color="auto"/>
            <w:bottom w:val="none" w:sz="0" w:space="0" w:color="auto"/>
            <w:right w:val="none" w:sz="0" w:space="0" w:color="auto"/>
          </w:divBdr>
        </w:div>
        <w:div w:id="1204945157">
          <w:marLeft w:val="0"/>
          <w:marRight w:val="0"/>
          <w:marTop w:val="0"/>
          <w:marBottom w:val="0"/>
          <w:divBdr>
            <w:top w:val="none" w:sz="0" w:space="0" w:color="auto"/>
            <w:left w:val="none" w:sz="0" w:space="0" w:color="auto"/>
            <w:bottom w:val="none" w:sz="0" w:space="0" w:color="auto"/>
            <w:right w:val="none" w:sz="0" w:space="0" w:color="auto"/>
          </w:divBdr>
        </w:div>
        <w:div w:id="693459432">
          <w:marLeft w:val="0"/>
          <w:marRight w:val="0"/>
          <w:marTop w:val="0"/>
          <w:marBottom w:val="0"/>
          <w:divBdr>
            <w:top w:val="none" w:sz="0" w:space="0" w:color="auto"/>
            <w:left w:val="none" w:sz="0" w:space="0" w:color="auto"/>
            <w:bottom w:val="none" w:sz="0" w:space="0" w:color="auto"/>
            <w:right w:val="none" w:sz="0" w:space="0" w:color="auto"/>
          </w:divBdr>
        </w:div>
        <w:div w:id="709191185">
          <w:marLeft w:val="0"/>
          <w:marRight w:val="0"/>
          <w:marTop w:val="0"/>
          <w:marBottom w:val="0"/>
          <w:divBdr>
            <w:top w:val="none" w:sz="0" w:space="0" w:color="auto"/>
            <w:left w:val="none" w:sz="0" w:space="0" w:color="auto"/>
            <w:bottom w:val="none" w:sz="0" w:space="0" w:color="auto"/>
            <w:right w:val="none" w:sz="0" w:space="0" w:color="auto"/>
          </w:divBdr>
        </w:div>
        <w:div w:id="1274052066">
          <w:marLeft w:val="0"/>
          <w:marRight w:val="0"/>
          <w:marTop w:val="0"/>
          <w:marBottom w:val="0"/>
          <w:divBdr>
            <w:top w:val="none" w:sz="0" w:space="0" w:color="auto"/>
            <w:left w:val="none" w:sz="0" w:space="0" w:color="auto"/>
            <w:bottom w:val="none" w:sz="0" w:space="0" w:color="auto"/>
            <w:right w:val="none" w:sz="0" w:space="0" w:color="auto"/>
          </w:divBdr>
        </w:div>
        <w:div w:id="2076201078">
          <w:marLeft w:val="0"/>
          <w:marRight w:val="0"/>
          <w:marTop w:val="0"/>
          <w:marBottom w:val="0"/>
          <w:divBdr>
            <w:top w:val="none" w:sz="0" w:space="0" w:color="auto"/>
            <w:left w:val="none" w:sz="0" w:space="0" w:color="auto"/>
            <w:bottom w:val="none" w:sz="0" w:space="0" w:color="auto"/>
            <w:right w:val="none" w:sz="0" w:space="0" w:color="auto"/>
          </w:divBdr>
        </w:div>
        <w:div w:id="1512840372">
          <w:marLeft w:val="0"/>
          <w:marRight w:val="0"/>
          <w:marTop w:val="0"/>
          <w:marBottom w:val="0"/>
          <w:divBdr>
            <w:top w:val="none" w:sz="0" w:space="0" w:color="auto"/>
            <w:left w:val="none" w:sz="0" w:space="0" w:color="auto"/>
            <w:bottom w:val="none" w:sz="0" w:space="0" w:color="auto"/>
            <w:right w:val="none" w:sz="0" w:space="0" w:color="auto"/>
          </w:divBdr>
        </w:div>
        <w:div w:id="867841881">
          <w:marLeft w:val="0"/>
          <w:marRight w:val="0"/>
          <w:marTop w:val="0"/>
          <w:marBottom w:val="0"/>
          <w:divBdr>
            <w:top w:val="none" w:sz="0" w:space="0" w:color="auto"/>
            <w:left w:val="none" w:sz="0" w:space="0" w:color="auto"/>
            <w:bottom w:val="none" w:sz="0" w:space="0" w:color="auto"/>
            <w:right w:val="none" w:sz="0" w:space="0" w:color="auto"/>
          </w:divBdr>
        </w:div>
        <w:div w:id="1696274958">
          <w:marLeft w:val="0"/>
          <w:marRight w:val="0"/>
          <w:marTop w:val="0"/>
          <w:marBottom w:val="0"/>
          <w:divBdr>
            <w:top w:val="none" w:sz="0" w:space="0" w:color="auto"/>
            <w:left w:val="none" w:sz="0" w:space="0" w:color="auto"/>
            <w:bottom w:val="none" w:sz="0" w:space="0" w:color="auto"/>
            <w:right w:val="none" w:sz="0" w:space="0" w:color="auto"/>
          </w:divBdr>
        </w:div>
        <w:div w:id="262691098">
          <w:marLeft w:val="0"/>
          <w:marRight w:val="0"/>
          <w:marTop w:val="0"/>
          <w:marBottom w:val="0"/>
          <w:divBdr>
            <w:top w:val="none" w:sz="0" w:space="0" w:color="auto"/>
            <w:left w:val="none" w:sz="0" w:space="0" w:color="auto"/>
            <w:bottom w:val="none" w:sz="0" w:space="0" w:color="auto"/>
            <w:right w:val="none" w:sz="0" w:space="0" w:color="auto"/>
          </w:divBdr>
        </w:div>
        <w:div w:id="1669405202">
          <w:marLeft w:val="0"/>
          <w:marRight w:val="0"/>
          <w:marTop w:val="0"/>
          <w:marBottom w:val="0"/>
          <w:divBdr>
            <w:top w:val="none" w:sz="0" w:space="0" w:color="auto"/>
            <w:left w:val="none" w:sz="0" w:space="0" w:color="auto"/>
            <w:bottom w:val="none" w:sz="0" w:space="0" w:color="auto"/>
            <w:right w:val="none" w:sz="0" w:space="0" w:color="auto"/>
          </w:divBdr>
        </w:div>
        <w:div w:id="836502840">
          <w:marLeft w:val="0"/>
          <w:marRight w:val="0"/>
          <w:marTop w:val="0"/>
          <w:marBottom w:val="0"/>
          <w:divBdr>
            <w:top w:val="none" w:sz="0" w:space="0" w:color="auto"/>
            <w:left w:val="none" w:sz="0" w:space="0" w:color="auto"/>
            <w:bottom w:val="none" w:sz="0" w:space="0" w:color="auto"/>
            <w:right w:val="none" w:sz="0" w:space="0" w:color="auto"/>
          </w:divBdr>
        </w:div>
        <w:div w:id="905183810">
          <w:marLeft w:val="0"/>
          <w:marRight w:val="0"/>
          <w:marTop w:val="0"/>
          <w:marBottom w:val="0"/>
          <w:divBdr>
            <w:top w:val="none" w:sz="0" w:space="0" w:color="auto"/>
            <w:left w:val="none" w:sz="0" w:space="0" w:color="auto"/>
            <w:bottom w:val="none" w:sz="0" w:space="0" w:color="auto"/>
            <w:right w:val="none" w:sz="0" w:space="0" w:color="auto"/>
          </w:divBdr>
        </w:div>
        <w:div w:id="412897172">
          <w:marLeft w:val="0"/>
          <w:marRight w:val="0"/>
          <w:marTop w:val="0"/>
          <w:marBottom w:val="0"/>
          <w:divBdr>
            <w:top w:val="none" w:sz="0" w:space="0" w:color="auto"/>
            <w:left w:val="none" w:sz="0" w:space="0" w:color="auto"/>
            <w:bottom w:val="none" w:sz="0" w:space="0" w:color="auto"/>
            <w:right w:val="none" w:sz="0" w:space="0" w:color="auto"/>
          </w:divBdr>
        </w:div>
        <w:div w:id="183831058">
          <w:marLeft w:val="0"/>
          <w:marRight w:val="0"/>
          <w:marTop w:val="0"/>
          <w:marBottom w:val="0"/>
          <w:divBdr>
            <w:top w:val="none" w:sz="0" w:space="0" w:color="auto"/>
            <w:left w:val="none" w:sz="0" w:space="0" w:color="auto"/>
            <w:bottom w:val="none" w:sz="0" w:space="0" w:color="auto"/>
            <w:right w:val="none" w:sz="0" w:space="0" w:color="auto"/>
          </w:divBdr>
        </w:div>
        <w:div w:id="1897545910">
          <w:marLeft w:val="0"/>
          <w:marRight w:val="0"/>
          <w:marTop w:val="0"/>
          <w:marBottom w:val="0"/>
          <w:divBdr>
            <w:top w:val="none" w:sz="0" w:space="0" w:color="auto"/>
            <w:left w:val="none" w:sz="0" w:space="0" w:color="auto"/>
            <w:bottom w:val="none" w:sz="0" w:space="0" w:color="auto"/>
            <w:right w:val="none" w:sz="0" w:space="0" w:color="auto"/>
          </w:divBdr>
        </w:div>
        <w:div w:id="861162642">
          <w:marLeft w:val="0"/>
          <w:marRight w:val="0"/>
          <w:marTop w:val="0"/>
          <w:marBottom w:val="0"/>
          <w:divBdr>
            <w:top w:val="none" w:sz="0" w:space="0" w:color="auto"/>
            <w:left w:val="none" w:sz="0" w:space="0" w:color="auto"/>
            <w:bottom w:val="none" w:sz="0" w:space="0" w:color="auto"/>
            <w:right w:val="none" w:sz="0" w:space="0" w:color="auto"/>
          </w:divBdr>
        </w:div>
        <w:div w:id="604073362">
          <w:marLeft w:val="0"/>
          <w:marRight w:val="0"/>
          <w:marTop w:val="0"/>
          <w:marBottom w:val="0"/>
          <w:divBdr>
            <w:top w:val="none" w:sz="0" w:space="0" w:color="auto"/>
            <w:left w:val="none" w:sz="0" w:space="0" w:color="auto"/>
            <w:bottom w:val="none" w:sz="0" w:space="0" w:color="auto"/>
            <w:right w:val="none" w:sz="0" w:space="0" w:color="auto"/>
          </w:divBdr>
        </w:div>
        <w:div w:id="830218195">
          <w:marLeft w:val="0"/>
          <w:marRight w:val="0"/>
          <w:marTop w:val="0"/>
          <w:marBottom w:val="0"/>
          <w:divBdr>
            <w:top w:val="none" w:sz="0" w:space="0" w:color="auto"/>
            <w:left w:val="none" w:sz="0" w:space="0" w:color="auto"/>
            <w:bottom w:val="none" w:sz="0" w:space="0" w:color="auto"/>
            <w:right w:val="none" w:sz="0" w:space="0" w:color="auto"/>
          </w:divBdr>
        </w:div>
        <w:div w:id="2118401936">
          <w:marLeft w:val="0"/>
          <w:marRight w:val="0"/>
          <w:marTop w:val="0"/>
          <w:marBottom w:val="0"/>
          <w:divBdr>
            <w:top w:val="none" w:sz="0" w:space="0" w:color="auto"/>
            <w:left w:val="none" w:sz="0" w:space="0" w:color="auto"/>
            <w:bottom w:val="none" w:sz="0" w:space="0" w:color="auto"/>
            <w:right w:val="none" w:sz="0" w:space="0" w:color="auto"/>
          </w:divBdr>
        </w:div>
        <w:div w:id="4864208">
          <w:marLeft w:val="0"/>
          <w:marRight w:val="0"/>
          <w:marTop w:val="0"/>
          <w:marBottom w:val="0"/>
          <w:divBdr>
            <w:top w:val="none" w:sz="0" w:space="0" w:color="auto"/>
            <w:left w:val="none" w:sz="0" w:space="0" w:color="auto"/>
            <w:bottom w:val="none" w:sz="0" w:space="0" w:color="auto"/>
            <w:right w:val="none" w:sz="0" w:space="0" w:color="auto"/>
          </w:divBdr>
        </w:div>
      </w:divsChild>
    </w:div>
    <w:div w:id="666900542">
      <w:bodyDiv w:val="1"/>
      <w:marLeft w:val="0"/>
      <w:marRight w:val="0"/>
      <w:marTop w:val="0"/>
      <w:marBottom w:val="0"/>
      <w:divBdr>
        <w:top w:val="none" w:sz="0" w:space="0" w:color="auto"/>
        <w:left w:val="none" w:sz="0" w:space="0" w:color="auto"/>
        <w:bottom w:val="none" w:sz="0" w:space="0" w:color="auto"/>
        <w:right w:val="none" w:sz="0" w:space="0" w:color="auto"/>
      </w:divBdr>
    </w:div>
    <w:div w:id="785539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85CFE-08C7-4165-AD12-66DA14942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1</Pages>
  <Words>28102</Words>
  <Characters>160188</Characters>
  <Application>Microsoft Office Word</Application>
  <DocSecurity>0</DocSecurity>
  <Lines>1334</Lines>
  <Paragraphs>375</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Hewlett-Packard Company</Company>
  <LinksUpToDate>false</LinksUpToDate>
  <CharactersWithSpaces>187915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Giuseppe D'Andrea</dc:creator>
  <cp:lastModifiedBy>lanzini</cp:lastModifiedBy>
  <cp:revision>34</cp:revision>
  <dcterms:created xsi:type="dcterms:W3CDTF">2016-12-03T16:10:00Z</dcterms:created>
  <dcterms:modified xsi:type="dcterms:W3CDTF">2016-12-18T16:33:00Z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http://www.zotero.org/styles/energy</vt:lpwstr>
  </property>
  <property fmtid="{D5CDD505-2E9C-101B-9397-08002B2CF9AE}" pid="13" name="Mendeley Recent Style Name 4_1">
    <vt:lpwstr>Energy</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(author-date)</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http://www.zotero.org/styles/progress-in-energy-and-combustion-science</vt:lpwstr>
  </property>
  <property fmtid="{D5CDD505-2E9C-101B-9397-08002B2CF9AE}" pid="23" name="Mendeley Recent Style Name 9_1">
    <vt:lpwstr>Progress in Energy and Combustion Science</vt:lpwstr>
  </property>
  <property fmtid="{D5CDD505-2E9C-101B-9397-08002B2CF9AE}" pid="24" name="Mendeley Unique User Id_1">
    <vt:lpwstr>e17e8825-ff50-30f7-9569-5e81d19b5967</vt:lpwstr>
  </property>
</Properties>
</file>