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0114BBA" w14:textId="2ACF49DC" w:rsidR="00016844" w:rsidRPr="006922B2" w:rsidRDefault="00030EC1" w:rsidP="00030EC1">
      <w:pPr>
        <w:pStyle w:val="Titolo1"/>
        <w:jc w:val="center"/>
        <w:rPr>
          <w:color w:val="4F81BD" w:themeColor="accent1"/>
          <w:lang w:val="en-US"/>
        </w:rPr>
      </w:pPr>
      <w:r w:rsidRPr="006922B2">
        <w:rPr>
          <w:color w:val="4F81BD" w:themeColor="accent1"/>
          <w:lang w:val="en-US"/>
        </w:rPr>
        <w:t>Carbon recovery and re-utilization (CRR) from the exhaust of a solid oxide fuel cell (SOFC): analysis through a proof-of-concept</w:t>
      </w:r>
    </w:p>
    <w:p w14:paraId="38CC7E75" w14:textId="77777777" w:rsidR="001B3AA3" w:rsidRPr="002566DD" w:rsidRDefault="001B3AA3" w:rsidP="001B3AA3">
      <w:pPr>
        <w:rPr>
          <w:i/>
          <w:lang w:val="en-US"/>
        </w:rPr>
      </w:pPr>
    </w:p>
    <w:p w14:paraId="1E4D75EA" w14:textId="0029F896" w:rsidR="00E26BC5" w:rsidRPr="00D10566" w:rsidRDefault="00E26BC5" w:rsidP="001B3AA3">
      <w:pPr>
        <w:pStyle w:val="RSCH02PaperAuthorsandByline"/>
        <w:spacing w:line="360" w:lineRule="auto"/>
        <w:jc w:val="center"/>
        <w:rPr>
          <w:rFonts w:ascii="Times New Roman" w:hAnsi="Times New Roman"/>
          <w:sz w:val="22"/>
          <w:vertAlign w:val="superscript"/>
        </w:rPr>
      </w:pPr>
      <w:r w:rsidRPr="00D10566">
        <w:rPr>
          <w:rFonts w:ascii="Times New Roman" w:hAnsi="Times New Roman"/>
          <w:sz w:val="22"/>
        </w:rPr>
        <w:t xml:space="preserve">M. </w:t>
      </w:r>
      <w:r w:rsidRPr="00BA52C0">
        <w:rPr>
          <w:rFonts w:ascii="Times New Roman" w:hAnsi="Times New Roman"/>
          <w:noProof/>
          <w:sz w:val="22"/>
        </w:rPr>
        <w:t>Santarelli</w:t>
      </w:r>
      <w:r w:rsidRPr="00BA52C0">
        <w:rPr>
          <w:rFonts w:ascii="Times New Roman" w:hAnsi="Times New Roman"/>
          <w:noProof/>
          <w:sz w:val="22"/>
          <w:vertAlign w:val="superscript"/>
        </w:rPr>
        <w:t>a</w:t>
      </w:r>
      <w:r w:rsidR="002C0D4E" w:rsidRPr="00D10566">
        <w:rPr>
          <w:rStyle w:val="Rimandonotaapidipagina"/>
          <w:rFonts w:ascii="Times New Roman" w:hAnsi="Times New Roman"/>
          <w:sz w:val="22"/>
        </w:rPr>
        <w:footnoteReference w:id="1"/>
      </w:r>
      <w:r w:rsidRPr="00D10566">
        <w:rPr>
          <w:rFonts w:ascii="Times New Roman" w:hAnsi="Times New Roman"/>
          <w:sz w:val="22"/>
        </w:rPr>
        <w:t xml:space="preserve">, L. </w:t>
      </w:r>
      <w:proofErr w:type="spellStart"/>
      <w:r w:rsidRPr="00D10566">
        <w:rPr>
          <w:rFonts w:ascii="Times New Roman" w:hAnsi="Times New Roman"/>
          <w:sz w:val="22"/>
        </w:rPr>
        <w:t>Briesemeister</w:t>
      </w:r>
      <w:r w:rsidRPr="00D10566">
        <w:rPr>
          <w:rFonts w:ascii="Times New Roman" w:hAnsi="Times New Roman"/>
          <w:sz w:val="22"/>
          <w:vertAlign w:val="superscript"/>
        </w:rPr>
        <w:t>b</w:t>
      </w:r>
      <w:proofErr w:type="spellEnd"/>
      <w:r w:rsidRPr="00D10566">
        <w:rPr>
          <w:rFonts w:ascii="Times New Roman" w:hAnsi="Times New Roman"/>
          <w:sz w:val="22"/>
        </w:rPr>
        <w:t xml:space="preserve">, M. </w:t>
      </w:r>
      <w:r w:rsidRPr="00BA52C0">
        <w:rPr>
          <w:rFonts w:ascii="Times New Roman" w:hAnsi="Times New Roman"/>
          <w:noProof/>
          <w:sz w:val="22"/>
        </w:rPr>
        <w:t>Gandiglio</w:t>
      </w:r>
      <w:r w:rsidRPr="00BA52C0">
        <w:rPr>
          <w:rFonts w:ascii="Times New Roman" w:hAnsi="Times New Roman"/>
          <w:noProof/>
          <w:sz w:val="22"/>
          <w:vertAlign w:val="superscript"/>
        </w:rPr>
        <w:t>a</w:t>
      </w:r>
      <w:r w:rsidRPr="00D10566">
        <w:rPr>
          <w:rFonts w:ascii="Times New Roman" w:hAnsi="Times New Roman"/>
          <w:sz w:val="22"/>
        </w:rPr>
        <w:t xml:space="preserve">, S. </w:t>
      </w:r>
      <w:r w:rsidRPr="00BA52C0">
        <w:rPr>
          <w:rFonts w:ascii="Times New Roman" w:hAnsi="Times New Roman"/>
          <w:noProof/>
          <w:sz w:val="22"/>
        </w:rPr>
        <w:t>Herrmann</w:t>
      </w:r>
      <w:r w:rsidRPr="00BA52C0">
        <w:rPr>
          <w:rFonts w:ascii="Times New Roman" w:hAnsi="Times New Roman"/>
          <w:noProof/>
          <w:sz w:val="22"/>
          <w:vertAlign w:val="superscript"/>
        </w:rPr>
        <w:t>b</w:t>
      </w:r>
      <w:r w:rsidRPr="00D10566">
        <w:rPr>
          <w:rFonts w:ascii="Times New Roman" w:hAnsi="Times New Roman"/>
          <w:sz w:val="22"/>
        </w:rPr>
        <w:t xml:space="preserve">, P. </w:t>
      </w:r>
      <w:r w:rsidRPr="00BA52C0">
        <w:rPr>
          <w:rFonts w:ascii="Times New Roman" w:hAnsi="Times New Roman"/>
          <w:noProof/>
          <w:sz w:val="22"/>
        </w:rPr>
        <w:t>Kuczynski</w:t>
      </w:r>
      <w:r w:rsidRPr="00BA52C0">
        <w:rPr>
          <w:rFonts w:ascii="Times New Roman" w:hAnsi="Times New Roman"/>
          <w:noProof/>
          <w:sz w:val="22"/>
          <w:vertAlign w:val="superscript"/>
        </w:rPr>
        <w:t>c</w:t>
      </w:r>
      <w:r w:rsidRPr="00D10566">
        <w:rPr>
          <w:rFonts w:ascii="Times New Roman" w:hAnsi="Times New Roman"/>
          <w:sz w:val="22"/>
        </w:rPr>
        <w:t xml:space="preserve">, J. </w:t>
      </w:r>
      <w:r w:rsidRPr="00BA52C0">
        <w:rPr>
          <w:rFonts w:ascii="Times New Roman" w:hAnsi="Times New Roman"/>
          <w:noProof/>
          <w:sz w:val="22"/>
        </w:rPr>
        <w:t>Kupecki</w:t>
      </w:r>
      <w:r w:rsidRPr="00BA52C0">
        <w:rPr>
          <w:rFonts w:ascii="Times New Roman" w:hAnsi="Times New Roman"/>
          <w:noProof/>
          <w:sz w:val="22"/>
          <w:vertAlign w:val="superscript"/>
        </w:rPr>
        <w:t>c</w:t>
      </w:r>
      <w:r w:rsidRPr="00D10566">
        <w:rPr>
          <w:rFonts w:ascii="Times New Roman" w:hAnsi="Times New Roman"/>
          <w:sz w:val="22"/>
        </w:rPr>
        <w:t xml:space="preserve">, A. </w:t>
      </w:r>
      <w:r w:rsidRPr="00BA52C0">
        <w:rPr>
          <w:rFonts w:ascii="Times New Roman" w:hAnsi="Times New Roman"/>
          <w:noProof/>
          <w:sz w:val="22"/>
        </w:rPr>
        <w:t>Lanzini</w:t>
      </w:r>
      <w:r w:rsidRPr="00BA52C0">
        <w:rPr>
          <w:rFonts w:ascii="Times New Roman" w:hAnsi="Times New Roman"/>
          <w:noProof/>
          <w:sz w:val="22"/>
          <w:vertAlign w:val="superscript"/>
        </w:rPr>
        <w:t>a</w:t>
      </w:r>
      <w:r w:rsidRPr="00D10566">
        <w:rPr>
          <w:rFonts w:ascii="Times New Roman" w:hAnsi="Times New Roman"/>
          <w:sz w:val="22"/>
        </w:rPr>
        <w:t xml:space="preserve">, F. </w:t>
      </w:r>
      <w:r w:rsidRPr="00BA52C0">
        <w:rPr>
          <w:rFonts w:ascii="Times New Roman" w:hAnsi="Times New Roman"/>
          <w:noProof/>
          <w:sz w:val="22"/>
        </w:rPr>
        <w:t>Llovell</w:t>
      </w:r>
      <w:r w:rsidRPr="00BA52C0">
        <w:rPr>
          <w:rFonts w:ascii="Times New Roman" w:hAnsi="Times New Roman"/>
          <w:noProof/>
          <w:sz w:val="22"/>
          <w:vertAlign w:val="superscript"/>
        </w:rPr>
        <w:t>d</w:t>
      </w:r>
      <w:r w:rsidRPr="00D10566">
        <w:rPr>
          <w:rFonts w:ascii="Times New Roman" w:hAnsi="Times New Roman"/>
          <w:sz w:val="22"/>
        </w:rPr>
        <w:t xml:space="preserve">, D. </w:t>
      </w:r>
      <w:proofErr w:type="spellStart"/>
      <w:r w:rsidRPr="00D10566">
        <w:rPr>
          <w:rFonts w:ascii="Times New Roman" w:hAnsi="Times New Roman"/>
          <w:sz w:val="22"/>
        </w:rPr>
        <w:t>Papurello</w:t>
      </w:r>
      <w:r w:rsidRPr="00D10566">
        <w:rPr>
          <w:rFonts w:ascii="Times New Roman" w:hAnsi="Times New Roman"/>
          <w:sz w:val="22"/>
          <w:vertAlign w:val="superscript"/>
        </w:rPr>
        <w:t>a</w:t>
      </w:r>
      <w:proofErr w:type="spellEnd"/>
      <w:r w:rsidRPr="00D10566">
        <w:rPr>
          <w:rFonts w:ascii="Times New Roman" w:hAnsi="Times New Roman"/>
          <w:sz w:val="22"/>
        </w:rPr>
        <w:t xml:space="preserve">, H. </w:t>
      </w:r>
      <w:proofErr w:type="spellStart"/>
      <w:r w:rsidRPr="00D10566">
        <w:rPr>
          <w:rFonts w:ascii="Times New Roman" w:hAnsi="Times New Roman"/>
          <w:sz w:val="22"/>
        </w:rPr>
        <w:t>Spliethoff</w:t>
      </w:r>
      <w:r w:rsidRPr="00D10566">
        <w:rPr>
          <w:rFonts w:ascii="Times New Roman" w:hAnsi="Times New Roman"/>
          <w:sz w:val="22"/>
          <w:vertAlign w:val="superscript"/>
        </w:rPr>
        <w:t>b</w:t>
      </w:r>
      <w:proofErr w:type="spellEnd"/>
      <w:r w:rsidRPr="00D10566">
        <w:rPr>
          <w:rFonts w:ascii="Times New Roman" w:hAnsi="Times New Roman"/>
          <w:sz w:val="22"/>
        </w:rPr>
        <w:t xml:space="preserve">, B. </w:t>
      </w:r>
      <w:r w:rsidRPr="00BA52C0">
        <w:rPr>
          <w:rFonts w:ascii="Times New Roman" w:hAnsi="Times New Roman"/>
          <w:noProof/>
          <w:sz w:val="22"/>
        </w:rPr>
        <w:t>Swiatkowski</w:t>
      </w:r>
      <w:r w:rsidRPr="00BA52C0">
        <w:rPr>
          <w:rFonts w:ascii="Times New Roman" w:hAnsi="Times New Roman"/>
          <w:noProof/>
          <w:sz w:val="22"/>
          <w:vertAlign w:val="superscript"/>
        </w:rPr>
        <w:t>c</w:t>
      </w:r>
      <w:r w:rsidRPr="00D10566">
        <w:rPr>
          <w:rFonts w:ascii="Times New Roman" w:hAnsi="Times New Roman"/>
          <w:sz w:val="22"/>
        </w:rPr>
        <w:t>, J. Torres-</w:t>
      </w:r>
      <w:proofErr w:type="spellStart"/>
      <w:r w:rsidRPr="00D10566">
        <w:rPr>
          <w:rFonts w:ascii="Times New Roman" w:hAnsi="Times New Roman"/>
          <w:sz w:val="22"/>
        </w:rPr>
        <w:t>Sanglas</w:t>
      </w:r>
      <w:r w:rsidRPr="00D10566">
        <w:rPr>
          <w:rFonts w:ascii="Times New Roman" w:hAnsi="Times New Roman"/>
          <w:sz w:val="22"/>
          <w:vertAlign w:val="superscript"/>
        </w:rPr>
        <w:t>e</w:t>
      </w:r>
      <w:proofErr w:type="spellEnd"/>
      <w:r w:rsidRPr="00D10566">
        <w:rPr>
          <w:rFonts w:ascii="Times New Roman" w:hAnsi="Times New Roman"/>
          <w:sz w:val="22"/>
        </w:rPr>
        <w:t xml:space="preserve">, L. F. </w:t>
      </w:r>
      <w:r w:rsidRPr="00BA52C0">
        <w:rPr>
          <w:rFonts w:ascii="Times New Roman" w:hAnsi="Times New Roman"/>
          <w:noProof/>
          <w:sz w:val="22"/>
        </w:rPr>
        <w:t>Vega</w:t>
      </w:r>
      <w:r w:rsidRPr="00BA52C0">
        <w:rPr>
          <w:rFonts w:ascii="Times New Roman" w:hAnsi="Times New Roman"/>
          <w:noProof/>
          <w:sz w:val="22"/>
          <w:vertAlign w:val="superscript"/>
        </w:rPr>
        <w:t>f</w:t>
      </w:r>
    </w:p>
    <w:p w14:paraId="7AABAD75" w14:textId="77777777" w:rsidR="001B3AA3" w:rsidRDefault="001B3AA3" w:rsidP="001B3AA3">
      <w:pPr>
        <w:rPr>
          <w:lang w:val="en-US"/>
        </w:rPr>
      </w:pPr>
    </w:p>
    <w:p w14:paraId="19813EE8" w14:textId="5CE28F98" w:rsidR="0083387B" w:rsidRPr="006922B2" w:rsidRDefault="00016844" w:rsidP="006922B2">
      <w:pPr>
        <w:pStyle w:val="Titolo2"/>
        <w:numPr>
          <w:ilvl w:val="0"/>
          <w:numId w:val="0"/>
        </w:numPr>
        <w:jc w:val="left"/>
        <w:rPr>
          <w:lang w:val="en-US"/>
        </w:rPr>
      </w:pPr>
      <w:r w:rsidRPr="006922B2">
        <w:rPr>
          <w:lang w:val="en-US"/>
        </w:rPr>
        <w:t>Abstract</w:t>
      </w:r>
    </w:p>
    <w:p w14:paraId="73E0B1C1" w14:textId="110E91B4" w:rsidR="00D91113" w:rsidRPr="00D91113" w:rsidRDefault="00D91113" w:rsidP="00016844">
      <w:pPr>
        <w:rPr>
          <w:lang w:val="en-US"/>
        </w:rPr>
      </w:pPr>
      <w:bookmarkStart w:id="0" w:name="_GoBack"/>
      <w:r w:rsidRPr="00D91113">
        <w:rPr>
          <w:lang w:val="en-US"/>
        </w:rPr>
        <w:t>In the context of the paradigm of Carbon Recovery and Re-utilization (or CRR), this work investigates the role of electrochemical generators (such as</w:t>
      </w:r>
      <w:r w:rsidR="005C10DA">
        <w:rPr>
          <w:lang w:val="en-US"/>
        </w:rPr>
        <w:t xml:space="preserve"> high-temperature</w:t>
      </w:r>
      <w:r w:rsidRPr="00D91113">
        <w:rPr>
          <w:lang w:val="en-US"/>
        </w:rPr>
        <w:t xml:space="preserve"> </w:t>
      </w:r>
      <w:r w:rsidR="005C10DA">
        <w:rPr>
          <w:lang w:val="en-US"/>
        </w:rPr>
        <w:t>fuel cells</w:t>
      </w:r>
      <w:r w:rsidRPr="00D91113">
        <w:rPr>
          <w:lang w:val="en-US"/>
        </w:rPr>
        <w:t xml:space="preserve">) to perform CRR as </w:t>
      </w:r>
      <w:r w:rsidRPr="005C43AE">
        <w:rPr>
          <w:noProof/>
          <w:lang w:val="en-US"/>
        </w:rPr>
        <w:t>a</w:t>
      </w:r>
      <w:r w:rsidR="005C43AE">
        <w:rPr>
          <w:noProof/>
          <w:lang w:val="en-US"/>
        </w:rPr>
        <w:t xml:space="preserve"> practical</w:t>
      </w:r>
      <w:r w:rsidRPr="00D91113">
        <w:rPr>
          <w:lang w:val="en-US"/>
        </w:rPr>
        <w:t xml:space="preserve"> secondary effect. </w:t>
      </w:r>
    </w:p>
    <w:p w14:paraId="05808AAA" w14:textId="395A6C56" w:rsidR="00D91113" w:rsidRPr="00D91113" w:rsidRDefault="00D91113" w:rsidP="00016844">
      <w:pPr>
        <w:rPr>
          <w:lang w:val="en-US"/>
        </w:rPr>
      </w:pPr>
      <w:r w:rsidRPr="00D91113">
        <w:rPr>
          <w:lang w:val="en-US"/>
        </w:rPr>
        <w:t>In fact, the solid oxide fuel cell</w:t>
      </w:r>
      <w:r w:rsidR="005C10DA">
        <w:rPr>
          <w:lang w:val="en-US"/>
        </w:rPr>
        <w:t xml:space="preserve"> (SOFC)</w:t>
      </w:r>
      <w:r w:rsidRPr="00D91113">
        <w:rPr>
          <w:lang w:val="en-US"/>
        </w:rPr>
        <w:t xml:space="preserve"> operating principle is inherently beneficial toward CO</w:t>
      </w:r>
      <w:r w:rsidRPr="00D91113">
        <w:rPr>
          <w:vertAlign w:val="subscript"/>
          <w:lang w:val="en-US"/>
        </w:rPr>
        <w:t>2</w:t>
      </w:r>
      <w:r w:rsidRPr="00D91113">
        <w:rPr>
          <w:lang w:val="en-US"/>
        </w:rPr>
        <w:t xml:space="preserve"> separation from the exhaust gas since </w:t>
      </w:r>
      <w:r w:rsidR="005C10DA">
        <w:rPr>
          <w:lang w:val="en-US"/>
        </w:rPr>
        <w:t xml:space="preserve">the </w:t>
      </w:r>
      <w:r w:rsidRPr="00D91113">
        <w:rPr>
          <w:lang w:val="en-US"/>
        </w:rPr>
        <w:t xml:space="preserve">fuel is electrochemically oxidized </w:t>
      </w:r>
      <w:r w:rsidR="005C10DA">
        <w:rPr>
          <w:lang w:val="en-US"/>
        </w:rPr>
        <w:t>resulting in no</w:t>
      </w:r>
      <w:r w:rsidRPr="00D91113">
        <w:rPr>
          <w:lang w:val="en-US"/>
        </w:rPr>
        <w:t xml:space="preserve"> N</w:t>
      </w:r>
      <w:r w:rsidRPr="00D91113">
        <w:rPr>
          <w:vertAlign w:val="subscript"/>
          <w:lang w:val="en-US"/>
        </w:rPr>
        <w:t>2</w:t>
      </w:r>
      <w:r w:rsidRPr="00D91113">
        <w:rPr>
          <w:lang w:val="en-US"/>
        </w:rPr>
        <w:t xml:space="preserve"> mixing </w:t>
      </w:r>
      <w:r w:rsidRPr="00BA52C0">
        <w:rPr>
          <w:noProof/>
          <w:lang w:val="en-US"/>
        </w:rPr>
        <w:t>at</w:t>
      </w:r>
      <w:r w:rsidRPr="00D91113">
        <w:rPr>
          <w:lang w:val="en-US"/>
        </w:rPr>
        <w:t xml:space="preserve"> the anode </w:t>
      </w:r>
      <w:r w:rsidR="005C10DA">
        <w:rPr>
          <w:lang w:val="en-US"/>
        </w:rPr>
        <w:t>(fuel) electrode</w:t>
      </w:r>
      <w:r w:rsidRPr="00D91113">
        <w:rPr>
          <w:lang w:val="en-US"/>
        </w:rPr>
        <w:t xml:space="preserve">. An oxy-combustor downstream the fuel cell </w:t>
      </w:r>
      <w:r w:rsidR="005C10DA">
        <w:rPr>
          <w:lang w:val="en-US"/>
        </w:rPr>
        <w:t>will complete</w:t>
      </w:r>
      <w:r w:rsidRPr="00D91113">
        <w:rPr>
          <w:lang w:val="en-US"/>
        </w:rPr>
        <w:t xml:space="preserve"> the residual fuel (mostly H</w:t>
      </w:r>
      <w:r w:rsidRPr="00D91113">
        <w:rPr>
          <w:vertAlign w:val="subscript"/>
          <w:lang w:val="en-US"/>
        </w:rPr>
        <w:t>2</w:t>
      </w:r>
      <w:r w:rsidRPr="00D91113">
        <w:rPr>
          <w:lang w:val="en-US"/>
        </w:rPr>
        <w:t xml:space="preserve"> and CO) oxidation to yield a stream </w:t>
      </w:r>
      <w:r w:rsidR="005C43AE">
        <w:rPr>
          <w:lang w:val="en-US"/>
        </w:rPr>
        <w:t>that</w:t>
      </w:r>
      <w:r w:rsidRPr="00D91113">
        <w:rPr>
          <w:lang w:val="en-US"/>
        </w:rPr>
        <w:t xml:space="preserve"> contains only H</w:t>
      </w:r>
      <w:r w:rsidRPr="00D91113">
        <w:rPr>
          <w:vertAlign w:val="subscript"/>
          <w:lang w:val="en-US"/>
        </w:rPr>
        <w:t>2</w:t>
      </w:r>
      <w:r w:rsidRPr="00D91113">
        <w:rPr>
          <w:lang w:val="en-US"/>
        </w:rPr>
        <w:t>O and CO</w:t>
      </w:r>
      <w:r w:rsidRPr="00D91113">
        <w:rPr>
          <w:vertAlign w:val="subscript"/>
          <w:lang w:val="en-US"/>
        </w:rPr>
        <w:t>2</w:t>
      </w:r>
      <w:r w:rsidRPr="00D91113">
        <w:rPr>
          <w:lang w:val="en-US"/>
        </w:rPr>
        <w:t>. After water condensation and further drying, the captured CO</w:t>
      </w:r>
      <w:r w:rsidRPr="00D91113">
        <w:rPr>
          <w:vertAlign w:val="subscript"/>
          <w:lang w:val="en-US"/>
        </w:rPr>
        <w:t>2</w:t>
      </w:r>
      <w:r w:rsidRPr="00D91113">
        <w:rPr>
          <w:lang w:val="en-US"/>
        </w:rPr>
        <w:t xml:space="preserve"> </w:t>
      </w:r>
      <w:r w:rsidRPr="00BA52C0">
        <w:rPr>
          <w:noProof/>
          <w:lang w:val="en-US"/>
        </w:rPr>
        <w:t>is fed</w:t>
      </w:r>
      <w:r w:rsidRPr="00D91113">
        <w:rPr>
          <w:lang w:val="en-US"/>
        </w:rPr>
        <w:t xml:space="preserve"> to a </w:t>
      </w:r>
      <w:proofErr w:type="spellStart"/>
      <w:r w:rsidRPr="00D91113">
        <w:rPr>
          <w:lang w:val="en-US"/>
        </w:rPr>
        <w:t>photobioreactor</w:t>
      </w:r>
      <w:proofErr w:type="spellEnd"/>
      <w:r w:rsidRPr="00D91113">
        <w:rPr>
          <w:lang w:val="en-US"/>
        </w:rPr>
        <w:t xml:space="preserve"> that </w:t>
      </w:r>
      <w:r w:rsidR="005C43AE">
        <w:rPr>
          <w:noProof/>
          <w:lang w:val="en-US"/>
        </w:rPr>
        <w:t>can</w:t>
      </w:r>
      <w:r w:rsidRPr="00D91113">
        <w:rPr>
          <w:lang w:val="en-US"/>
        </w:rPr>
        <w:t xml:space="preserve"> fix carbon into </w:t>
      </w:r>
      <w:r w:rsidR="005C43AE">
        <w:rPr>
          <w:lang w:val="en-US"/>
        </w:rPr>
        <w:t>micro</w:t>
      </w:r>
      <w:r w:rsidRPr="00D91113">
        <w:rPr>
          <w:lang w:val="en-US"/>
        </w:rPr>
        <w:t>algae.</w:t>
      </w:r>
    </w:p>
    <w:p w14:paraId="0C53CFD2" w14:textId="79B46E08" w:rsidR="00D91113" w:rsidRPr="00D91113" w:rsidRDefault="00D91113" w:rsidP="00016844">
      <w:pPr>
        <w:rPr>
          <w:lang w:val="en-US"/>
        </w:rPr>
      </w:pPr>
      <w:r w:rsidRPr="00D91113">
        <w:rPr>
          <w:lang w:val="en-US"/>
        </w:rPr>
        <w:t>In this work, results of the first SOFC-based poly-generation system with complete CO</w:t>
      </w:r>
      <w:r w:rsidRPr="00D91113">
        <w:rPr>
          <w:vertAlign w:val="subscript"/>
          <w:lang w:val="en-US"/>
        </w:rPr>
        <w:t>2</w:t>
      </w:r>
      <w:r w:rsidRPr="00D91113">
        <w:rPr>
          <w:lang w:val="en-US"/>
        </w:rPr>
        <w:t xml:space="preserve"> recovery </w:t>
      </w:r>
      <w:r w:rsidRPr="005C43AE">
        <w:rPr>
          <w:noProof/>
          <w:lang w:val="en-US"/>
        </w:rPr>
        <w:t>in</w:t>
      </w:r>
      <w:r w:rsidR="005C43AE">
        <w:rPr>
          <w:noProof/>
          <w:lang w:val="en-US"/>
        </w:rPr>
        <w:t xml:space="preserve"> the</w:t>
      </w:r>
      <w:r w:rsidRPr="005C43AE">
        <w:rPr>
          <w:noProof/>
          <w:lang w:val="en-US"/>
        </w:rPr>
        <w:t xml:space="preserve"> form of</w:t>
      </w:r>
      <w:r w:rsidRPr="00D91113">
        <w:rPr>
          <w:lang w:val="en-US"/>
        </w:rPr>
        <w:t xml:space="preserve"> fast-growing biomass (micro-algae) </w:t>
      </w:r>
      <w:r w:rsidRPr="00BA52C0">
        <w:rPr>
          <w:noProof/>
          <w:lang w:val="en-US"/>
        </w:rPr>
        <w:t>are presented</w:t>
      </w:r>
      <w:r w:rsidRPr="00D91113">
        <w:rPr>
          <w:lang w:val="en-US"/>
        </w:rPr>
        <w:t>, as developed in the EU-funded project SOFCOM (GA 278798, www.sofcom.eu).</w:t>
      </w:r>
    </w:p>
    <w:p w14:paraId="5E1EFE41" w14:textId="2742D5C7" w:rsidR="00016844" w:rsidRDefault="0080548E" w:rsidP="00016844">
      <w:pPr>
        <w:rPr>
          <w:lang w:val="en-US"/>
        </w:rPr>
      </w:pPr>
      <w:r w:rsidRPr="00D91113">
        <w:rPr>
          <w:lang w:val="en-US"/>
        </w:rPr>
        <w:t xml:space="preserve">The overall plant layout </w:t>
      </w:r>
      <w:r w:rsidRPr="00BA52C0">
        <w:rPr>
          <w:noProof/>
          <w:lang w:val="en-US"/>
        </w:rPr>
        <w:t>is described</w:t>
      </w:r>
      <w:r w:rsidR="005C43AE" w:rsidRPr="005C43AE">
        <w:rPr>
          <w:noProof/>
          <w:lang w:val="en-US"/>
        </w:rPr>
        <w:t>,</w:t>
      </w:r>
      <w:r w:rsidRPr="00D91113">
        <w:rPr>
          <w:lang w:val="en-US"/>
        </w:rPr>
        <w:t xml:space="preserve"> and results on the performance of the </w:t>
      </w:r>
      <w:r w:rsidR="005C10DA">
        <w:rPr>
          <w:lang w:val="en-US"/>
        </w:rPr>
        <w:t>proof-of-concept</w:t>
      </w:r>
      <w:r w:rsidRPr="00D91113">
        <w:rPr>
          <w:lang w:val="en-US"/>
        </w:rPr>
        <w:t xml:space="preserve"> plant units </w:t>
      </w:r>
      <w:r w:rsidRPr="00BA52C0">
        <w:rPr>
          <w:noProof/>
          <w:lang w:val="en-US"/>
        </w:rPr>
        <w:t>are provided</w:t>
      </w:r>
      <w:r w:rsidRPr="00D91113">
        <w:rPr>
          <w:lang w:val="en-US"/>
        </w:rPr>
        <w:t>.</w:t>
      </w:r>
      <w:bookmarkEnd w:id="0"/>
      <w:r w:rsidRPr="00D91113">
        <w:rPr>
          <w:lang w:val="en-US"/>
        </w:rPr>
        <w:t xml:space="preserve">  </w:t>
      </w:r>
    </w:p>
    <w:p w14:paraId="5F6A9636" w14:textId="6732A28A" w:rsidR="001B3AA3" w:rsidRDefault="001B3AA3" w:rsidP="00016844">
      <w:pPr>
        <w:rPr>
          <w:lang w:val="en-US"/>
        </w:rPr>
      </w:pPr>
    </w:p>
    <w:p w14:paraId="1C9264D2" w14:textId="1D80847A" w:rsidR="001B3AA3" w:rsidRDefault="001B3AA3" w:rsidP="00016844">
      <w:pPr>
        <w:rPr>
          <w:lang w:val="en-US"/>
        </w:rPr>
      </w:pPr>
    </w:p>
    <w:p w14:paraId="66670E24" w14:textId="5B46C461" w:rsidR="001B3AA3" w:rsidRDefault="001B3AA3" w:rsidP="00016844">
      <w:pPr>
        <w:rPr>
          <w:lang w:val="en-US"/>
        </w:rPr>
      </w:pPr>
    </w:p>
    <w:p w14:paraId="44E8A218" w14:textId="08F49BAC" w:rsidR="001B3AA3" w:rsidRDefault="001B3AA3" w:rsidP="00016844">
      <w:pPr>
        <w:rPr>
          <w:lang w:val="en-US"/>
        </w:rPr>
      </w:pPr>
    </w:p>
    <w:p w14:paraId="2B04CBCF" w14:textId="77777777" w:rsidR="001B3AA3" w:rsidRPr="00D91113" w:rsidRDefault="001B3AA3" w:rsidP="00016844">
      <w:pPr>
        <w:rPr>
          <w:lang w:val="en-US"/>
        </w:rPr>
      </w:pPr>
    </w:p>
    <w:p w14:paraId="6F261836" w14:textId="18950AB1" w:rsidR="00F31629" w:rsidRPr="006922B2" w:rsidRDefault="00F31629" w:rsidP="00F31629">
      <w:pPr>
        <w:pStyle w:val="Titolo2"/>
        <w:numPr>
          <w:ilvl w:val="0"/>
          <w:numId w:val="0"/>
        </w:numPr>
        <w:ind w:left="720" w:hanging="360"/>
        <w:rPr>
          <w:lang w:val="en-US"/>
        </w:rPr>
      </w:pPr>
      <w:r w:rsidRPr="006922B2">
        <w:rPr>
          <w:lang w:val="en-US"/>
        </w:rPr>
        <w:lastRenderedPageBreak/>
        <w:t>Nomenclature</w:t>
      </w:r>
    </w:p>
    <w:p w14:paraId="2350AC7F" w14:textId="04E5A7B8" w:rsidR="00DB370D" w:rsidRDefault="00DB370D" w:rsidP="0033277B">
      <w:pPr>
        <w:spacing w:after="0"/>
        <w:rPr>
          <w:lang w:val="en-US"/>
        </w:rPr>
      </w:pPr>
      <w:r>
        <w:rPr>
          <w:lang w:val="en-US"/>
        </w:rPr>
        <w:t>CFD</w:t>
      </w:r>
      <w:r>
        <w:rPr>
          <w:lang w:val="en-US"/>
        </w:rPr>
        <w:tab/>
        <w:t>Co</w:t>
      </w:r>
      <w:r w:rsidRPr="00DB370D">
        <w:rPr>
          <w:lang w:val="en-US"/>
        </w:rPr>
        <w:t xml:space="preserve">mputational </w:t>
      </w:r>
      <w:r>
        <w:rPr>
          <w:lang w:val="en-US"/>
        </w:rPr>
        <w:t>F</w:t>
      </w:r>
      <w:r w:rsidRPr="00DB370D">
        <w:rPr>
          <w:lang w:val="en-US"/>
        </w:rPr>
        <w:t xml:space="preserve">luid </w:t>
      </w:r>
      <w:r>
        <w:rPr>
          <w:lang w:val="en-US"/>
        </w:rPr>
        <w:t>D</w:t>
      </w:r>
      <w:r w:rsidRPr="00DB370D">
        <w:rPr>
          <w:lang w:val="en-US"/>
        </w:rPr>
        <w:t>ynamic</w:t>
      </w:r>
    </w:p>
    <w:p w14:paraId="3C12D771" w14:textId="740EAE8B" w:rsidR="00F31629" w:rsidRDefault="00F31629" w:rsidP="0033277B">
      <w:pPr>
        <w:spacing w:after="0"/>
        <w:rPr>
          <w:lang w:val="en-US"/>
        </w:rPr>
      </w:pPr>
      <w:r>
        <w:rPr>
          <w:lang w:val="en-US"/>
        </w:rPr>
        <w:t>CRR</w:t>
      </w:r>
      <w:r>
        <w:rPr>
          <w:lang w:val="en-US"/>
        </w:rPr>
        <w:tab/>
        <w:t>Carbon Recovery and Re-utilization</w:t>
      </w:r>
      <w:r w:rsidR="00D548E3">
        <w:rPr>
          <w:lang w:val="en-US"/>
        </w:rPr>
        <w:t>+</w:t>
      </w:r>
    </w:p>
    <w:p w14:paraId="724B00BB" w14:textId="553A5355" w:rsidR="00D548E3" w:rsidRDefault="00D548E3" w:rsidP="0033277B">
      <w:pPr>
        <w:spacing w:after="0"/>
        <w:rPr>
          <w:lang w:val="en-US"/>
        </w:rPr>
      </w:pPr>
      <w:r>
        <w:rPr>
          <w:lang w:val="en-US"/>
        </w:rPr>
        <w:t xml:space="preserve">DPM </w:t>
      </w:r>
      <w:r>
        <w:rPr>
          <w:lang w:val="en-US"/>
        </w:rPr>
        <w:tab/>
      </w:r>
      <w:r w:rsidRPr="00D548E3">
        <w:rPr>
          <w:lang w:val="en-US"/>
        </w:rPr>
        <w:t>Discrete Phase Model</w:t>
      </w:r>
    </w:p>
    <w:p w14:paraId="2FA72771" w14:textId="06F9AFDD" w:rsidR="00F31629" w:rsidRDefault="00F31629" w:rsidP="0033277B">
      <w:pPr>
        <w:spacing w:after="0"/>
        <w:rPr>
          <w:lang w:val="en-US"/>
        </w:rPr>
      </w:pPr>
      <w:r>
        <w:rPr>
          <w:lang w:val="en-US"/>
        </w:rPr>
        <w:t xml:space="preserve">GT </w:t>
      </w:r>
      <w:r>
        <w:rPr>
          <w:lang w:val="en-US"/>
        </w:rPr>
        <w:tab/>
        <w:t xml:space="preserve">Gas Turbine </w:t>
      </w:r>
    </w:p>
    <w:p w14:paraId="07D30119" w14:textId="221A1BD3" w:rsidR="00F31629" w:rsidRDefault="00F31629" w:rsidP="0033277B">
      <w:pPr>
        <w:spacing w:after="0"/>
        <w:rPr>
          <w:lang w:val="en-US"/>
        </w:rPr>
      </w:pPr>
      <w:r>
        <w:rPr>
          <w:lang w:val="en-US"/>
        </w:rPr>
        <w:t>ICE</w:t>
      </w:r>
      <w:r>
        <w:rPr>
          <w:lang w:val="en-US"/>
        </w:rPr>
        <w:tab/>
        <w:t>Internal Combustion Engine</w:t>
      </w:r>
    </w:p>
    <w:p w14:paraId="5EAA3069" w14:textId="33556287" w:rsidR="00E63271" w:rsidRDefault="00E63271" w:rsidP="0033277B">
      <w:pPr>
        <w:spacing w:after="0"/>
        <w:rPr>
          <w:lang w:val="en-US"/>
        </w:rPr>
      </w:pPr>
      <w:r>
        <w:rPr>
          <w:lang w:val="en-US"/>
        </w:rPr>
        <w:t>LHV</w:t>
      </w:r>
      <w:r>
        <w:rPr>
          <w:lang w:val="en-US"/>
        </w:rPr>
        <w:tab/>
        <w:t>Lower Heating Value</w:t>
      </w:r>
    </w:p>
    <w:p w14:paraId="348D2096" w14:textId="418F8484" w:rsidR="00F31629" w:rsidRDefault="00F31629" w:rsidP="0033277B">
      <w:pPr>
        <w:spacing w:after="0"/>
        <w:rPr>
          <w:lang w:val="en-US"/>
        </w:rPr>
      </w:pPr>
      <w:r>
        <w:rPr>
          <w:lang w:val="en-US"/>
        </w:rPr>
        <w:t>NG</w:t>
      </w:r>
      <w:r>
        <w:rPr>
          <w:lang w:val="en-US"/>
        </w:rPr>
        <w:tab/>
        <w:t>Natural Gas</w:t>
      </w:r>
    </w:p>
    <w:p w14:paraId="39DBA12F" w14:textId="27CBD141" w:rsidR="00CA6996" w:rsidRDefault="00CA6996" w:rsidP="0033277B">
      <w:pPr>
        <w:spacing w:after="0"/>
        <w:rPr>
          <w:lang w:val="en-US"/>
        </w:rPr>
      </w:pPr>
      <w:r>
        <w:rPr>
          <w:lang w:val="en-US"/>
        </w:rPr>
        <w:t>PBR</w:t>
      </w:r>
      <w:r>
        <w:rPr>
          <w:lang w:val="en-US"/>
        </w:rPr>
        <w:tab/>
      </w:r>
      <w:proofErr w:type="spellStart"/>
      <w:r>
        <w:rPr>
          <w:lang w:val="en-US"/>
        </w:rPr>
        <w:t>PhotoBioReactor</w:t>
      </w:r>
      <w:proofErr w:type="spellEnd"/>
    </w:p>
    <w:p w14:paraId="14D2CC04" w14:textId="151B29A4" w:rsidR="00F31629" w:rsidRDefault="00F31629" w:rsidP="0033277B">
      <w:pPr>
        <w:spacing w:after="0"/>
        <w:rPr>
          <w:lang w:val="en-US"/>
        </w:rPr>
      </w:pPr>
      <w:r>
        <w:rPr>
          <w:lang w:val="en-US"/>
        </w:rPr>
        <w:t>ppm</w:t>
      </w:r>
      <w:r>
        <w:rPr>
          <w:lang w:val="en-US"/>
        </w:rPr>
        <w:tab/>
        <w:t>part</w:t>
      </w:r>
      <w:r w:rsidR="00B17C15">
        <w:rPr>
          <w:lang w:val="en-US"/>
        </w:rPr>
        <w:t>s</w:t>
      </w:r>
      <w:r>
        <w:rPr>
          <w:lang w:val="en-US"/>
        </w:rPr>
        <w:t xml:space="preserve"> per million</w:t>
      </w:r>
    </w:p>
    <w:p w14:paraId="5E94B941" w14:textId="523AC9D0" w:rsidR="00CA6996" w:rsidRDefault="00CA6996" w:rsidP="0033277B">
      <w:pPr>
        <w:spacing w:after="0"/>
        <w:rPr>
          <w:lang w:val="en-US"/>
        </w:rPr>
      </w:pPr>
      <w:r>
        <w:rPr>
          <w:lang w:val="en-US"/>
        </w:rPr>
        <w:t>S/C</w:t>
      </w:r>
      <w:r>
        <w:rPr>
          <w:lang w:val="en-US"/>
        </w:rPr>
        <w:tab/>
        <w:t>Steam to Carbon</w:t>
      </w:r>
    </w:p>
    <w:p w14:paraId="706E8066" w14:textId="5C984052" w:rsidR="00F31629" w:rsidRDefault="00F31629" w:rsidP="0033277B">
      <w:pPr>
        <w:spacing w:after="0"/>
        <w:rPr>
          <w:lang w:val="en-US"/>
        </w:rPr>
      </w:pPr>
      <w:r>
        <w:rPr>
          <w:lang w:val="en-US"/>
        </w:rPr>
        <w:t>SOFC</w:t>
      </w:r>
      <w:r>
        <w:rPr>
          <w:lang w:val="en-US"/>
        </w:rPr>
        <w:tab/>
        <w:t>Solid Oxide Fuel Cell</w:t>
      </w:r>
    </w:p>
    <w:p w14:paraId="57E87875" w14:textId="18301D17" w:rsidR="00713C41" w:rsidRDefault="00713C41" w:rsidP="0033277B">
      <w:pPr>
        <w:spacing w:after="0"/>
        <w:rPr>
          <w:lang w:val="en-US"/>
        </w:rPr>
      </w:pPr>
      <w:r>
        <w:rPr>
          <w:lang w:val="en-US"/>
        </w:rPr>
        <w:t>STD</w:t>
      </w:r>
      <w:r>
        <w:rPr>
          <w:lang w:val="en-US"/>
        </w:rPr>
        <w:tab/>
        <w:t>Standard</w:t>
      </w:r>
    </w:p>
    <w:p w14:paraId="08D8BD85" w14:textId="5AABB1D4" w:rsidR="00713C41" w:rsidRDefault="00713C41" w:rsidP="0033277B">
      <w:pPr>
        <w:spacing w:after="0"/>
        <w:rPr>
          <w:lang w:val="en-US"/>
        </w:rPr>
      </w:pPr>
      <w:r>
        <w:rPr>
          <w:lang w:val="en-US"/>
        </w:rPr>
        <w:t>STL</w:t>
      </w:r>
      <w:r>
        <w:rPr>
          <w:lang w:val="en-US"/>
        </w:rPr>
        <w:tab/>
        <w:t>Standard Liters</w:t>
      </w:r>
    </w:p>
    <w:p w14:paraId="2D3CA7AB" w14:textId="06641A94" w:rsidR="00F31629" w:rsidRDefault="00F31629" w:rsidP="0033277B">
      <w:pPr>
        <w:spacing w:after="0"/>
        <w:rPr>
          <w:lang w:val="en-US"/>
        </w:rPr>
      </w:pPr>
      <w:r>
        <w:rPr>
          <w:lang w:val="en-US"/>
        </w:rPr>
        <w:t>WWTP</w:t>
      </w:r>
      <w:r>
        <w:rPr>
          <w:lang w:val="en-US"/>
        </w:rPr>
        <w:tab/>
        <w:t>Waste Water Treatment Plant</w:t>
      </w:r>
    </w:p>
    <w:p w14:paraId="6995629B" w14:textId="77777777" w:rsidR="00F31629" w:rsidRPr="00F31629" w:rsidRDefault="00F31629" w:rsidP="00F31629">
      <w:pPr>
        <w:spacing w:after="0" w:line="240" w:lineRule="auto"/>
        <w:rPr>
          <w:lang w:val="en-US"/>
        </w:rPr>
      </w:pPr>
    </w:p>
    <w:p w14:paraId="0E57058E" w14:textId="71B2B065" w:rsidR="0083387B" w:rsidRPr="006922B2" w:rsidRDefault="0083387B" w:rsidP="0083387B">
      <w:pPr>
        <w:pStyle w:val="Titolo2"/>
        <w:rPr>
          <w:lang w:val="en-US"/>
        </w:rPr>
      </w:pPr>
      <w:r w:rsidRPr="006922B2">
        <w:rPr>
          <w:lang w:val="en-US"/>
        </w:rPr>
        <w:t>Introduction</w:t>
      </w:r>
      <w:r w:rsidR="00BC09A2" w:rsidRPr="006922B2">
        <w:rPr>
          <w:lang w:val="en-US"/>
        </w:rPr>
        <w:t xml:space="preserve"> </w:t>
      </w:r>
    </w:p>
    <w:p w14:paraId="57108770" w14:textId="25196E9E" w:rsidR="003F6EB6" w:rsidRDefault="005C43AE" w:rsidP="0080548E">
      <w:pPr>
        <w:rPr>
          <w:lang w:val="en-US"/>
        </w:rPr>
      </w:pPr>
      <w:r w:rsidRPr="005C43AE">
        <w:rPr>
          <w:noProof/>
          <w:lang w:val="en-US"/>
        </w:rPr>
        <w:t>In</w:t>
      </w:r>
      <w:r>
        <w:rPr>
          <w:noProof/>
          <w:lang w:val="en-US"/>
        </w:rPr>
        <w:t>novation in energy technology</w:t>
      </w:r>
      <w:r w:rsidR="003F6EB6">
        <w:rPr>
          <w:lang w:val="en-US"/>
        </w:rPr>
        <w:t xml:space="preserve"> </w:t>
      </w:r>
      <w:r w:rsidR="003F6EB6" w:rsidRPr="00BA52C0">
        <w:rPr>
          <w:noProof/>
          <w:lang w:val="en-US"/>
        </w:rPr>
        <w:t>is connected</w:t>
      </w:r>
      <w:r w:rsidR="003F6EB6">
        <w:rPr>
          <w:lang w:val="en-US"/>
        </w:rPr>
        <w:t xml:space="preserve"> to solutions for </w:t>
      </w:r>
      <w:r>
        <w:rPr>
          <w:lang w:val="en-US"/>
        </w:rPr>
        <w:t xml:space="preserve">the </w:t>
      </w:r>
      <w:r w:rsidR="003F6EB6">
        <w:rPr>
          <w:lang w:val="en-US"/>
        </w:rPr>
        <w:t xml:space="preserve">climate mitigation, </w:t>
      </w:r>
      <w:r w:rsidR="00A00B8F">
        <w:rPr>
          <w:lang w:val="en-US"/>
        </w:rPr>
        <w:t xml:space="preserve">one of </w:t>
      </w:r>
      <w:r w:rsidR="003F6EB6">
        <w:rPr>
          <w:lang w:val="en-US"/>
        </w:rPr>
        <w:t>the most challenging effort</w:t>
      </w:r>
      <w:r w:rsidR="00B17C15">
        <w:rPr>
          <w:lang w:val="en-US"/>
        </w:rPr>
        <w:t>s</w:t>
      </w:r>
      <w:r w:rsidR="003F6EB6">
        <w:rPr>
          <w:lang w:val="en-US"/>
        </w:rPr>
        <w:t xml:space="preserve"> of human society in the </w:t>
      </w:r>
      <w:r>
        <w:rPr>
          <w:lang w:val="en-US"/>
        </w:rPr>
        <w:t>21st</w:t>
      </w:r>
      <w:r w:rsidR="003F6EB6">
        <w:rPr>
          <w:lang w:val="en-US"/>
        </w:rPr>
        <w:t xml:space="preserve"> century. </w:t>
      </w:r>
      <w:r w:rsidR="0020233A">
        <w:rPr>
          <w:lang w:val="en-US"/>
        </w:rPr>
        <w:t xml:space="preserve">One of the </w:t>
      </w:r>
      <w:r>
        <w:rPr>
          <w:noProof/>
          <w:lang w:val="en-US"/>
        </w:rPr>
        <w:t>principal</w:t>
      </w:r>
      <w:r w:rsidR="0020233A">
        <w:rPr>
          <w:lang w:val="en-US"/>
        </w:rPr>
        <w:t xml:space="preserve"> targets of climate mitigation is the control and</w:t>
      </w:r>
      <w:r w:rsidR="00074993">
        <w:rPr>
          <w:lang w:val="en-US"/>
        </w:rPr>
        <w:t xml:space="preserve"> management of CO</w:t>
      </w:r>
      <w:r w:rsidR="00074993" w:rsidRPr="00A92DEB">
        <w:rPr>
          <w:vertAlign w:val="subscript"/>
          <w:lang w:val="en-US"/>
        </w:rPr>
        <w:t>2</w:t>
      </w:r>
      <w:r w:rsidR="00074993">
        <w:rPr>
          <w:lang w:val="en-US"/>
        </w:rPr>
        <w:t xml:space="preserve"> in the Earth’s </w:t>
      </w:r>
      <w:r w:rsidR="0020233A">
        <w:rPr>
          <w:lang w:val="en-US"/>
        </w:rPr>
        <w:t>biosphere.</w:t>
      </w:r>
    </w:p>
    <w:p w14:paraId="7E92BC1D" w14:textId="6F831C70" w:rsidR="00AA48EE" w:rsidRPr="005A3CEF" w:rsidRDefault="00AA48EE" w:rsidP="0080548E">
      <w:pPr>
        <w:rPr>
          <w:lang w:val="en-US"/>
        </w:rPr>
      </w:pPr>
      <w:r w:rsidRPr="005A3CEF">
        <w:rPr>
          <w:lang w:val="en-US"/>
        </w:rPr>
        <w:t xml:space="preserve">The </w:t>
      </w:r>
      <w:r w:rsidR="00450807" w:rsidRPr="005A3CEF">
        <w:rPr>
          <w:lang w:val="en-US"/>
        </w:rPr>
        <w:t xml:space="preserve">global average temperature </w:t>
      </w:r>
      <w:r w:rsidRPr="005A3CEF">
        <w:rPr>
          <w:lang w:val="en-US"/>
        </w:rPr>
        <w:t>is already at 1</w:t>
      </w:r>
      <w:r w:rsidR="006C7E65" w:rsidRPr="005A3CEF">
        <w:rPr>
          <w:lang w:val="en-US"/>
        </w:rPr>
        <w:t>°</w:t>
      </w:r>
      <w:r w:rsidRPr="005A3CEF">
        <w:rPr>
          <w:lang w:val="en-US"/>
        </w:rPr>
        <w:t>C</w:t>
      </w:r>
      <w:r w:rsidR="00B17C15" w:rsidRPr="005A3CEF">
        <w:rPr>
          <w:lang w:val="en-US"/>
        </w:rPr>
        <w:t xml:space="preserve"> above pre-industrial levels</w:t>
      </w:r>
      <w:r w:rsidRPr="005A3CEF">
        <w:rPr>
          <w:lang w:val="en-US"/>
        </w:rPr>
        <w:t>, and the carbon budget (the amount of atmospheric carbon we can emit before reaching 1.5</w:t>
      </w:r>
      <w:r w:rsidR="006C7E65" w:rsidRPr="005A3CEF">
        <w:rPr>
          <w:lang w:val="en-US"/>
        </w:rPr>
        <w:t>°</w:t>
      </w:r>
      <w:r w:rsidRPr="005A3CEF">
        <w:rPr>
          <w:lang w:val="en-US"/>
        </w:rPr>
        <w:t>C) is half what is allowable under a limit of 2</w:t>
      </w:r>
      <w:r w:rsidR="006C7E65" w:rsidRPr="005A3CEF">
        <w:rPr>
          <w:lang w:val="en-US"/>
        </w:rPr>
        <w:t>°</w:t>
      </w:r>
      <w:r w:rsidRPr="005A3CEF">
        <w:rPr>
          <w:lang w:val="en-US"/>
        </w:rPr>
        <w:t>C. In a very short time</w:t>
      </w:r>
      <w:r w:rsidR="00074993" w:rsidRPr="005A3CEF">
        <w:rPr>
          <w:lang w:val="en-US"/>
        </w:rPr>
        <w:t>,</w:t>
      </w:r>
      <w:r w:rsidRPr="005A3CEF">
        <w:rPr>
          <w:lang w:val="en-US"/>
        </w:rPr>
        <w:t xml:space="preserve"> we will be out of carbon budget to stay below 1.5</w:t>
      </w:r>
      <w:r w:rsidR="006C7E65" w:rsidRPr="005A3CEF">
        <w:rPr>
          <w:lang w:val="en-US"/>
        </w:rPr>
        <w:t>°</w:t>
      </w:r>
      <w:r w:rsidRPr="005A3CEF">
        <w:rPr>
          <w:lang w:val="en-US"/>
        </w:rPr>
        <w:t>C, so regardless of how fast we limit fossil fuels, we will need to invest in third-way technologies to capture CO</w:t>
      </w:r>
      <w:r w:rsidRPr="005A3CEF">
        <w:rPr>
          <w:vertAlign w:val="subscript"/>
          <w:lang w:val="en-US"/>
        </w:rPr>
        <w:t>2</w:t>
      </w:r>
      <w:r w:rsidRPr="005A3CEF">
        <w:rPr>
          <w:lang w:val="en-US"/>
        </w:rPr>
        <w:t xml:space="preserve"> from the atmosphere</w:t>
      </w:r>
      <w:r w:rsidR="00B17C15" w:rsidRPr="005A3CEF">
        <w:rPr>
          <w:lang w:val="en-US"/>
        </w:rPr>
        <w:t xml:space="preserve">, which is </w:t>
      </w:r>
      <w:r w:rsidR="005C43AE" w:rsidRPr="005A3CEF">
        <w:rPr>
          <w:lang w:val="en-US"/>
        </w:rPr>
        <w:t>energy-</w:t>
      </w:r>
      <w:r w:rsidR="005C43AE" w:rsidRPr="005A3CEF">
        <w:rPr>
          <w:noProof/>
          <w:lang w:val="en-US"/>
        </w:rPr>
        <w:t>intensive</w:t>
      </w:r>
      <w:r w:rsidR="005C43AE" w:rsidRPr="005A3CEF">
        <w:rPr>
          <w:lang w:val="en-US"/>
        </w:rPr>
        <w:t xml:space="preserve"> due to its</w:t>
      </w:r>
      <w:r w:rsidR="00B17C15" w:rsidRPr="005A3CEF">
        <w:rPr>
          <w:lang w:val="en-US"/>
        </w:rPr>
        <w:t xml:space="preserve"> low concentration in absolute values</w:t>
      </w:r>
      <w:r w:rsidR="005A1C74" w:rsidRPr="005A3CEF">
        <w:rPr>
          <w:lang w:val="en-US"/>
        </w:rPr>
        <w:t xml:space="preserve"> </w:t>
      </w:r>
      <w:r w:rsidR="005A1C74" w:rsidRPr="005A3CEF">
        <w:rPr>
          <w:lang w:val="en-US"/>
        </w:rPr>
        <w:fldChar w:fldCharType="begin" w:fldLock="1"/>
      </w:r>
      <w:r w:rsidR="005A1C74" w:rsidRPr="005A3CEF">
        <w:rPr>
          <w:lang w:val="en-US"/>
        </w:rPr>
        <w:instrText>ADDIN CSL_CITATION { "citationItems" : [ { "id" : "ITEM-1", "itemData" : { "abstract" : "Twenty-first session Paris, 30 November to 11 December 2015 Agenda item 4(b) Durban Platform for Enhanced Action (decision 1/CP.17) Adoption of a protocol, another legal instrument, or an agreed outcome with legal force under the Convention applicable to all Parties Recognizing that climate change represents an urgent and potentially irreversible threat to human societies and the planet and thus requires the widest possible cooperation by all countries, and their participation in an effective and appropriate international response, with a view to accelerating the reduction of global greenhouse gas emissions, Also recognizing that deep reductions in global emissions will be required in order to achieve the ultimate objective of the Convention and emphasizing the need for urgency in addressing climate change, Acknowledging that climate change is a common concern of humankind, Parties should, when taking action to address climate change, respect, promote and consider their respective obligations on human rights, the right to health, the rights of indigenous peoples, + United Nations", "author" : [ { "dropping-particle" : "", "family" : "FCCC United Nations", "given" : "", "non-dropping-particle" : "", "parse-names" : false, "suffix" : "" } ], "id" : "ITEM-1", "issued" : { "date-parts" : [ [ "2015" ] ] }, "title" : "Adoption of the Paris Agreement under the United Nations Framework Convention on Climate Change, FCCC/CP/2015/L.9/Rev.1", "type" : "report" }, "uris" : [ "http://www.mendeley.com/documents/?uuid=36625372-7d4e-357f-8740-b7417d77e93e" ] } ], "mendeley" : { "formattedCitation" : "[1]", "plainTextFormattedCitation" : "[1]", "previouslyFormattedCitation" : "[1]" }, "properties" : { "noteIndex" : 0 }, "schema" : "https://github.com/citation-style-language/schema/raw/master/csl-citation.json" }</w:instrText>
      </w:r>
      <w:r w:rsidR="005A1C74" w:rsidRPr="005A3CEF">
        <w:rPr>
          <w:lang w:val="en-US"/>
        </w:rPr>
        <w:fldChar w:fldCharType="separate"/>
      </w:r>
      <w:r w:rsidR="005A1C74" w:rsidRPr="005A3CEF">
        <w:rPr>
          <w:noProof/>
          <w:lang w:val="en-US"/>
        </w:rPr>
        <w:t>[1]</w:t>
      </w:r>
      <w:r w:rsidR="005A1C74" w:rsidRPr="005A3CEF">
        <w:rPr>
          <w:lang w:val="en-US"/>
        </w:rPr>
        <w:fldChar w:fldCharType="end"/>
      </w:r>
      <w:r w:rsidRPr="005A3CEF">
        <w:rPr>
          <w:lang w:val="en-US"/>
        </w:rPr>
        <w:t xml:space="preserve">. </w:t>
      </w:r>
    </w:p>
    <w:p w14:paraId="0BF92342" w14:textId="1F1B6D10" w:rsidR="003F6EB6" w:rsidRDefault="00074993" w:rsidP="0080548E">
      <w:pPr>
        <w:rPr>
          <w:lang w:val="en-US"/>
        </w:rPr>
      </w:pPr>
      <w:r>
        <w:rPr>
          <w:lang w:val="en-US"/>
        </w:rPr>
        <w:t xml:space="preserve">However, another paradigm </w:t>
      </w:r>
      <w:r w:rsidR="00AA48EE">
        <w:rPr>
          <w:lang w:val="en-US"/>
        </w:rPr>
        <w:t xml:space="preserve">based on the </w:t>
      </w:r>
      <w:r w:rsidR="00680ECD">
        <w:rPr>
          <w:lang w:val="en-US"/>
        </w:rPr>
        <w:t>capture</w:t>
      </w:r>
      <w:r w:rsidR="00AA48EE">
        <w:rPr>
          <w:lang w:val="en-US"/>
        </w:rPr>
        <w:t xml:space="preserve"> of</w:t>
      </w:r>
      <w:r w:rsidR="00680ECD">
        <w:rPr>
          <w:lang w:val="en-US"/>
        </w:rPr>
        <w:t xml:space="preserve"> the</w:t>
      </w:r>
      <w:r w:rsidR="00AA48EE">
        <w:rPr>
          <w:lang w:val="en-US"/>
        </w:rPr>
        <w:t xml:space="preserve"> CO</w:t>
      </w:r>
      <w:r w:rsidR="00AA48EE" w:rsidRPr="006C7E65">
        <w:rPr>
          <w:vertAlign w:val="subscript"/>
          <w:lang w:val="en-US"/>
        </w:rPr>
        <w:t>2</w:t>
      </w:r>
      <w:r w:rsidR="00AA48EE">
        <w:rPr>
          <w:lang w:val="en-US"/>
        </w:rPr>
        <w:t xml:space="preserve"> before its emission into</w:t>
      </w:r>
      <w:r w:rsidR="005C43AE">
        <w:rPr>
          <w:lang w:val="en-US"/>
        </w:rPr>
        <w:t xml:space="preserve"> the</w:t>
      </w:r>
      <w:r w:rsidR="00AA48EE">
        <w:rPr>
          <w:lang w:val="en-US"/>
        </w:rPr>
        <w:t xml:space="preserve"> </w:t>
      </w:r>
      <w:r w:rsidR="00AA48EE" w:rsidRPr="005C43AE">
        <w:rPr>
          <w:noProof/>
          <w:lang w:val="en-US"/>
        </w:rPr>
        <w:t>atmosphere</w:t>
      </w:r>
      <w:r w:rsidR="00AA48EE">
        <w:rPr>
          <w:lang w:val="en-US"/>
        </w:rPr>
        <w:t xml:space="preserve">, and </w:t>
      </w:r>
      <w:r w:rsidR="00680ECD">
        <w:rPr>
          <w:noProof/>
          <w:lang w:val="en-US"/>
        </w:rPr>
        <w:t>on the</w:t>
      </w:r>
      <w:r w:rsidR="00680ECD">
        <w:rPr>
          <w:lang w:val="en-US"/>
        </w:rPr>
        <w:t xml:space="preserve"> re-fixation of the c</w:t>
      </w:r>
      <w:r w:rsidR="00AA48EE">
        <w:rPr>
          <w:lang w:val="en-US"/>
        </w:rPr>
        <w:t>arbon content of the CO</w:t>
      </w:r>
      <w:r w:rsidR="00AA48EE" w:rsidRPr="006C7E65">
        <w:rPr>
          <w:vertAlign w:val="subscript"/>
          <w:lang w:val="en-US"/>
        </w:rPr>
        <w:t>2</w:t>
      </w:r>
      <w:r w:rsidR="00AA48EE">
        <w:rPr>
          <w:lang w:val="en-US"/>
        </w:rPr>
        <w:t xml:space="preserve"> molecule, can be of high interest and effectivity.</w:t>
      </w:r>
      <w:r w:rsidR="00E34B2F">
        <w:rPr>
          <w:lang w:val="en-US"/>
        </w:rPr>
        <w:t xml:space="preserve"> </w:t>
      </w:r>
      <w:r w:rsidR="00E34B2F" w:rsidRPr="00680ECD">
        <w:rPr>
          <w:noProof/>
          <w:lang w:val="en-US"/>
        </w:rPr>
        <w:t xml:space="preserve">This </w:t>
      </w:r>
      <w:r w:rsidR="00680ECD" w:rsidRPr="00680ECD">
        <w:rPr>
          <w:noProof/>
          <w:lang w:val="en-US"/>
        </w:rPr>
        <w:t>co</w:t>
      </w:r>
      <w:r w:rsidR="00680ECD">
        <w:rPr>
          <w:noProof/>
          <w:lang w:val="en-US"/>
        </w:rPr>
        <w:t xml:space="preserve">ncept </w:t>
      </w:r>
      <w:r w:rsidR="00E34B2F" w:rsidRPr="00680ECD">
        <w:rPr>
          <w:noProof/>
          <w:lang w:val="en-US"/>
        </w:rPr>
        <w:t>is</w:t>
      </w:r>
      <w:r w:rsidR="00E34B2F">
        <w:rPr>
          <w:lang w:val="en-US"/>
        </w:rPr>
        <w:t xml:space="preserve"> the </w:t>
      </w:r>
      <w:r w:rsidR="00680ECD">
        <w:rPr>
          <w:lang w:val="en-US"/>
        </w:rPr>
        <w:t>central one of the</w:t>
      </w:r>
      <w:r w:rsidR="00E34B2F">
        <w:rPr>
          <w:lang w:val="en-US"/>
        </w:rPr>
        <w:t xml:space="preserve"> Carbon Re</w:t>
      </w:r>
      <w:r>
        <w:rPr>
          <w:lang w:val="en-US"/>
        </w:rPr>
        <w:t xml:space="preserve">covery and Re-utilization (or </w:t>
      </w:r>
      <w:r w:rsidRPr="00A00B8F">
        <w:rPr>
          <w:lang w:val="en-US"/>
        </w:rPr>
        <w:t>CR</w:t>
      </w:r>
      <w:r w:rsidR="00E34B2F" w:rsidRPr="00A00B8F">
        <w:rPr>
          <w:lang w:val="en-US"/>
        </w:rPr>
        <w:t>R</w:t>
      </w:r>
      <w:r w:rsidR="00E34B2F">
        <w:rPr>
          <w:lang w:val="en-US"/>
        </w:rPr>
        <w:t>)</w:t>
      </w:r>
      <w:r w:rsidR="00680ECD">
        <w:rPr>
          <w:lang w:val="en-US"/>
        </w:rPr>
        <w:t xml:space="preserve"> paradigm</w:t>
      </w:r>
      <w:r w:rsidR="00E34B2F">
        <w:rPr>
          <w:lang w:val="en-US"/>
        </w:rPr>
        <w:t>.</w:t>
      </w:r>
    </w:p>
    <w:p w14:paraId="6891B1F1" w14:textId="314C35E3" w:rsidR="00E34B2F" w:rsidRPr="005A3CEF" w:rsidRDefault="00E34B2F" w:rsidP="0080548E">
      <w:pPr>
        <w:rPr>
          <w:lang w:val="en-US"/>
        </w:rPr>
      </w:pPr>
      <w:r w:rsidRPr="005A3CEF">
        <w:rPr>
          <w:lang w:val="en-US"/>
        </w:rPr>
        <w:t xml:space="preserve">In fact, the </w:t>
      </w:r>
      <w:r w:rsidR="00B17C15" w:rsidRPr="005A3CEF">
        <w:rPr>
          <w:lang w:val="en-US"/>
        </w:rPr>
        <w:t>c</w:t>
      </w:r>
      <w:r w:rsidRPr="005A3CEF">
        <w:rPr>
          <w:lang w:val="en-US"/>
        </w:rPr>
        <w:t>arbon atom c</w:t>
      </w:r>
      <w:r w:rsidR="005C43AE" w:rsidRPr="005A3CEF">
        <w:rPr>
          <w:lang w:val="en-US"/>
        </w:rPr>
        <w:t>ould</w:t>
      </w:r>
      <w:r w:rsidRPr="005A3CEF">
        <w:rPr>
          <w:lang w:val="en-US"/>
        </w:rPr>
        <w:t xml:space="preserve"> be </w:t>
      </w:r>
      <w:r w:rsidR="005C43AE" w:rsidRPr="005A3CEF">
        <w:rPr>
          <w:lang w:val="en-US"/>
        </w:rPr>
        <w:t>recovered and re-used rather</w:t>
      </w:r>
      <w:r w:rsidRPr="005A3CEF">
        <w:rPr>
          <w:lang w:val="en-US"/>
        </w:rPr>
        <w:t xml:space="preserve"> than</w:t>
      </w:r>
      <w:r w:rsidR="005C43AE" w:rsidRPr="005A3CEF">
        <w:rPr>
          <w:lang w:val="en-US"/>
        </w:rPr>
        <w:t xml:space="preserve"> </w:t>
      </w:r>
      <w:r w:rsidR="005C43AE" w:rsidRPr="005A3CEF">
        <w:rPr>
          <w:noProof/>
          <w:lang w:val="en-US"/>
        </w:rPr>
        <w:t xml:space="preserve">being stored in unground sites. </w:t>
      </w:r>
      <w:r w:rsidR="005C43AE" w:rsidRPr="005A3CEF">
        <w:rPr>
          <w:lang w:val="en-US"/>
        </w:rPr>
        <w:t>CCR could be applied</w:t>
      </w:r>
      <w:r w:rsidRPr="005A3CEF">
        <w:rPr>
          <w:lang w:val="en-US"/>
        </w:rPr>
        <w:t xml:space="preserve"> </w:t>
      </w:r>
      <w:r w:rsidR="005C43AE" w:rsidRPr="005A3CEF">
        <w:rPr>
          <w:noProof/>
          <w:lang w:val="en-US"/>
        </w:rPr>
        <w:t>not only to</w:t>
      </w:r>
      <w:r w:rsidRPr="005A3CEF">
        <w:rPr>
          <w:lang w:val="en-US"/>
        </w:rPr>
        <w:t xml:space="preserve"> the energy sector</w:t>
      </w:r>
      <w:r w:rsidR="005C43AE" w:rsidRPr="005A3CEF">
        <w:rPr>
          <w:lang w:val="en-US"/>
        </w:rPr>
        <w:t xml:space="preserve"> (i.e., to produce synthetic carbon </w:t>
      </w:r>
      <w:r w:rsidR="005C43AE" w:rsidRPr="005A3CEF">
        <w:rPr>
          <w:noProof/>
          <w:lang w:val="en-US"/>
        </w:rPr>
        <w:t>fuels)</w:t>
      </w:r>
      <w:r w:rsidRPr="005A3CEF">
        <w:rPr>
          <w:lang w:val="en-US"/>
        </w:rPr>
        <w:t xml:space="preserve"> but also for other market applications such as the </w:t>
      </w:r>
      <w:r w:rsidR="005C43AE" w:rsidRPr="005A3CEF">
        <w:rPr>
          <w:lang w:val="en-US"/>
        </w:rPr>
        <w:t xml:space="preserve">production of </w:t>
      </w:r>
      <w:r w:rsidRPr="005A3CEF">
        <w:rPr>
          <w:lang w:val="en-US"/>
        </w:rPr>
        <w:t>green chemicals. The carbon atom contained in the CO</w:t>
      </w:r>
      <w:r w:rsidRPr="005A3CEF">
        <w:rPr>
          <w:vertAlign w:val="subscript"/>
          <w:lang w:val="en-US"/>
        </w:rPr>
        <w:t>2</w:t>
      </w:r>
      <w:r w:rsidRPr="005A3CEF">
        <w:rPr>
          <w:lang w:val="en-US"/>
        </w:rPr>
        <w:t xml:space="preserve"> can be used to produce synthetic fuels, green chemicals, </w:t>
      </w:r>
      <w:r w:rsidR="00B17C15" w:rsidRPr="005A3CEF">
        <w:rPr>
          <w:lang w:val="en-US"/>
        </w:rPr>
        <w:t xml:space="preserve">materials </w:t>
      </w:r>
      <w:r w:rsidRPr="005A3CEF">
        <w:rPr>
          <w:lang w:val="en-US"/>
        </w:rPr>
        <w:t xml:space="preserve">and also new biomass. This recovery is not free </w:t>
      </w:r>
      <w:r w:rsidR="005C43AE" w:rsidRPr="005A3CEF">
        <w:rPr>
          <w:noProof/>
          <w:lang w:val="en-US"/>
        </w:rPr>
        <w:t>regarding</w:t>
      </w:r>
      <w:r w:rsidRPr="005A3CEF">
        <w:rPr>
          <w:lang w:val="en-US"/>
        </w:rPr>
        <w:t xml:space="preserve"> energy</w:t>
      </w:r>
      <w:r w:rsidR="00B17C15" w:rsidRPr="005A3CEF">
        <w:rPr>
          <w:lang w:val="en-US"/>
        </w:rPr>
        <w:t>,</w:t>
      </w:r>
      <w:r w:rsidR="00074993" w:rsidRPr="005A3CEF">
        <w:rPr>
          <w:lang w:val="en-US"/>
        </w:rPr>
        <w:t xml:space="preserve"> of course</w:t>
      </w:r>
      <w:r w:rsidRPr="005A3CEF">
        <w:rPr>
          <w:lang w:val="en-US"/>
        </w:rPr>
        <w:t xml:space="preserve">: to recover </w:t>
      </w:r>
      <w:r w:rsidR="00B17C15" w:rsidRPr="005A3CEF">
        <w:rPr>
          <w:lang w:val="en-US"/>
        </w:rPr>
        <w:t>c</w:t>
      </w:r>
      <w:r w:rsidRPr="005A3CEF">
        <w:rPr>
          <w:lang w:val="en-US"/>
        </w:rPr>
        <w:t>arbon from the CO</w:t>
      </w:r>
      <w:r w:rsidRPr="005A3CEF">
        <w:rPr>
          <w:vertAlign w:val="subscript"/>
          <w:lang w:val="en-US"/>
        </w:rPr>
        <w:t>2</w:t>
      </w:r>
      <w:r w:rsidRPr="005A3CEF">
        <w:rPr>
          <w:lang w:val="en-US"/>
        </w:rPr>
        <w:t xml:space="preserve"> molecule, </w:t>
      </w:r>
      <w:r w:rsidR="00074993" w:rsidRPr="005A3CEF">
        <w:rPr>
          <w:lang w:val="en-US"/>
        </w:rPr>
        <w:t>chemical, biological,</w:t>
      </w:r>
      <w:r w:rsidRPr="005A3CEF">
        <w:rPr>
          <w:lang w:val="en-US"/>
        </w:rPr>
        <w:t xml:space="preserve"> or electrochemical processes have to be driven, wit</w:t>
      </w:r>
      <w:r w:rsidR="00F252A5" w:rsidRPr="005A3CEF">
        <w:rPr>
          <w:lang w:val="en-US"/>
        </w:rPr>
        <w:t>h</w:t>
      </w:r>
      <w:r w:rsidRPr="005A3CEF">
        <w:rPr>
          <w:lang w:val="en-US"/>
        </w:rPr>
        <w:t xml:space="preserve"> an expenditure of </w:t>
      </w:r>
      <w:r w:rsidR="00074993" w:rsidRPr="005A3CEF">
        <w:rPr>
          <w:lang w:val="en-US"/>
        </w:rPr>
        <w:t>energy,</w:t>
      </w:r>
      <w:r w:rsidRPr="005A3CEF">
        <w:rPr>
          <w:lang w:val="en-US"/>
        </w:rPr>
        <w:t xml:space="preserve"> as the Gibbs free energy has to increase again</w:t>
      </w:r>
      <w:r w:rsidR="00074993" w:rsidRPr="005A3CEF">
        <w:rPr>
          <w:lang w:val="en-US"/>
        </w:rPr>
        <w:t xml:space="preserve">. </w:t>
      </w:r>
    </w:p>
    <w:p w14:paraId="022CDFC2" w14:textId="25651370" w:rsidR="00C06A9B" w:rsidRPr="005A3CEF" w:rsidRDefault="00E83DC2" w:rsidP="0080548E">
      <w:pPr>
        <w:rPr>
          <w:lang w:val="en-US"/>
        </w:rPr>
      </w:pPr>
      <w:r w:rsidRPr="005A3CEF">
        <w:rPr>
          <w:lang w:val="en-US"/>
        </w:rPr>
        <w:lastRenderedPageBreak/>
        <w:t>Carbon recovery from CO</w:t>
      </w:r>
      <w:r w:rsidRPr="005A3CEF">
        <w:rPr>
          <w:vertAlign w:val="subscript"/>
          <w:lang w:val="en-US"/>
        </w:rPr>
        <w:t>2</w:t>
      </w:r>
      <w:r w:rsidRPr="005A3CEF">
        <w:rPr>
          <w:lang w:val="en-US"/>
        </w:rPr>
        <w:t xml:space="preserve"> is </w:t>
      </w:r>
      <w:r w:rsidR="00074993" w:rsidRPr="005A3CEF">
        <w:rPr>
          <w:lang w:val="en-US"/>
        </w:rPr>
        <w:t>certainly not</w:t>
      </w:r>
      <w:r w:rsidRPr="005A3CEF">
        <w:rPr>
          <w:lang w:val="en-US"/>
        </w:rPr>
        <w:t xml:space="preserve"> an easy task</w:t>
      </w:r>
      <w:r w:rsidR="00074993" w:rsidRPr="005A3CEF">
        <w:rPr>
          <w:lang w:val="en-US"/>
        </w:rPr>
        <w:t xml:space="preserve"> to accomplish. T</w:t>
      </w:r>
      <w:r w:rsidRPr="005A3CEF">
        <w:rPr>
          <w:lang w:val="en-US"/>
        </w:rPr>
        <w:t xml:space="preserve">he </w:t>
      </w:r>
      <w:r w:rsidR="005C43AE" w:rsidRPr="005A3CEF">
        <w:rPr>
          <w:noProof/>
          <w:lang w:val="en-US"/>
        </w:rPr>
        <w:t>average</w:t>
      </w:r>
      <w:r w:rsidR="00074993" w:rsidRPr="005A3CEF">
        <w:rPr>
          <w:lang w:val="en-US"/>
        </w:rPr>
        <w:t xml:space="preserve"> CO</w:t>
      </w:r>
      <w:r w:rsidR="00074993" w:rsidRPr="005A3CEF">
        <w:rPr>
          <w:vertAlign w:val="subscript"/>
          <w:lang w:val="en-US"/>
        </w:rPr>
        <w:t>2</w:t>
      </w:r>
      <w:r w:rsidR="00074993" w:rsidRPr="005A3CEF">
        <w:rPr>
          <w:lang w:val="en-US"/>
        </w:rPr>
        <w:t xml:space="preserve"> concentration in </w:t>
      </w:r>
      <w:r w:rsidR="00560F27" w:rsidRPr="005A3CEF">
        <w:rPr>
          <w:lang w:val="en-US"/>
        </w:rPr>
        <w:t xml:space="preserve">the exhaust gas of </w:t>
      </w:r>
      <w:r w:rsidR="00560F27" w:rsidRPr="005A3CEF">
        <w:rPr>
          <w:noProof/>
          <w:lang w:val="en-US"/>
        </w:rPr>
        <w:t>a</w:t>
      </w:r>
      <w:r w:rsidR="005C43AE" w:rsidRPr="005A3CEF">
        <w:rPr>
          <w:noProof/>
          <w:lang w:val="en-US"/>
        </w:rPr>
        <w:t>n</w:t>
      </w:r>
      <w:r w:rsidR="00560F27" w:rsidRPr="005A3CEF">
        <w:rPr>
          <w:noProof/>
          <w:lang w:val="en-US"/>
        </w:rPr>
        <w:t xml:space="preserve"> N</w:t>
      </w:r>
      <w:r w:rsidR="00F31629" w:rsidRPr="005A3CEF">
        <w:rPr>
          <w:noProof/>
          <w:lang w:val="en-US"/>
        </w:rPr>
        <w:t>G</w:t>
      </w:r>
      <w:r w:rsidR="00560F27" w:rsidRPr="005A3CEF">
        <w:rPr>
          <w:noProof/>
          <w:lang w:val="en-US"/>
        </w:rPr>
        <w:t>-fired</w:t>
      </w:r>
      <w:r w:rsidR="00560F27" w:rsidRPr="005A3CEF">
        <w:rPr>
          <w:lang w:val="en-US"/>
        </w:rPr>
        <w:t xml:space="preserve"> combined cycle power plant and a pulverized coal power plant are about 4% and 15% vol., respectively; these values are</w:t>
      </w:r>
      <w:r w:rsidR="00074993" w:rsidRPr="005A3CEF">
        <w:rPr>
          <w:lang w:val="en-US"/>
        </w:rPr>
        <w:t xml:space="preserve"> high</w:t>
      </w:r>
      <w:r w:rsidR="00560F27" w:rsidRPr="005A3CEF">
        <w:rPr>
          <w:lang w:val="en-US"/>
        </w:rPr>
        <w:t xml:space="preserve"> </w:t>
      </w:r>
      <w:r w:rsidR="00074993" w:rsidRPr="005A3CEF">
        <w:rPr>
          <w:lang w:val="en-US"/>
        </w:rPr>
        <w:t xml:space="preserve">compared to </w:t>
      </w:r>
      <w:r w:rsidR="00C06A9B" w:rsidRPr="005A3CEF">
        <w:rPr>
          <w:lang w:val="en-US"/>
        </w:rPr>
        <w:t xml:space="preserve">the atmospheric </w:t>
      </w:r>
      <w:r w:rsidR="00560F27" w:rsidRPr="005A3CEF">
        <w:rPr>
          <w:lang w:val="en-US"/>
        </w:rPr>
        <w:t>concentration</w:t>
      </w:r>
      <w:r w:rsidR="00C06A9B" w:rsidRPr="005A3CEF">
        <w:rPr>
          <w:lang w:val="en-US"/>
        </w:rPr>
        <w:t xml:space="preserve"> (around 400</w:t>
      </w:r>
      <w:r w:rsidR="00074993" w:rsidRPr="005A3CEF">
        <w:rPr>
          <w:lang w:val="en-US"/>
        </w:rPr>
        <w:t xml:space="preserve"> </w:t>
      </w:r>
      <w:r w:rsidR="00C06A9B" w:rsidRPr="005A3CEF">
        <w:rPr>
          <w:lang w:val="en-US"/>
        </w:rPr>
        <w:t>ppm at th</w:t>
      </w:r>
      <w:r w:rsidR="00074993" w:rsidRPr="005A3CEF">
        <w:rPr>
          <w:lang w:val="en-US"/>
        </w:rPr>
        <w:t>e beginning of the XXI century).</w:t>
      </w:r>
      <w:r w:rsidR="00C06A9B" w:rsidRPr="005A3CEF">
        <w:rPr>
          <w:lang w:val="en-US"/>
        </w:rPr>
        <w:t xml:space="preserve"> </w:t>
      </w:r>
      <w:r w:rsidR="00560F27" w:rsidRPr="005A3CEF">
        <w:rPr>
          <w:lang w:val="en-US"/>
        </w:rPr>
        <w:t>Still, the</w:t>
      </w:r>
      <w:r w:rsidR="00C06A9B" w:rsidRPr="005A3CEF">
        <w:rPr>
          <w:lang w:val="en-US"/>
        </w:rPr>
        <w:t xml:space="preserve"> concentration is quite low to allow an easy and economic recovery </w:t>
      </w:r>
      <w:r w:rsidR="00560F27" w:rsidRPr="005A3CEF">
        <w:rPr>
          <w:lang w:val="en-US"/>
        </w:rPr>
        <w:t>of CO</w:t>
      </w:r>
      <w:r w:rsidR="00560F27" w:rsidRPr="005A3CEF">
        <w:rPr>
          <w:vertAlign w:val="subscript"/>
          <w:lang w:val="en-US"/>
        </w:rPr>
        <w:t>2</w:t>
      </w:r>
      <w:r w:rsidR="00C06A9B" w:rsidRPr="005A3CEF">
        <w:rPr>
          <w:lang w:val="en-US"/>
        </w:rPr>
        <w:t xml:space="preserve">. </w:t>
      </w:r>
    </w:p>
    <w:p w14:paraId="1EA5DF61" w14:textId="105C8ECB" w:rsidR="002E2487" w:rsidRPr="005A3CEF" w:rsidRDefault="00A00B8F">
      <w:pPr>
        <w:rPr>
          <w:lang w:val="en-US"/>
        </w:rPr>
      </w:pPr>
      <w:r w:rsidRPr="00A00B8F">
        <w:rPr>
          <w:lang w:val="en-US"/>
        </w:rPr>
        <w:t>Nevertheless</w:t>
      </w:r>
      <w:r w:rsidR="00C06A9B" w:rsidRPr="00A00B8F">
        <w:rPr>
          <w:lang w:val="en-US"/>
        </w:rPr>
        <w:t xml:space="preserve">, </w:t>
      </w:r>
      <w:r w:rsidR="00B17C15">
        <w:rPr>
          <w:lang w:val="en-US"/>
        </w:rPr>
        <w:t>it is possible to perform</w:t>
      </w:r>
      <w:r w:rsidR="00C06A9B" w:rsidRPr="00A00B8F">
        <w:rPr>
          <w:lang w:val="en-US"/>
        </w:rPr>
        <w:t xml:space="preserve"> </w:t>
      </w:r>
      <w:r w:rsidR="00680ECD">
        <w:rPr>
          <w:lang w:val="en-US"/>
        </w:rPr>
        <w:t>oxy-</w:t>
      </w:r>
      <w:r w:rsidR="00C06A9B" w:rsidRPr="00A00B8F">
        <w:rPr>
          <w:lang w:val="en-US"/>
        </w:rPr>
        <w:t>combustion even without a preliminary O</w:t>
      </w:r>
      <w:r w:rsidR="00C06A9B" w:rsidRPr="00A00B8F">
        <w:rPr>
          <w:vertAlign w:val="subscript"/>
          <w:lang w:val="en-US"/>
        </w:rPr>
        <w:t>2</w:t>
      </w:r>
      <w:r w:rsidR="00C06A9B" w:rsidRPr="00A00B8F">
        <w:rPr>
          <w:lang w:val="en-US"/>
        </w:rPr>
        <w:t xml:space="preserve"> – N</w:t>
      </w:r>
      <w:r w:rsidR="00C06A9B" w:rsidRPr="00A00B8F">
        <w:rPr>
          <w:vertAlign w:val="subscript"/>
          <w:lang w:val="en-US"/>
        </w:rPr>
        <w:t>2</w:t>
      </w:r>
      <w:r w:rsidR="00C06A9B" w:rsidRPr="00A00B8F">
        <w:rPr>
          <w:lang w:val="en-US"/>
        </w:rPr>
        <w:t xml:space="preserve"> separation. </w:t>
      </w:r>
      <w:r w:rsidR="00C06A9B" w:rsidRPr="00680ECD">
        <w:rPr>
          <w:noProof/>
          <w:lang w:val="en-US"/>
        </w:rPr>
        <w:t>This</w:t>
      </w:r>
      <w:r w:rsidR="00680ECD" w:rsidRPr="00680ECD">
        <w:rPr>
          <w:noProof/>
          <w:lang w:val="en-US"/>
        </w:rPr>
        <w:t xml:space="preserve"> r</w:t>
      </w:r>
      <w:r w:rsidR="00680ECD">
        <w:rPr>
          <w:noProof/>
          <w:lang w:val="en-US"/>
        </w:rPr>
        <w:t>eaction</w:t>
      </w:r>
      <w:r w:rsidR="00C06A9B" w:rsidRPr="00680ECD">
        <w:rPr>
          <w:noProof/>
          <w:lang w:val="en-US"/>
        </w:rPr>
        <w:t xml:space="preserve"> is</w:t>
      </w:r>
      <w:r w:rsidR="00C06A9B" w:rsidRPr="00A00B8F">
        <w:rPr>
          <w:lang w:val="en-US"/>
        </w:rPr>
        <w:t xml:space="preserve"> allowed by </w:t>
      </w:r>
      <w:r w:rsidR="00680ECD">
        <w:rPr>
          <w:lang w:val="en-US"/>
        </w:rPr>
        <w:t>materials</w:t>
      </w:r>
      <w:r w:rsidR="00560F27" w:rsidRPr="00A00B8F">
        <w:rPr>
          <w:lang w:val="en-US"/>
        </w:rPr>
        <w:t xml:space="preserve"> that</w:t>
      </w:r>
      <w:r w:rsidR="00C06A9B" w:rsidRPr="00A00B8F">
        <w:rPr>
          <w:lang w:val="en-US"/>
        </w:rPr>
        <w:t xml:space="preserve"> use membranes with</w:t>
      </w:r>
      <w:r w:rsidR="005C43AE">
        <w:rPr>
          <w:lang w:val="en-US"/>
        </w:rPr>
        <w:t xml:space="preserve"> a</w:t>
      </w:r>
      <w:r w:rsidR="00C06A9B" w:rsidRPr="00A00B8F">
        <w:rPr>
          <w:lang w:val="en-US"/>
        </w:rPr>
        <w:t xml:space="preserve"> </w:t>
      </w:r>
      <w:r w:rsidR="00C06A9B" w:rsidRPr="005C43AE">
        <w:rPr>
          <w:noProof/>
          <w:lang w:val="en-US"/>
        </w:rPr>
        <w:t>selective</w:t>
      </w:r>
      <w:r w:rsidR="00C06A9B" w:rsidRPr="00A00B8F">
        <w:rPr>
          <w:lang w:val="en-US"/>
        </w:rPr>
        <w:t xml:space="preserve"> conductivity of ions, such as the case of so</w:t>
      </w:r>
      <w:r w:rsidR="00560F27" w:rsidRPr="00A00B8F">
        <w:rPr>
          <w:lang w:val="en-US"/>
        </w:rPr>
        <w:t xml:space="preserve">lid oxide fuel cells (SOFC). </w:t>
      </w:r>
      <w:r w:rsidR="00560F27" w:rsidRPr="005A3CEF">
        <w:rPr>
          <w:lang w:val="en-US"/>
        </w:rPr>
        <w:t xml:space="preserve">In SOFC systems oxygen ions are selectively extracted from cathode air </w:t>
      </w:r>
      <w:r w:rsidR="00C06A9B" w:rsidRPr="005A3CEF">
        <w:rPr>
          <w:lang w:val="en-US"/>
        </w:rPr>
        <w:t xml:space="preserve">because the electrolyte layer allows only the conduction </w:t>
      </w:r>
      <w:r w:rsidR="00560F27" w:rsidRPr="005A3CEF">
        <w:rPr>
          <w:lang w:val="en-US"/>
        </w:rPr>
        <w:t xml:space="preserve">of </w:t>
      </w:r>
      <w:r w:rsidR="00C06A9B" w:rsidRPr="005A3CEF">
        <w:rPr>
          <w:lang w:val="en-US"/>
        </w:rPr>
        <w:t>O</w:t>
      </w:r>
      <w:r w:rsidR="00C06A9B" w:rsidRPr="005A3CEF">
        <w:rPr>
          <w:vertAlign w:val="superscript"/>
          <w:lang w:val="en-US"/>
        </w:rPr>
        <w:t>2-</w:t>
      </w:r>
      <w:r w:rsidR="00C06A9B" w:rsidRPr="005A3CEF">
        <w:rPr>
          <w:lang w:val="en-US"/>
        </w:rPr>
        <w:t xml:space="preserve"> ion</w:t>
      </w:r>
      <w:r w:rsidR="00560F27" w:rsidRPr="005A3CEF">
        <w:rPr>
          <w:lang w:val="en-US"/>
        </w:rPr>
        <w:t>s toward the anode (fuel) electrode. I</w:t>
      </w:r>
      <w:r w:rsidR="00C06A9B" w:rsidRPr="005A3CEF">
        <w:rPr>
          <w:lang w:val="en-US"/>
        </w:rPr>
        <w:t>n the anode electrode</w:t>
      </w:r>
      <w:r w:rsidR="00560F27" w:rsidRPr="005A3CEF">
        <w:rPr>
          <w:lang w:val="en-US"/>
        </w:rPr>
        <w:t>,</w:t>
      </w:r>
      <w:r w:rsidR="00C06A9B" w:rsidRPr="005A3CEF">
        <w:rPr>
          <w:lang w:val="en-US"/>
        </w:rPr>
        <w:t xml:space="preserve"> the primary fuel </w:t>
      </w:r>
      <w:r w:rsidR="00560F27" w:rsidRPr="005A3CEF">
        <w:rPr>
          <w:lang w:val="en-US"/>
        </w:rPr>
        <w:t>undergoes</w:t>
      </w:r>
      <w:r w:rsidR="00C06A9B" w:rsidRPr="005A3CEF">
        <w:rPr>
          <w:lang w:val="en-US"/>
        </w:rPr>
        <w:t xml:space="preserve"> “</w:t>
      </w:r>
      <w:r w:rsidR="00680ECD" w:rsidRPr="005A3CEF">
        <w:rPr>
          <w:noProof/>
          <w:lang w:val="en-US"/>
        </w:rPr>
        <w:t>electro</w:t>
      </w:r>
      <w:r w:rsidR="00C06A9B" w:rsidRPr="005A3CEF">
        <w:rPr>
          <w:noProof/>
          <w:lang w:val="en-US"/>
        </w:rPr>
        <w:t>chemical</w:t>
      </w:r>
      <w:r w:rsidR="00C06A9B" w:rsidRPr="005A3CEF">
        <w:rPr>
          <w:lang w:val="en-US"/>
        </w:rPr>
        <w:t xml:space="preserve"> oxidation” </w:t>
      </w:r>
      <w:r w:rsidR="00C06A9B" w:rsidRPr="005A3CEF">
        <w:rPr>
          <w:noProof/>
          <w:lang w:val="en-US"/>
        </w:rPr>
        <w:t>in</w:t>
      </w:r>
      <w:r w:rsidR="005C43AE" w:rsidRPr="005A3CEF">
        <w:rPr>
          <w:noProof/>
          <w:lang w:val="en-US"/>
        </w:rPr>
        <w:t xml:space="preserve"> the</w:t>
      </w:r>
      <w:r w:rsidR="00C06A9B" w:rsidRPr="005A3CEF">
        <w:rPr>
          <w:noProof/>
          <w:lang w:val="en-US"/>
        </w:rPr>
        <w:t xml:space="preserve"> absence of</w:t>
      </w:r>
      <w:r w:rsidR="00C06A9B" w:rsidRPr="005A3CEF">
        <w:rPr>
          <w:lang w:val="en-US"/>
        </w:rPr>
        <w:t xml:space="preserve"> N</w:t>
      </w:r>
      <w:r w:rsidR="00C06A9B" w:rsidRPr="005A3CEF">
        <w:rPr>
          <w:vertAlign w:val="subscript"/>
          <w:lang w:val="en-US"/>
        </w:rPr>
        <w:t>2</w:t>
      </w:r>
      <w:r w:rsidR="00C06A9B" w:rsidRPr="005A3CEF">
        <w:rPr>
          <w:lang w:val="en-US"/>
        </w:rPr>
        <w:t>. The main constitue</w:t>
      </w:r>
      <w:r w:rsidR="00560F27" w:rsidRPr="005A3CEF">
        <w:rPr>
          <w:lang w:val="en-US"/>
        </w:rPr>
        <w:t xml:space="preserve">nts of </w:t>
      </w:r>
      <w:r w:rsidR="00560F27" w:rsidRPr="005A3CEF">
        <w:rPr>
          <w:noProof/>
          <w:lang w:val="en-US"/>
        </w:rPr>
        <w:t xml:space="preserve">a </w:t>
      </w:r>
      <w:r w:rsidR="00680ECD" w:rsidRPr="005A3CEF">
        <w:rPr>
          <w:noProof/>
          <w:lang w:val="en-US"/>
        </w:rPr>
        <w:t>conventional</w:t>
      </w:r>
      <w:r w:rsidR="00560F27" w:rsidRPr="005A3CEF">
        <w:rPr>
          <w:lang w:val="en-US"/>
        </w:rPr>
        <w:t xml:space="preserve"> anodic fuel </w:t>
      </w:r>
      <w:r w:rsidR="00C06A9B" w:rsidRPr="005A3CEF">
        <w:rPr>
          <w:noProof/>
          <w:lang w:val="en-US"/>
        </w:rPr>
        <w:t>are th</w:t>
      </w:r>
      <w:r w:rsidR="00560F27" w:rsidRPr="005A3CEF">
        <w:rPr>
          <w:noProof/>
          <w:lang w:val="en-US"/>
        </w:rPr>
        <w:t>us</w:t>
      </w:r>
      <w:r w:rsidR="00C06A9B" w:rsidRPr="005A3CEF">
        <w:rPr>
          <w:noProof/>
          <w:lang w:val="en-US"/>
        </w:rPr>
        <w:t xml:space="preserve"> oxidized</w:t>
      </w:r>
      <w:r w:rsidR="00C06A9B" w:rsidRPr="005A3CEF">
        <w:rPr>
          <w:lang w:val="en-US"/>
        </w:rPr>
        <w:t xml:space="preserve"> into H</w:t>
      </w:r>
      <w:r w:rsidR="00C06A9B" w:rsidRPr="005A3CEF">
        <w:rPr>
          <w:vertAlign w:val="subscript"/>
          <w:lang w:val="en-US"/>
        </w:rPr>
        <w:t>2</w:t>
      </w:r>
      <w:r w:rsidR="00560F27" w:rsidRPr="005A3CEF">
        <w:rPr>
          <w:lang w:val="en-US"/>
        </w:rPr>
        <w:t xml:space="preserve">O and </w:t>
      </w:r>
      <w:r w:rsidR="00C06A9B" w:rsidRPr="005A3CEF">
        <w:rPr>
          <w:lang w:val="en-US"/>
        </w:rPr>
        <w:t>CO</w:t>
      </w:r>
      <w:r w:rsidR="00C06A9B" w:rsidRPr="005A3CEF">
        <w:rPr>
          <w:vertAlign w:val="subscript"/>
          <w:lang w:val="en-US"/>
        </w:rPr>
        <w:t>2</w:t>
      </w:r>
      <w:r w:rsidR="00C06A9B" w:rsidRPr="005A3CEF">
        <w:rPr>
          <w:lang w:val="en-US"/>
        </w:rPr>
        <w:t>, which constitute the</w:t>
      </w:r>
      <w:r w:rsidR="00560F27" w:rsidRPr="005A3CEF">
        <w:rPr>
          <w:lang w:val="en-US"/>
        </w:rPr>
        <w:t xml:space="preserve"> main part of the</w:t>
      </w:r>
      <w:r w:rsidR="00C06A9B" w:rsidRPr="005A3CEF">
        <w:rPr>
          <w:lang w:val="en-US"/>
        </w:rPr>
        <w:t xml:space="preserve"> SOFC anode exhaust stream. </w:t>
      </w:r>
      <w:r w:rsidR="00560F27" w:rsidRPr="005A3CEF">
        <w:rPr>
          <w:lang w:val="en-US"/>
        </w:rPr>
        <w:t>Some residual H</w:t>
      </w:r>
      <w:r w:rsidR="00560F27" w:rsidRPr="005A3CEF">
        <w:rPr>
          <w:vertAlign w:val="subscript"/>
          <w:lang w:val="en-US"/>
        </w:rPr>
        <w:t>2</w:t>
      </w:r>
      <w:r w:rsidR="00560F27" w:rsidRPr="005A3CEF">
        <w:rPr>
          <w:lang w:val="en-US"/>
        </w:rPr>
        <w:t xml:space="preserve"> and CO is still available in the anode exhaust, as the fuel cell cannot reach 100% reactants’ utilization </w:t>
      </w:r>
      <w:r w:rsidR="00560F27" w:rsidRPr="005A3CEF">
        <w:rPr>
          <w:noProof/>
          <w:lang w:val="en-US"/>
        </w:rPr>
        <w:t>due</w:t>
      </w:r>
      <w:r w:rsidR="00B9312A" w:rsidRPr="005A3CEF">
        <w:rPr>
          <w:noProof/>
          <w:lang w:val="en-US"/>
        </w:rPr>
        <w:t xml:space="preserve"> to</w:t>
      </w:r>
      <w:r w:rsidR="00560F27" w:rsidRPr="005A3CEF">
        <w:rPr>
          <w:lang w:val="en-US"/>
        </w:rPr>
        <w:t xml:space="preserve"> concentration losses. </w:t>
      </w:r>
      <w:r w:rsidR="00761237" w:rsidRPr="005A3CEF">
        <w:rPr>
          <w:lang w:val="en-US"/>
        </w:rPr>
        <w:t>Hence,</w:t>
      </w:r>
      <w:r w:rsidR="00560F27" w:rsidRPr="005A3CEF">
        <w:rPr>
          <w:lang w:val="en-US"/>
        </w:rPr>
        <w:t xml:space="preserve"> the residual fuel can be oxy-combusted in a subsequent burner to achieve </w:t>
      </w:r>
      <w:r w:rsidR="00560F27" w:rsidRPr="005A3CEF">
        <w:rPr>
          <w:noProof/>
          <w:lang w:val="en-US"/>
        </w:rPr>
        <w:t>a</w:t>
      </w:r>
      <w:r w:rsidR="00B9312A" w:rsidRPr="005A3CEF">
        <w:rPr>
          <w:noProof/>
          <w:lang w:val="en-US"/>
        </w:rPr>
        <w:t>n</w:t>
      </w:r>
      <w:r w:rsidR="00560F27" w:rsidRPr="005A3CEF">
        <w:rPr>
          <w:noProof/>
          <w:lang w:val="en-US"/>
        </w:rPr>
        <w:t xml:space="preserve"> H</w:t>
      </w:r>
      <w:r w:rsidR="00560F27" w:rsidRPr="005A3CEF">
        <w:rPr>
          <w:noProof/>
          <w:vertAlign w:val="subscript"/>
          <w:lang w:val="en-US"/>
        </w:rPr>
        <w:t>2</w:t>
      </w:r>
      <w:r w:rsidR="00560F27" w:rsidRPr="005A3CEF">
        <w:rPr>
          <w:noProof/>
          <w:lang w:val="en-US"/>
        </w:rPr>
        <w:t>O</w:t>
      </w:r>
      <w:r w:rsidR="00F31629" w:rsidRPr="005A3CEF">
        <w:rPr>
          <w:lang w:val="en-US"/>
        </w:rPr>
        <w:t xml:space="preserve"> – </w:t>
      </w:r>
      <w:r w:rsidR="00560F27" w:rsidRPr="005A3CEF">
        <w:rPr>
          <w:lang w:val="en-US"/>
        </w:rPr>
        <w:t>O</w:t>
      </w:r>
      <w:r w:rsidR="00560F27" w:rsidRPr="005A3CEF">
        <w:rPr>
          <w:vertAlign w:val="subscript"/>
          <w:lang w:val="en-US"/>
        </w:rPr>
        <w:t>2</w:t>
      </w:r>
      <w:r w:rsidR="00560F27" w:rsidRPr="005A3CEF">
        <w:rPr>
          <w:lang w:val="en-US"/>
        </w:rPr>
        <w:t xml:space="preserve"> stream only. </w:t>
      </w:r>
      <w:r w:rsidR="002E2487" w:rsidRPr="005A3CEF">
        <w:rPr>
          <w:lang w:val="en-US"/>
        </w:rPr>
        <w:t xml:space="preserve">The </w:t>
      </w:r>
      <w:r w:rsidR="00560F27" w:rsidRPr="005A3CEF">
        <w:rPr>
          <w:lang w:val="en-US"/>
        </w:rPr>
        <w:t xml:space="preserve">exhaust </w:t>
      </w:r>
      <w:r w:rsidR="002E2487" w:rsidRPr="005A3CEF">
        <w:rPr>
          <w:lang w:val="en-US"/>
        </w:rPr>
        <w:t>CO</w:t>
      </w:r>
      <w:r w:rsidR="002E2487" w:rsidRPr="005A3CEF">
        <w:rPr>
          <w:vertAlign w:val="subscript"/>
          <w:lang w:val="en-US"/>
        </w:rPr>
        <w:t>2</w:t>
      </w:r>
      <w:r w:rsidR="002E2487" w:rsidRPr="005A3CEF">
        <w:rPr>
          <w:lang w:val="en-US"/>
        </w:rPr>
        <w:t xml:space="preserve"> </w:t>
      </w:r>
      <w:r w:rsidR="00065B5E" w:rsidRPr="005A3CEF">
        <w:rPr>
          <w:lang w:val="en-US"/>
        </w:rPr>
        <w:t>is eventually</w:t>
      </w:r>
      <w:r w:rsidR="00C06A9B" w:rsidRPr="005A3CEF">
        <w:rPr>
          <w:lang w:val="en-US"/>
        </w:rPr>
        <w:t xml:space="preserve"> </w:t>
      </w:r>
      <w:r w:rsidR="00560F27" w:rsidRPr="005A3CEF">
        <w:rPr>
          <w:lang w:val="en-US"/>
        </w:rPr>
        <w:t xml:space="preserve">cooled and </w:t>
      </w:r>
      <w:r w:rsidR="00065B5E" w:rsidRPr="005A3CEF">
        <w:rPr>
          <w:lang w:val="en-US"/>
        </w:rPr>
        <w:t xml:space="preserve">water is </w:t>
      </w:r>
      <w:r w:rsidR="00560F27" w:rsidRPr="005A3CEF">
        <w:rPr>
          <w:lang w:val="en-US"/>
        </w:rPr>
        <w:t xml:space="preserve">separated by condensation. </w:t>
      </w:r>
      <w:r w:rsidR="00761237" w:rsidRPr="005A3CEF">
        <w:rPr>
          <w:lang w:val="en-US"/>
        </w:rPr>
        <w:t>CO</w:t>
      </w:r>
      <w:r w:rsidR="00761237" w:rsidRPr="005A3CEF">
        <w:rPr>
          <w:vertAlign w:val="subscript"/>
          <w:lang w:val="en-US"/>
        </w:rPr>
        <w:t>2</w:t>
      </w:r>
      <w:r w:rsidR="00761237" w:rsidRPr="005A3CEF">
        <w:rPr>
          <w:lang w:val="en-US"/>
        </w:rPr>
        <w:t xml:space="preserve"> recovery from the SOFC anode exhaust is</w:t>
      </w:r>
      <w:r w:rsidR="00065B5E" w:rsidRPr="005A3CEF">
        <w:rPr>
          <w:lang w:val="en-US"/>
        </w:rPr>
        <w:t xml:space="preserve"> thus</w:t>
      </w:r>
      <w:r w:rsidR="00761237" w:rsidRPr="005A3CEF">
        <w:rPr>
          <w:lang w:val="en-US"/>
        </w:rPr>
        <w:t xml:space="preserve"> relatively straightforward</w:t>
      </w:r>
      <w:r w:rsidR="00C06A9B" w:rsidRPr="005A3CEF">
        <w:rPr>
          <w:lang w:val="en-US"/>
        </w:rPr>
        <w:t>.</w:t>
      </w:r>
      <w:r w:rsidR="00F252A5" w:rsidRPr="005A3CEF">
        <w:rPr>
          <w:lang w:val="en-US"/>
        </w:rPr>
        <w:t xml:space="preserve"> Once a stream of very concentrated CO</w:t>
      </w:r>
      <w:r w:rsidR="00F252A5" w:rsidRPr="005A3CEF">
        <w:rPr>
          <w:vertAlign w:val="subscript"/>
          <w:lang w:val="en-US"/>
        </w:rPr>
        <w:t>2</w:t>
      </w:r>
      <w:r w:rsidR="00F252A5" w:rsidRPr="005A3CEF">
        <w:rPr>
          <w:lang w:val="en-US"/>
        </w:rPr>
        <w:t xml:space="preserve"> is available, </w:t>
      </w:r>
      <w:r w:rsidR="002E2487" w:rsidRPr="005A3CEF">
        <w:rPr>
          <w:lang w:val="en-US"/>
        </w:rPr>
        <w:t xml:space="preserve">it </w:t>
      </w:r>
      <w:r w:rsidR="00F252A5" w:rsidRPr="005A3CEF">
        <w:rPr>
          <w:lang w:val="en-US"/>
        </w:rPr>
        <w:t xml:space="preserve">is ready to be </w:t>
      </w:r>
      <w:r w:rsidR="002E2487" w:rsidRPr="005A3CEF">
        <w:rPr>
          <w:lang w:val="en-US"/>
        </w:rPr>
        <w:t>used</w:t>
      </w:r>
      <w:r w:rsidR="00F252A5" w:rsidRPr="005A3CEF">
        <w:rPr>
          <w:lang w:val="en-US"/>
        </w:rPr>
        <w:t xml:space="preserve"> again.</w:t>
      </w:r>
      <w:r w:rsidR="002E2487" w:rsidRPr="005A3CEF">
        <w:rPr>
          <w:lang w:val="en-US"/>
        </w:rPr>
        <w:t xml:space="preserve"> </w:t>
      </w:r>
    </w:p>
    <w:p w14:paraId="1E20E40D" w14:textId="4FA68193" w:rsidR="00F252A5" w:rsidRPr="00A00B8F" w:rsidRDefault="00761237">
      <w:pPr>
        <w:rPr>
          <w:lang w:val="en-US"/>
        </w:rPr>
      </w:pPr>
      <w:r w:rsidRPr="00A00B8F">
        <w:rPr>
          <w:lang w:val="en-US"/>
        </w:rPr>
        <w:t>The conclusion is that</w:t>
      </w:r>
      <w:r w:rsidR="00F252A5" w:rsidRPr="00A00B8F">
        <w:rPr>
          <w:lang w:val="en-US"/>
        </w:rPr>
        <w:t xml:space="preserve"> </w:t>
      </w:r>
      <w:r w:rsidRPr="00A00B8F">
        <w:rPr>
          <w:lang w:val="en-US"/>
        </w:rPr>
        <w:t>CR</w:t>
      </w:r>
      <w:r w:rsidR="00AA48EE" w:rsidRPr="00A00B8F">
        <w:rPr>
          <w:lang w:val="en-US"/>
        </w:rPr>
        <w:t>R</w:t>
      </w:r>
      <w:r w:rsidR="00BC09A2" w:rsidRPr="00A00B8F">
        <w:rPr>
          <w:lang w:val="en-US"/>
        </w:rPr>
        <w:t xml:space="preserve"> </w:t>
      </w:r>
      <w:r w:rsidR="00EF60A6" w:rsidRPr="00A00B8F">
        <w:rPr>
          <w:lang w:val="en-US"/>
        </w:rPr>
        <w:t>i</w:t>
      </w:r>
      <w:r w:rsidR="00BC09A2" w:rsidRPr="00A00B8F">
        <w:rPr>
          <w:lang w:val="en-US"/>
        </w:rPr>
        <w:t xml:space="preserve">s an easier </w:t>
      </w:r>
      <w:r w:rsidR="00F252A5" w:rsidRPr="00A00B8F">
        <w:rPr>
          <w:lang w:val="en-US"/>
        </w:rPr>
        <w:t xml:space="preserve">and cheaper </w:t>
      </w:r>
      <w:r w:rsidR="00BC09A2" w:rsidRPr="00A00B8F">
        <w:rPr>
          <w:lang w:val="en-US"/>
        </w:rPr>
        <w:t xml:space="preserve">task from </w:t>
      </w:r>
      <w:r w:rsidR="00B9312A">
        <w:rPr>
          <w:lang w:val="en-US"/>
        </w:rPr>
        <w:t>the SOFC anode exhaust</w:t>
      </w:r>
      <w:r w:rsidR="00F252A5" w:rsidRPr="00A00B8F">
        <w:rPr>
          <w:lang w:val="en-US"/>
        </w:rPr>
        <w:t>. This opportunity is not common to other technologies generating power, such as the thermal cycles (</w:t>
      </w:r>
      <w:r w:rsidR="00680ECD">
        <w:rPr>
          <w:lang w:val="en-US"/>
        </w:rPr>
        <w:t>such as ICE and GT</w:t>
      </w:r>
      <w:r w:rsidR="00F252A5" w:rsidRPr="00A00B8F">
        <w:rPr>
          <w:lang w:val="en-US"/>
        </w:rPr>
        <w:t xml:space="preserve">). </w:t>
      </w:r>
    </w:p>
    <w:p w14:paraId="0BF0873E" w14:textId="1BFD1C0E" w:rsidR="00BC09A2" w:rsidRDefault="00F252A5" w:rsidP="0080548E">
      <w:pPr>
        <w:rPr>
          <w:lang w:val="en-US"/>
        </w:rPr>
      </w:pPr>
      <w:r w:rsidRPr="00B9312A">
        <w:rPr>
          <w:noProof/>
          <w:lang w:val="en-US"/>
        </w:rPr>
        <w:t>This generate</w:t>
      </w:r>
      <w:r w:rsidR="00B9312A" w:rsidRPr="00B9312A">
        <w:rPr>
          <w:noProof/>
          <w:lang w:val="en-US"/>
        </w:rPr>
        <w:t>s</w:t>
      </w:r>
      <w:r w:rsidRPr="00A00B8F">
        <w:rPr>
          <w:lang w:val="en-US"/>
        </w:rPr>
        <w:t xml:space="preserve"> </w:t>
      </w:r>
      <w:r w:rsidRPr="00B9312A">
        <w:rPr>
          <w:noProof/>
          <w:lang w:val="en-US"/>
        </w:rPr>
        <w:t>an interest</w:t>
      </w:r>
      <w:r w:rsidRPr="00A00B8F">
        <w:rPr>
          <w:lang w:val="en-US"/>
        </w:rPr>
        <w:t xml:space="preserve"> in the application of </w:t>
      </w:r>
      <w:r w:rsidR="00065B5E" w:rsidRPr="00A00B8F">
        <w:rPr>
          <w:lang w:val="en-US"/>
        </w:rPr>
        <w:t>fuel cells</w:t>
      </w:r>
      <w:r w:rsidR="00EF60A6" w:rsidRPr="00A00B8F">
        <w:rPr>
          <w:lang w:val="en-US"/>
        </w:rPr>
        <w:t>,</w:t>
      </w:r>
      <w:r w:rsidRPr="00A00B8F">
        <w:rPr>
          <w:lang w:val="en-US"/>
        </w:rPr>
        <w:t xml:space="preserve"> far beyond </w:t>
      </w:r>
      <w:r w:rsidR="00065B5E" w:rsidRPr="00A00B8F">
        <w:rPr>
          <w:lang w:val="en-US"/>
        </w:rPr>
        <w:t>their</w:t>
      </w:r>
      <w:r w:rsidRPr="00A00B8F">
        <w:rPr>
          <w:lang w:val="en-US"/>
        </w:rPr>
        <w:t xml:space="preserve"> high efficiency in the conversion of chemical energy (of the primary fuels sent to the anode) into electric power. The interest </w:t>
      </w:r>
      <w:r w:rsidRPr="00BA52C0">
        <w:rPr>
          <w:noProof/>
          <w:lang w:val="en-US"/>
        </w:rPr>
        <w:t xml:space="preserve">is now </w:t>
      </w:r>
      <w:r w:rsidR="00065B5E" w:rsidRPr="00BA52C0">
        <w:rPr>
          <w:noProof/>
          <w:lang w:val="en-US"/>
        </w:rPr>
        <w:t>connected</w:t>
      </w:r>
      <w:r w:rsidR="00065B5E" w:rsidRPr="00A00B8F">
        <w:rPr>
          <w:lang w:val="en-US"/>
        </w:rPr>
        <w:t xml:space="preserve"> to the paradigm of CR</w:t>
      </w:r>
      <w:r w:rsidRPr="00A00B8F">
        <w:rPr>
          <w:lang w:val="en-US"/>
        </w:rPr>
        <w:t>R, and so to the paradigm of climate change mitigation. This opportunity is available</w:t>
      </w:r>
      <w:r w:rsidR="002E2487">
        <w:rPr>
          <w:lang w:val="en-US"/>
        </w:rPr>
        <w:t>;</w:t>
      </w:r>
      <w:r w:rsidRPr="00A00B8F">
        <w:rPr>
          <w:lang w:val="en-US"/>
        </w:rPr>
        <w:t xml:space="preserve"> </w:t>
      </w:r>
      <w:r w:rsidR="00065B5E" w:rsidRPr="00B9312A">
        <w:rPr>
          <w:noProof/>
          <w:lang w:val="en-US"/>
        </w:rPr>
        <w:t>however</w:t>
      </w:r>
      <w:r w:rsidR="00B9312A">
        <w:rPr>
          <w:noProof/>
          <w:lang w:val="en-US"/>
        </w:rPr>
        <w:t>,</w:t>
      </w:r>
      <w:r w:rsidR="00065B5E" w:rsidRPr="00A00B8F">
        <w:rPr>
          <w:lang w:val="en-US"/>
        </w:rPr>
        <w:t xml:space="preserve"> it </w:t>
      </w:r>
      <w:r w:rsidRPr="00A00B8F">
        <w:rPr>
          <w:lang w:val="en-US"/>
        </w:rPr>
        <w:t xml:space="preserve">needs to be </w:t>
      </w:r>
      <w:r w:rsidR="00065B5E" w:rsidRPr="00A00B8F">
        <w:rPr>
          <w:lang w:val="en-US"/>
        </w:rPr>
        <w:t xml:space="preserve">designed </w:t>
      </w:r>
      <w:r w:rsidRPr="00A00B8F">
        <w:rPr>
          <w:lang w:val="en-US"/>
        </w:rPr>
        <w:t>and demonstrated at the level of proof-of-concept, to study</w:t>
      </w:r>
      <w:r w:rsidR="00B9312A">
        <w:rPr>
          <w:lang w:val="en-US"/>
        </w:rPr>
        <w:t xml:space="preserve"> the</w:t>
      </w:r>
      <w:r w:rsidRPr="00A00B8F">
        <w:rPr>
          <w:lang w:val="en-US"/>
        </w:rPr>
        <w:t xml:space="preserve"> </w:t>
      </w:r>
      <w:r w:rsidR="00065B5E" w:rsidRPr="00B9312A">
        <w:rPr>
          <w:noProof/>
          <w:lang w:val="en-US"/>
        </w:rPr>
        <w:t>feasibility</w:t>
      </w:r>
      <w:r w:rsidR="00065B5E" w:rsidRPr="00A00B8F">
        <w:rPr>
          <w:lang w:val="en-US"/>
        </w:rPr>
        <w:t xml:space="preserve"> of the process, potential for improvements, and finally measures </w:t>
      </w:r>
      <w:r w:rsidRPr="00A00B8F">
        <w:rPr>
          <w:lang w:val="en-US"/>
        </w:rPr>
        <w:t>to define and reduce problematic steps.</w:t>
      </w:r>
    </w:p>
    <w:p w14:paraId="63EBBB21" w14:textId="29FD1FF9" w:rsidR="00F252A5" w:rsidRDefault="00ED4268" w:rsidP="00074993">
      <w:pPr>
        <w:rPr>
          <w:lang w:val="en-US"/>
        </w:rPr>
      </w:pPr>
      <w:r w:rsidRPr="00BA52C0">
        <w:rPr>
          <w:noProof/>
          <w:lang w:val="en-US"/>
        </w:rPr>
        <w:t xml:space="preserve">The first demonstration, at international level, of the concept </w:t>
      </w:r>
      <w:r w:rsidR="00065B5E" w:rsidRPr="00BA52C0">
        <w:rPr>
          <w:noProof/>
          <w:lang w:val="en-US"/>
        </w:rPr>
        <w:t xml:space="preserve">above </w:t>
      </w:r>
      <w:r w:rsidRPr="00BA52C0">
        <w:rPr>
          <w:noProof/>
          <w:lang w:val="en-US"/>
        </w:rPr>
        <w:t xml:space="preserve">described has been </w:t>
      </w:r>
      <w:r w:rsidR="00065B5E" w:rsidRPr="00BA52C0">
        <w:rPr>
          <w:noProof/>
          <w:lang w:val="en-US"/>
        </w:rPr>
        <w:t xml:space="preserve">carried out through </w:t>
      </w:r>
      <w:r w:rsidRPr="00BA52C0">
        <w:rPr>
          <w:noProof/>
          <w:lang w:val="en-US"/>
        </w:rPr>
        <w:t>a research and demonstration project funded by the European Commission in 2011, named SOFCOM</w:t>
      </w:r>
      <w:r w:rsidR="00643C94" w:rsidRPr="00BA52C0">
        <w:rPr>
          <w:noProof/>
          <w:lang w:val="en-US"/>
        </w:rPr>
        <w:t xml:space="preserve"> (European Union’s Seventh Framework Program (FP7/2007-2013) for the Fuel Cells and Hydrogen Joint Technology Initiative under grant agreement number 278798 ‘SOFCOM’).</w:t>
      </w:r>
      <w:r w:rsidR="00643C94">
        <w:rPr>
          <w:lang w:val="en-US"/>
        </w:rPr>
        <w:t xml:space="preserve"> </w:t>
      </w:r>
    </w:p>
    <w:p w14:paraId="20004B53" w14:textId="4407ECA4" w:rsidR="00643C94" w:rsidRDefault="00643C94" w:rsidP="00074993">
      <w:pPr>
        <w:rPr>
          <w:lang w:val="en-US"/>
        </w:rPr>
      </w:pPr>
      <w:r w:rsidRPr="00643C94">
        <w:rPr>
          <w:lang w:val="en-US"/>
        </w:rPr>
        <w:t xml:space="preserve">The core component of the SOFCOM </w:t>
      </w:r>
      <w:r>
        <w:rPr>
          <w:lang w:val="en-US"/>
        </w:rPr>
        <w:t>proof-of-concept</w:t>
      </w:r>
      <w:r w:rsidRPr="00643C94">
        <w:rPr>
          <w:lang w:val="en-US"/>
        </w:rPr>
        <w:t xml:space="preserve"> is </w:t>
      </w:r>
      <w:r>
        <w:rPr>
          <w:lang w:val="en-US"/>
        </w:rPr>
        <w:t>a</w:t>
      </w:r>
      <w:r w:rsidR="008966A9">
        <w:rPr>
          <w:lang w:val="en-US"/>
        </w:rPr>
        <w:t>n</w:t>
      </w:r>
      <w:r w:rsidRPr="00643C94">
        <w:rPr>
          <w:lang w:val="en-US"/>
        </w:rPr>
        <w:t xml:space="preserve"> </w:t>
      </w:r>
      <w:r>
        <w:rPr>
          <w:lang w:val="en-US"/>
        </w:rPr>
        <w:t xml:space="preserve">SOFC </w:t>
      </w:r>
      <w:r w:rsidR="00065B5E">
        <w:rPr>
          <w:lang w:val="en-US"/>
        </w:rPr>
        <w:t xml:space="preserve">generator </w:t>
      </w:r>
      <w:r>
        <w:rPr>
          <w:lang w:val="en-US"/>
        </w:rPr>
        <w:t xml:space="preserve">fed by </w:t>
      </w:r>
      <w:r w:rsidRPr="00643C94">
        <w:rPr>
          <w:lang w:val="en-US"/>
        </w:rPr>
        <w:t xml:space="preserve">biogas </w:t>
      </w:r>
      <w:r>
        <w:rPr>
          <w:lang w:val="en-US"/>
        </w:rPr>
        <w:t>(</w:t>
      </w:r>
      <w:r w:rsidR="008966A9">
        <w:rPr>
          <w:lang w:val="en-US"/>
        </w:rPr>
        <w:t>i.e.</w:t>
      </w:r>
      <w:r>
        <w:rPr>
          <w:lang w:val="en-US"/>
        </w:rPr>
        <w:t>, a renewable fuel already rich in CO</w:t>
      </w:r>
      <w:r w:rsidRPr="006C7E65">
        <w:rPr>
          <w:vertAlign w:val="subscript"/>
          <w:lang w:val="en-US"/>
        </w:rPr>
        <w:t>2</w:t>
      </w:r>
      <w:r w:rsidR="008966A9">
        <w:rPr>
          <w:lang w:val="en-US"/>
        </w:rPr>
        <w:t xml:space="preserve"> – about 35-40</w:t>
      </w:r>
      <w:r w:rsidR="00F31629">
        <w:rPr>
          <w:lang w:val="en-US"/>
        </w:rPr>
        <w:t xml:space="preserve"> </w:t>
      </w:r>
      <w:r w:rsidR="008966A9">
        <w:rPr>
          <w:lang w:val="en-US"/>
        </w:rPr>
        <w:t>% vol. –</w:t>
      </w:r>
      <w:r>
        <w:rPr>
          <w:lang w:val="en-US"/>
        </w:rPr>
        <w:t>,</w:t>
      </w:r>
      <w:r w:rsidR="008966A9">
        <w:rPr>
          <w:lang w:val="en-US"/>
        </w:rPr>
        <w:t xml:space="preserve"> and</w:t>
      </w:r>
      <w:r>
        <w:rPr>
          <w:lang w:val="en-US"/>
        </w:rPr>
        <w:t xml:space="preserve"> containing </w:t>
      </w:r>
      <w:r w:rsidR="008966A9">
        <w:rPr>
          <w:lang w:val="en-US"/>
        </w:rPr>
        <w:t>the remainder of</w:t>
      </w:r>
      <w:r>
        <w:rPr>
          <w:lang w:val="en-US"/>
        </w:rPr>
        <w:t xml:space="preserve"> Carbon </w:t>
      </w:r>
      <w:r w:rsidR="008966A9">
        <w:rPr>
          <w:lang w:val="en-US"/>
        </w:rPr>
        <w:t>as</w:t>
      </w:r>
      <w:r>
        <w:rPr>
          <w:lang w:val="en-US"/>
        </w:rPr>
        <w:t xml:space="preserve"> CH</w:t>
      </w:r>
      <w:r w:rsidRPr="006C7E65">
        <w:rPr>
          <w:vertAlign w:val="subscript"/>
          <w:lang w:val="en-US"/>
        </w:rPr>
        <w:t>4</w:t>
      </w:r>
      <w:r w:rsidR="008966A9">
        <w:rPr>
          <w:lang w:val="en-US"/>
        </w:rPr>
        <w:t xml:space="preserve"> – 60-65% vol.</w:t>
      </w:r>
      <w:r>
        <w:rPr>
          <w:lang w:val="en-US"/>
        </w:rPr>
        <w:t>)</w:t>
      </w:r>
      <w:r w:rsidR="00065B5E">
        <w:rPr>
          <w:lang w:val="en-US"/>
        </w:rPr>
        <w:t>. Biogas</w:t>
      </w:r>
      <w:r>
        <w:rPr>
          <w:lang w:val="en-US"/>
        </w:rPr>
        <w:t xml:space="preserve"> </w:t>
      </w:r>
      <w:r w:rsidR="00065B5E" w:rsidRPr="00BA52C0">
        <w:rPr>
          <w:noProof/>
          <w:lang w:val="en-US"/>
        </w:rPr>
        <w:t>is converted</w:t>
      </w:r>
      <w:r w:rsidR="00065B5E">
        <w:rPr>
          <w:lang w:val="en-US"/>
        </w:rPr>
        <w:t xml:space="preserve"> </w:t>
      </w:r>
      <w:r w:rsidRPr="00643C94">
        <w:rPr>
          <w:lang w:val="en-US"/>
        </w:rPr>
        <w:t xml:space="preserve">to electricity through </w:t>
      </w:r>
      <w:r w:rsidRPr="00B9312A">
        <w:rPr>
          <w:noProof/>
          <w:lang w:val="en-US"/>
        </w:rPr>
        <w:t>high</w:t>
      </w:r>
      <w:r w:rsidR="00B9312A">
        <w:rPr>
          <w:noProof/>
          <w:lang w:val="en-US"/>
        </w:rPr>
        <w:t>-</w:t>
      </w:r>
      <w:r w:rsidRPr="00B9312A">
        <w:rPr>
          <w:noProof/>
          <w:lang w:val="en-US"/>
        </w:rPr>
        <w:t>efficiency</w:t>
      </w:r>
      <w:r w:rsidRPr="00643C94">
        <w:rPr>
          <w:lang w:val="en-US"/>
        </w:rPr>
        <w:t xml:space="preserve"> electrochemical reactions </w:t>
      </w:r>
      <w:r>
        <w:rPr>
          <w:lang w:val="en-US"/>
        </w:rPr>
        <w:t>(t</w:t>
      </w:r>
      <w:r w:rsidRPr="00643C94">
        <w:rPr>
          <w:lang w:val="en-US"/>
        </w:rPr>
        <w:t>he overall fuel cell electrical efficiency is &gt;50% when running on biogas</w:t>
      </w:r>
      <w:r>
        <w:rPr>
          <w:lang w:val="en-US"/>
        </w:rPr>
        <w:t>)</w:t>
      </w:r>
      <w:r w:rsidRPr="00643C94">
        <w:rPr>
          <w:lang w:val="en-US"/>
        </w:rPr>
        <w:t xml:space="preserve"> and </w:t>
      </w:r>
      <w:r>
        <w:rPr>
          <w:lang w:val="en-US"/>
        </w:rPr>
        <w:t xml:space="preserve">with the characteristic that the only exhausts of the plant </w:t>
      </w:r>
      <w:r w:rsidRPr="00643C94">
        <w:rPr>
          <w:lang w:val="en-US"/>
        </w:rPr>
        <w:t>are pure CO</w:t>
      </w:r>
      <w:r w:rsidRPr="006C7E65">
        <w:rPr>
          <w:vertAlign w:val="subscript"/>
          <w:lang w:val="en-US"/>
        </w:rPr>
        <w:t>2</w:t>
      </w:r>
      <w:r w:rsidRPr="00643C94">
        <w:rPr>
          <w:lang w:val="en-US"/>
        </w:rPr>
        <w:t xml:space="preserve"> and water. The as-received biogas is first cleaned to remove harmful contaminants (mostly H</w:t>
      </w:r>
      <w:r w:rsidRPr="006C7E65">
        <w:rPr>
          <w:vertAlign w:val="subscript"/>
          <w:lang w:val="en-US"/>
        </w:rPr>
        <w:t>2</w:t>
      </w:r>
      <w:r w:rsidRPr="00643C94">
        <w:rPr>
          <w:lang w:val="en-US"/>
        </w:rPr>
        <w:t xml:space="preserve">S and siloxanes), partially steam-reformed in an external fuel processor and then fed </w:t>
      </w:r>
      <w:r w:rsidRPr="00643C94">
        <w:rPr>
          <w:lang w:val="en-US"/>
        </w:rPr>
        <w:lastRenderedPageBreak/>
        <w:t xml:space="preserve">to a </w:t>
      </w:r>
      <w:r w:rsidR="00680ECD" w:rsidRPr="00BA52C0">
        <w:rPr>
          <w:noProof/>
          <w:lang w:val="en-US"/>
        </w:rPr>
        <w:t>2</w:t>
      </w:r>
      <w:r w:rsidRPr="00643C94">
        <w:rPr>
          <w:lang w:val="en-US"/>
        </w:rPr>
        <w:t xml:space="preserve"> </w:t>
      </w:r>
      <w:proofErr w:type="spellStart"/>
      <w:r w:rsidRPr="00643C94">
        <w:rPr>
          <w:lang w:val="en-US"/>
        </w:rPr>
        <w:t>kW</w:t>
      </w:r>
      <w:r w:rsidRPr="006C7E65">
        <w:rPr>
          <w:vertAlign w:val="subscript"/>
          <w:lang w:val="en-US"/>
        </w:rPr>
        <w:t>e</w:t>
      </w:r>
      <w:proofErr w:type="spellEnd"/>
      <w:r w:rsidRPr="00643C94">
        <w:rPr>
          <w:lang w:val="en-US"/>
        </w:rPr>
        <w:t xml:space="preserve"> SOFC stack (</w:t>
      </w:r>
      <w:proofErr w:type="spellStart"/>
      <w:r w:rsidRPr="00643C94">
        <w:rPr>
          <w:lang w:val="en-US"/>
        </w:rPr>
        <w:t>Sunfire</w:t>
      </w:r>
      <w:proofErr w:type="spellEnd"/>
      <w:r w:rsidRPr="00643C94">
        <w:rPr>
          <w:lang w:val="en-US"/>
        </w:rPr>
        <w:t>, Germany). The anode exhaust is oxy-combusted to yield a stream that contains only H</w:t>
      </w:r>
      <w:r w:rsidRPr="006C7E65">
        <w:rPr>
          <w:vertAlign w:val="subscript"/>
          <w:lang w:val="en-US"/>
        </w:rPr>
        <w:t>2</w:t>
      </w:r>
      <w:r w:rsidRPr="00643C94">
        <w:rPr>
          <w:lang w:val="en-US"/>
        </w:rPr>
        <w:t>O and CO</w:t>
      </w:r>
      <w:r w:rsidRPr="006C7E65">
        <w:rPr>
          <w:vertAlign w:val="subscript"/>
          <w:lang w:val="en-US"/>
        </w:rPr>
        <w:t>2</w:t>
      </w:r>
      <w:r w:rsidRPr="00643C94">
        <w:rPr>
          <w:lang w:val="en-US"/>
        </w:rPr>
        <w:t xml:space="preserve"> (with only traces of H</w:t>
      </w:r>
      <w:r w:rsidRPr="006C7E65">
        <w:rPr>
          <w:vertAlign w:val="subscript"/>
          <w:lang w:val="en-US"/>
        </w:rPr>
        <w:t>2</w:t>
      </w:r>
      <w:r w:rsidRPr="00643C94">
        <w:rPr>
          <w:lang w:val="en-US"/>
        </w:rPr>
        <w:t xml:space="preserve"> and CO; N</w:t>
      </w:r>
      <w:r w:rsidRPr="008966A9">
        <w:rPr>
          <w:vertAlign w:val="subscript"/>
          <w:lang w:val="en-US"/>
        </w:rPr>
        <w:t>2</w:t>
      </w:r>
      <w:r w:rsidRPr="00643C94">
        <w:rPr>
          <w:lang w:val="en-US"/>
        </w:rPr>
        <w:t xml:space="preserve"> is also found depending on the initial concentration </w:t>
      </w:r>
      <w:r w:rsidR="008966A9">
        <w:rPr>
          <w:lang w:val="en-US"/>
        </w:rPr>
        <w:t xml:space="preserve">of this compound </w:t>
      </w:r>
      <w:r w:rsidRPr="00643C94">
        <w:rPr>
          <w:lang w:val="en-US"/>
        </w:rPr>
        <w:t>in biogas). A water condensa</w:t>
      </w:r>
      <w:r w:rsidR="00065B5E">
        <w:rPr>
          <w:lang w:val="en-US"/>
        </w:rPr>
        <w:t>tion/drying process is finally carried</w:t>
      </w:r>
      <w:r w:rsidR="008966A9">
        <w:rPr>
          <w:lang w:val="en-US"/>
        </w:rPr>
        <w:t xml:space="preserve"> out</w:t>
      </w:r>
      <w:r w:rsidRPr="00643C94">
        <w:rPr>
          <w:lang w:val="en-US"/>
        </w:rPr>
        <w:t xml:space="preserve"> to produce pipeline quality CO</w:t>
      </w:r>
      <w:r w:rsidRPr="006C7E65">
        <w:rPr>
          <w:vertAlign w:val="subscript"/>
          <w:lang w:val="en-US"/>
        </w:rPr>
        <w:t>2</w:t>
      </w:r>
      <w:r w:rsidRPr="00643C94">
        <w:rPr>
          <w:lang w:val="en-US"/>
        </w:rPr>
        <w:t>.</w:t>
      </w:r>
      <w:r>
        <w:rPr>
          <w:lang w:val="en-US"/>
        </w:rPr>
        <w:t xml:space="preserve"> </w:t>
      </w:r>
    </w:p>
    <w:p w14:paraId="24118523" w14:textId="2256980C" w:rsidR="00643C94" w:rsidRDefault="00643C94" w:rsidP="00074993">
      <w:pPr>
        <w:rPr>
          <w:lang w:val="en-US"/>
        </w:rPr>
      </w:pPr>
      <w:r w:rsidRPr="00643C94">
        <w:rPr>
          <w:lang w:val="en-US"/>
        </w:rPr>
        <w:t>In the SOFCOM plant, CO</w:t>
      </w:r>
      <w:r w:rsidRPr="006C7E65">
        <w:rPr>
          <w:vertAlign w:val="subscript"/>
          <w:lang w:val="en-US"/>
        </w:rPr>
        <w:t>2</w:t>
      </w:r>
      <w:r w:rsidRPr="00643C94">
        <w:rPr>
          <w:lang w:val="en-US"/>
        </w:rPr>
        <w:t xml:space="preserve"> is </w:t>
      </w:r>
      <w:r w:rsidR="008966A9">
        <w:rPr>
          <w:lang w:val="en-US"/>
        </w:rPr>
        <w:t xml:space="preserve">thus fully </w:t>
      </w:r>
      <w:r w:rsidRPr="00643C94">
        <w:rPr>
          <w:lang w:val="en-US"/>
        </w:rPr>
        <w:t xml:space="preserve">recovered </w:t>
      </w:r>
      <w:r w:rsidR="008966A9">
        <w:rPr>
          <w:lang w:val="en-US"/>
        </w:rPr>
        <w:t xml:space="preserve">and converted </w:t>
      </w:r>
      <w:r w:rsidRPr="00643C94">
        <w:rPr>
          <w:lang w:val="en-US"/>
        </w:rPr>
        <w:t xml:space="preserve">into a </w:t>
      </w:r>
      <w:r>
        <w:rPr>
          <w:lang w:val="en-US"/>
        </w:rPr>
        <w:t>“fast growing</w:t>
      </w:r>
      <w:r w:rsidR="008966A9">
        <w:rPr>
          <w:lang w:val="en-US"/>
        </w:rPr>
        <w:t>” biomass as micro-algae.</w:t>
      </w:r>
      <w:r>
        <w:rPr>
          <w:lang w:val="en-US"/>
        </w:rPr>
        <w:t xml:space="preserve"> </w:t>
      </w:r>
      <w:r w:rsidR="008966A9">
        <w:rPr>
          <w:lang w:val="en-US"/>
        </w:rPr>
        <w:t>Therefore, t</w:t>
      </w:r>
      <w:r>
        <w:rPr>
          <w:lang w:val="en-US"/>
        </w:rPr>
        <w:t>he Carbon content of the CO</w:t>
      </w:r>
      <w:r w:rsidRPr="006C7E65">
        <w:rPr>
          <w:vertAlign w:val="subscript"/>
          <w:lang w:val="en-US"/>
        </w:rPr>
        <w:t>2</w:t>
      </w:r>
      <w:r>
        <w:rPr>
          <w:lang w:val="en-US"/>
        </w:rPr>
        <w:t xml:space="preserve"> </w:t>
      </w:r>
      <w:r w:rsidRPr="00BA52C0">
        <w:rPr>
          <w:noProof/>
          <w:lang w:val="en-US"/>
        </w:rPr>
        <w:t>is embedded</w:t>
      </w:r>
      <w:r>
        <w:rPr>
          <w:lang w:val="en-US"/>
        </w:rPr>
        <w:t xml:space="preserve"> in a secondary biomass </w:t>
      </w:r>
      <w:r w:rsidRPr="00643C94">
        <w:rPr>
          <w:lang w:val="en-US"/>
        </w:rPr>
        <w:t xml:space="preserve">through a photosynthetic process, which occurs in a closed tubular </w:t>
      </w:r>
      <w:proofErr w:type="spellStart"/>
      <w:r w:rsidRPr="00643C94">
        <w:rPr>
          <w:lang w:val="en-US"/>
        </w:rPr>
        <w:t>photobioreactor</w:t>
      </w:r>
      <w:proofErr w:type="spellEnd"/>
      <w:r w:rsidR="008966A9">
        <w:rPr>
          <w:lang w:val="en-US"/>
        </w:rPr>
        <w:t xml:space="preserve"> that fixes</w:t>
      </w:r>
      <w:r w:rsidRPr="00643C94">
        <w:rPr>
          <w:lang w:val="en-US"/>
        </w:rPr>
        <w:t xml:space="preserve"> CO</w:t>
      </w:r>
      <w:r w:rsidRPr="006C7E65">
        <w:rPr>
          <w:vertAlign w:val="subscript"/>
          <w:lang w:val="en-US"/>
        </w:rPr>
        <w:t>2</w:t>
      </w:r>
      <w:r w:rsidRPr="00643C94">
        <w:rPr>
          <w:lang w:val="en-US"/>
        </w:rPr>
        <w:t xml:space="preserve"> into algae biomass through solar radiation and nutrients (nitrates and phosphates)</w:t>
      </w:r>
      <w:r w:rsidR="002E2487">
        <w:rPr>
          <w:lang w:val="en-US"/>
        </w:rPr>
        <w:t>,</w:t>
      </w:r>
      <w:r w:rsidRPr="00643C94">
        <w:rPr>
          <w:lang w:val="en-US"/>
        </w:rPr>
        <w:t xml:space="preserve"> found in </w:t>
      </w:r>
      <w:r w:rsidR="008966A9">
        <w:rPr>
          <w:lang w:val="en-US"/>
        </w:rPr>
        <w:t>locally available waste</w:t>
      </w:r>
      <w:r w:rsidRPr="00643C94">
        <w:rPr>
          <w:lang w:val="en-US"/>
        </w:rPr>
        <w:t xml:space="preserve">water. The algae production leads to a high nutrients removal from </w:t>
      </w:r>
      <w:r w:rsidR="008966A9">
        <w:rPr>
          <w:lang w:val="en-US"/>
        </w:rPr>
        <w:t xml:space="preserve">inlet </w:t>
      </w:r>
      <w:r w:rsidRPr="00643C94">
        <w:rPr>
          <w:lang w:val="en-US"/>
        </w:rPr>
        <w:t>water generating two products: a potential fuel (</w:t>
      </w:r>
      <w:r w:rsidR="004D2BD0">
        <w:rPr>
          <w:lang w:val="en-US"/>
        </w:rPr>
        <w:t xml:space="preserve">biomass from </w:t>
      </w:r>
      <w:r w:rsidRPr="00643C94">
        <w:rPr>
          <w:lang w:val="en-US"/>
        </w:rPr>
        <w:t>algae) and a purified water stream.</w:t>
      </w:r>
    </w:p>
    <w:p w14:paraId="11173EFC" w14:textId="1508669E" w:rsidR="00BA52C0" w:rsidRPr="005A3CEF" w:rsidRDefault="00EC0D6E" w:rsidP="00BA52C0">
      <w:pPr>
        <w:rPr>
          <w:lang w:val="en-US"/>
        </w:rPr>
      </w:pPr>
      <w:r w:rsidRPr="005A3CEF">
        <w:rPr>
          <w:lang w:val="en-US"/>
        </w:rPr>
        <w:t xml:space="preserve">This work summarizes the results of the proof-of-concept of a fuel cell based poly-generation plant that is able to co-produce electricity, heat, cleaned water and finally a </w:t>
      </w:r>
      <w:r w:rsidRPr="005A3CEF">
        <w:rPr>
          <w:noProof/>
          <w:lang w:val="en-US"/>
        </w:rPr>
        <w:t>fast growing biomass (microalge) via the recovery of the CO</w:t>
      </w:r>
      <w:r w:rsidRPr="005A3CEF">
        <w:rPr>
          <w:noProof/>
          <w:vertAlign w:val="subscript"/>
          <w:lang w:val="en-US"/>
        </w:rPr>
        <w:t>2</w:t>
      </w:r>
      <w:r w:rsidRPr="005A3CEF">
        <w:rPr>
          <w:noProof/>
          <w:lang w:val="en-US"/>
        </w:rPr>
        <w:t xml:space="preserve"> from the fuel cell exhaust, and its re-use in a photobioreactor</w:t>
      </w:r>
      <w:r w:rsidRPr="005A3CEF">
        <w:rPr>
          <w:lang w:val="en-US"/>
        </w:rPr>
        <w:t xml:space="preserve">. From the perspective of climate change mitigation, the proposed plant offers to the opportunity </w:t>
      </w:r>
      <w:r w:rsidRPr="005A3CEF">
        <w:rPr>
          <w:noProof/>
          <w:lang w:val="en-US"/>
        </w:rPr>
        <w:t>to recover CO</w:t>
      </w:r>
      <w:r w:rsidRPr="005A3CEF">
        <w:rPr>
          <w:noProof/>
          <w:vertAlign w:val="subscript"/>
          <w:lang w:val="en-US"/>
        </w:rPr>
        <w:t>2</w:t>
      </w:r>
      <w:r w:rsidRPr="005A3CEF">
        <w:rPr>
          <w:noProof/>
          <w:lang w:val="en-US"/>
        </w:rPr>
        <w:t xml:space="preserve"> from an energy process </w:t>
      </w:r>
      <w:r w:rsidRPr="005A3CEF">
        <w:rPr>
          <w:lang w:val="en-US"/>
        </w:rPr>
        <w:t>in an easy way compared to conventional (i.e., combustion–based) power, thus making the recovered carbon available again for other uses.</w:t>
      </w:r>
    </w:p>
    <w:p w14:paraId="50C01C52" w14:textId="43D7FA1A" w:rsidR="00EF3673" w:rsidRPr="00BA52C0" w:rsidRDefault="00BC09A2" w:rsidP="00BA52C0">
      <w:pPr>
        <w:pStyle w:val="Titolo2"/>
        <w:rPr>
          <w:lang w:val="en-US"/>
        </w:rPr>
      </w:pPr>
      <w:r w:rsidRPr="00BA52C0">
        <w:rPr>
          <w:lang w:val="en-US"/>
        </w:rPr>
        <w:t xml:space="preserve">Concept and </w:t>
      </w:r>
      <w:r w:rsidR="00B766FF" w:rsidRPr="00BA52C0">
        <w:rPr>
          <w:lang w:val="en-US"/>
        </w:rPr>
        <w:t>layout</w:t>
      </w:r>
      <w:r w:rsidRPr="00BA52C0">
        <w:rPr>
          <w:lang w:val="en-US"/>
        </w:rPr>
        <w:t xml:space="preserve"> of the proof-of-concept</w:t>
      </w:r>
    </w:p>
    <w:p w14:paraId="63C07DB6" w14:textId="2D8C7342" w:rsidR="00623EE9" w:rsidRDefault="00623EE9" w:rsidP="008966A9">
      <w:r w:rsidRPr="00A00B8F">
        <w:rPr>
          <w:lang w:val="en-US" w:eastAsia="it-IT"/>
        </w:rPr>
        <w:t>The SOFCOM demo un</w:t>
      </w:r>
      <w:r w:rsidR="008966A9" w:rsidRPr="00A00B8F">
        <w:rPr>
          <w:lang w:val="en-US" w:eastAsia="it-IT"/>
        </w:rPr>
        <w:t xml:space="preserve">it </w:t>
      </w:r>
      <w:r w:rsidR="008966A9" w:rsidRPr="00BA52C0">
        <w:rPr>
          <w:noProof/>
          <w:lang w:val="en-US" w:eastAsia="it-IT"/>
        </w:rPr>
        <w:t>was located</w:t>
      </w:r>
      <w:r w:rsidR="008966A9" w:rsidRPr="00A00B8F">
        <w:rPr>
          <w:lang w:val="en-US" w:eastAsia="it-IT"/>
        </w:rPr>
        <w:t xml:space="preserve"> inside the waste</w:t>
      </w:r>
      <w:r w:rsidRPr="00A00B8F">
        <w:rPr>
          <w:lang w:val="en-US" w:eastAsia="it-IT"/>
        </w:rPr>
        <w:t>water trea</w:t>
      </w:r>
      <w:r w:rsidR="008966A9" w:rsidRPr="00A00B8F">
        <w:rPr>
          <w:lang w:val="en-US" w:eastAsia="it-IT"/>
        </w:rPr>
        <w:t xml:space="preserve">tment plant </w:t>
      </w:r>
      <w:r w:rsidR="00CA6996" w:rsidRPr="00A00B8F">
        <w:rPr>
          <w:lang w:val="en-US" w:eastAsia="it-IT"/>
        </w:rPr>
        <w:t xml:space="preserve">(WWTP) </w:t>
      </w:r>
      <w:r w:rsidR="008966A9" w:rsidRPr="00A00B8F">
        <w:rPr>
          <w:lang w:val="en-US" w:eastAsia="it-IT"/>
        </w:rPr>
        <w:t>of Torino (</w:t>
      </w:r>
      <w:r w:rsidRPr="00A00B8F">
        <w:rPr>
          <w:lang w:val="en-US" w:eastAsia="it-IT"/>
        </w:rPr>
        <w:t>IT</w:t>
      </w:r>
      <w:r w:rsidR="008966A9" w:rsidRPr="00A00B8F">
        <w:rPr>
          <w:lang w:val="en-US" w:eastAsia="it-IT"/>
        </w:rPr>
        <w:t>)</w:t>
      </w:r>
      <w:r w:rsidRPr="00A00B8F">
        <w:rPr>
          <w:lang w:val="en-US" w:eastAsia="it-IT"/>
        </w:rPr>
        <w:t xml:space="preserve">, where </w:t>
      </w:r>
      <w:r w:rsidR="008966A9" w:rsidRPr="00A00B8F">
        <w:rPr>
          <w:lang w:val="en-US" w:eastAsia="it-IT"/>
        </w:rPr>
        <w:t>mixed urban and industrial wastewater</w:t>
      </w:r>
      <w:r w:rsidRPr="00A00B8F">
        <w:rPr>
          <w:lang w:val="en-US" w:eastAsia="it-IT"/>
        </w:rPr>
        <w:t xml:space="preserve"> </w:t>
      </w:r>
      <w:r w:rsidRPr="00BA52C0">
        <w:rPr>
          <w:noProof/>
          <w:lang w:val="en-US" w:eastAsia="it-IT"/>
        </w:rPr>
        <w:t>is treated</w:t>
      </w:r>
      <w:r w:rsidR="008966A9" w:rsidRPr="00A00B8F">
        <w:rPr>
          <w:lang w:val="en-US" w:eastAsia="it-IT"/>
        </w:rPr>
        <w:t xml:space="preserve">. The collected sludge </w:t>
      </w:r>
      <w:r w:rsidR="008966A9" w:rsidRPr="00BA52C0">
        <w:rPr>
          <w:noProof/>
          <w:lang w:val="en-US" w:eastAsia="it-IT"/>
        </w:rPr>
        <w:t xml:space="preserve">is </w:t>
      </w:r>
      <w:r w:rsidRPr="00BA52C0">
        <w:rPr>
          <w:noProof/>
          <w:lang w:val="en-US" w:eastAsia="it-IT"/>
        </w:rPr>
        <w:t>digested</w:t>
      </w:r>
      <w:r w:rsidRPr="00A00B8F">
        <w:rPr>
          <w:lang w:val="en-US" w:eastAsia="it-IT"/>
        </w:rPr>
        <w:t xml:space="preserve"> in thermophilic </w:t>
      </w:r>
      <w:r w:rsidR="008966A9" w:rsidRPr="00A00B8F">
        <w:rPr>
          <w:lang w:val="en-US" w:eastAsia="it-IT"/>
        </w:rPr>
        <w:t>anaerobic digesters</w:t>
      </w:r>
      <w:r w:rsidRPr="00A00B8F">
        <w:rPr>
          <w:lang w:val="en-US" w:eastAsia="it-IT"/>
        </w:rPr>
        <w:t xml:space="preserve">. Normally, the </w:t>
      </w:r>
      <w:r w:rsidR="008966A9" w:rsidRPr="00A00B8F">
        <w:rPr>
          <w:lang w:val="en-US" w:eastAsia="it-IT"/>
        </w:rPr>
        <w:t xml:space="preserve">as-produced biogas </w:t>
      </w:r>
      <w:r w:rsidR="008966A9" w:rsidRPr="00BA52C0">
        <w:rPr>
          <w:noProof/>
          <w:lang w:val="en-US" w:eastAsia="it-IT"/>
        </w:rPr>
        <w:t>is burnt</w:t>
      </w:r>
      <w:r w:rsidR="008966A9" w:rsidRPr="00A00B8F">
        <w:rPr>
          <w:lang w:val="en-US" w:eastAsia="it-IT"/>
        </w:rPr>
        <w:t xml:space="preserve"> in internal c</w:t>
      </w:r>
      <w:r w:rsidRPr="00A00B8F">
        <w:rPr>
          <w:lang w:val="en-US" w:eastAsia="it-IT"/>
        </w:rPr>
        <w:t xml:space="preserve">ombustion </w:t>
      </w:r>
      <w:r w:rsidR="008966A9" w:rsidRPr="00A00B8F">
        <w:rPr>
          <w:lang w:val="en-US" w:eastAsia="it-IT"/>
        </w:rPr>
        <w:t>e</w:t>
      </w:r>
      <w:r w:rsidRPr="00A00B8F">
        <w:rPr>
          <w:lang w:val="en-US" w:eastAsia="it-IT"/>
        </w:rPr>
        <w:t>ngines that provide a</w:t>
      </w:r>
      <w:r>
        <w:rPr>
          <w:lang w:val="en-US" w:eastAsia="it-IT"/>
        </w:rPr>
        <w:t xml:space="preserve"> fraction of the overall electricity consumed on-site by the WWTP. In the framework of the SOFCOM project, </w:t>
      </w:r>
      <w:r w:rsidR="008966A9">
        <w:rPr>
          <w:lang w:val="en-US" w:eastAsia="it-IT"/>
        </w:rPr>
        <w:t>a portion of the</w:t>
      </w:r>
      <w:r>
        <w:rPr>
          <w:lang w:val="en-US" w:eastAsia="it-IT"/>
        </w:rPr>
        <w:t xml:space="preserve"> produced biogas is used to feed the SOFC demonstration </w:t>
      </w:r>
      <w:r w:rsidRPr="002F0E27">
        <w:rPr>
          <w:lang w:val="en-US" w:eastAsia="it-IT"/>
        </w:rPr>
        <w:t xml:space="preserve">plant. </w:t>
      </w:r>
      <w:r>
        <w:rPr>
          <w:lang w:val="en-US" w:eastAsia="it-IT"/>
        </w:rPr>
        <w:t>A</w:t>
      </w:r>
      <w:r w:rsidRPr="002F0E27">
        <w:rPr>
          <w:lang w:val="en-US" w:eastAsia="it-IT"/>
        </w:rPr>
        <w:t xml:space="preserve"> biogas blower </w:t>
      </w:r>
      <w:r>
        <w:rPr>
          <w:lang w:val="en-US" w:eastAsia="it-IT"/>
        </w:rPr>
        <w:t xml:space="preserve">is </w:t>
      </w:r>
      <w:r w:rsidRPr="002F0E27">
        <w:rPr>
          <w:lang w:val="en-US" w:eastAsia="it-IT"/>
        </w:rPr>
        <w:t xml:space="preserve">required to feed the fuel mixture (found slightly above the atmospheric pressure in the reservoir tanks) </w:t>
      </w:r>
      <w:r>
        <w:rPr>
          <w:lang w:val="en-US" w:eastAsia="it-IT"/>
        </w:rPr>
        <w:t xml:space="preserve">across the various plant sections. </w:t>
      </w:r>
      <w:r w:rsidR="00AF7D8A">
        <w:rPr>
          <w:lang w:val="en-US" w:eastAsia="it-IT"/>
        </w:rPr>
        <w:t>T</w:t>
      </w:r>
      <w:r>
        <w:rPr>
          <w:lang w:val="en-US" w:eastAsia="it-IT"/>
        </w:rPr>
        <w:t xml:space="preserve">he biogas </w:t>
      </w:r>
      <w:r w:rsidR="008966A9" w:rsidRPr="00BA52C0">
        <w:rPr>
          <w:noProof/>
          <w:lang w:val="en-US" w:eastAsia="it-IT"/>
        </w:rPr>
        <w:t>is</w:t>
      </w:r>
      <w:r w:rsidR="00AF7D8A" w:rsidRPr="00BA52C0">
        <w:rPr>
          <w:noProof/>
          <w:lang w:val="en-US" w:eastAsia="it-IT"/>
        </w:rPr>
        <w:t xml:space="preserve"> </w:t>
      </w:r>
      <w:r w:rsidRPr="00BA52C0">
        <w:rPr>
          <w:noProof/>
          <w:lang w:val="en-US" w:eastAsia="it-IT"/>
        </w:rPr>
        <w:t>cleaned</w:t>
      </w:r>
      <w:r>
        <w:rPr>
          <w:lang w:val="en-US" w:eastAsia="it-IT"/>
        </w:rPr>
        <w:t xml:space="preserve"> </w:t>
      </w:r>
      <w:r w:rsidRPr="00B9312A">
        <w:rPr>
          <w:noProof/>
          <w:lang w:val="en-US" w:eastAsia="it-IT"/>
        </w:rPr>
        <w:t>to</w:t>
      </w:r>
      <w:r>
        <w:rPr>
          <w:lang w:val="en-US" w:eastAsia="it-IT"/>
        </w:rPr>
        <w:t xml:space="preserve"> remove harmful contaminants for the SOFC</w:t>
      </w:r>
      <w:r w:rsidR="00AF7D8A">
        <w:rPr>
          <w:lang w:val="en-US" w:eastAsia="it-IT"/>
        </w:rPr>
        <w:t>:</w:t>
      </w:r>
      <w:r>
        <w:rPr>
          <w:lang w:val="en-US" w:eastAsia="it-IT"/>
        </w:rPr>
        <w:t xml:space="preserve"> </w:t>
      </w:r>
      <w:r w:rsidR="00AF7D8A">
        <w:rPr>
          <w:lang w:val="en-US" w:eastAsia="it-IT"/>
        </w:rPr>
        <w:t>a</w:t>
      </w:r>
      <w:r>
        <w:rPr>
          <w:lang w:val="en-US" w:eastAsia="it-IT"/>
        </w:rPr>
        <w:t>ccording to historical data</w:t>
      </w:r>
      <w:r w:rsidR="00AF7D8A">
        <w:rPr>
          <w:lang w:val="en-US" w:eastAsia="it-IT"/>
        </w:rPr>
        <w:t>,</w:t>
      </w:r>
      <w:r>
        <w:rPr>
          <w:lang w:val="en-US" w:eastAsia="it-IT"/>
        </w:rPr>
        <w:t xml:space="preserve"> cyclic siloxanes (D4 and D5), and sulfur compounds have to be removed carefully to avoid poisoning of the reformer unit and the SOFC. The clean biogas </w:t>
      </w:r>
      <w:r w:rsidR="00AF7D8A" w:rsidRPr="00BA52C0">
        <w:rPr>
          <w:noProof/>
          <w:lang w:val="en-US" w:eastAsia="it-IT"/>
        </w:rPr>
        <w:t xml:space="preserve">is </w:t>
      </w:r>
      <w:r w:rsidRPr="00BA52C0">
        <w:rPr>
          <w:noProof/>
          <w:lang w:val="en-US" w:eastAsia="it-IT"/>
        </w:rPr>
        <w:t>converted</w:t>
      </w:r>
      <w:r>
        <w:rPr>
          <w:lang w:val="en-US" w:eastAsia="it-IT"/>
        </w:rPr>
        <w:t xml:space="preserve"> via an external steam reformer to a bio-syngas rich in H</w:t>
      </w:r>
      <w:r w:rsidRPr="00031F78">
        <w:rPr>
          <w:vertAlign w:val="subscript"/>
          <w:lang w:val="en-US" w:eastAsia="it-IT"/>
        </w:rPr>
        <w:t>2</w:t>
      </w:r>
      <w:r>
        <w:rPr>
          <w:lang w:val="en-US" w:eastAsia="it-IT"/>
        </w:rPr>
        <w:t xml:space="preserve"> and CO that </w:t>
      </w:r>
      <w:r w:rsidR="00AF7D8A">
        <w:rPr>
          <w:lang w:val="en-US" w:eastAsia="it-IT"/>
        </w:rPr>
        <w:t xml:space="preserve">is </w:t>
      </w:r>
      <w:r w:rsidRPr="00680ECD">
        <w:rPr>
          <w:noProof/>
          <w:lang w:val="en-US" w:eastAsia="it-IT"/>
        </w:rPr>
        <w:t>feed</w:t>
      </w:r>
      <w:r>
        <w:rPr>
          <w:lang w:val="en-US" w:eastAsia="it-IT"/>
        </w:rPr>
        <w:t xml:space="preserve"> to the SOFC stack. The anode-off gas </w:t>
      </w:r>
      <w:r w:rsidR="00AF7D8A">
        <w:rPr>
          <w:lang w:val="en-US" w:eastAsia="it-IT"/>
        </w:rPr>
        <w:t xml:space="preserve">is </w:t>
      </w:r>
      <w:r>
        <w:rPr>
          <w:lang w:val="en-US" w:eastAsia="it-IT"/>
        </w:rPr>
        <w:t>burnt with pure oxygen to yield an almost pure CO</w:t>
      </w:r>
      <w:r w:rsidRPr="00031F78">
        <w:rPr>
          <w:vertAlign w:val="subscript"/>
          <w:lang w:val="en-US" w:eastAsia="it-IT"/>
        </w:rPr>
        <w:t>2</w:t>
      </w:r>
      <w:r>
        <w:rPr>
          <w:lang w:val="en-US" w:eastAsia="it-IT"/>
        </w:rPr>
        <w:t>-H</w:t>
      </w:r>
      <w:r w:rsidRPr="00031F78">
        <w:rPr>
          <w:vertAlign w:val="subscript"/>
          <w:lang w:val="en-US" w:eastAsia="it-IT"/>
        </w:rPr>
        <w:t>2</w:t>
      </w:r>
      <w:r>
        <w:rPr>
          <w:lang w:val="en-US" w:eastAsia="it-IT"/>
        </w:rPr>
        <w:t xml:space="preserve">O stream. The latter </w:t>
      </w:r>
      <w:r w:rsidR="00AF7D8A">
        <w:rPr>
          <w:lang w:val="en-US" w:eastAsia="it-IT"/>
        </w:rPr>
        <w:t xml:space="preserve">is </w:t>
      </w:r>
      <w:r>
        <w:rPr>
          <w:lang w:val="en-US" w:eastAsia="it-IT"/>
        </w:rPr>
        <w:t>condensed in a dedicated unit to produce a relatively pure CO</w:t>
      </w:r>
      <w:r w:rsidRPr="00031F78">
        <w:rPr>
          <w:vertAlign w:val="subscript"/>
          <w:lang w:val="en-US" w:eastAsia="it-IT"/>
        </w:rPr>
        <w:t>2</w:t>
      </w:r>
      <w:r>
        <w:rPr>
          <w:lang w:val="en-US" w:eastAsia="it-IT"/>
        </w:rPr>
        <w:t xml:space="preserve"> stream </w:t>
      </w:r>
      <w:r w:rsidR="00B9312A">
        <w:rPr>
          <w:noProof/>
          <w:lang w:val="en-US" w:eastAsia="it-IT"/>
        </w:rPr>
        <w:t>also complying</w:t>
      </w:r>
      <w:r>
        <w:rPr>
          <w:lang w:val="en-US" w:eastAsia="it-IT"/>
        </w:rPr>
        <w:t xml:space="preserve"> with purity requirements for sequestration.</w:t>
      </w:r>
      <w:r w:rsidR="00AF7D8A">
        <w:rPr>
          <w:lang w:val="en-US" w:eastAsia="it-IT"/>
        </w:rPr>
        <w:t xml:space="preserve"> T</w:t>
      </w:r>
      <w:r w:rsidRPr="00ED591D">
        <w:rPr>
          <w:lang w:val="en-US" w:eastAsia="it-IT"/>
        </w:rPr>
        <w:t>he pure CO</w:t>
      </w:r>
      <w:r w:rsidRPr="00ED591D">
        <w:rPr>
          <w:vertAlign w:val="subscript"/>
          <w:lang w:val="en-US" w:eastAsia="it-IT"/>
        </w:rPr>
        <w:t>2</w:t>
      </w:r>
      <w:r w:rsidRPr="00ED591D">
        <w:rPr>
          <w:lang w:val="en-US" w:eastAsia="it-IT"/>
        </w:rPr>
        <w:t xml:space="preserve"> stream </w:t>
      </w:r>
      <w:r w:rsidR="008966A9">
        <w:rPr>
          <w:lang w:val="en-US" w:eastAsia="it-IT"/>
        </w:rPr>
        <w:t>is finally</w:t>
      </w:r>
      <w:r w:rsidRPr="00ED591D">
        <w:rPr>
          <w:lang w:val="en-US" w:eastAsia="it-IT"/>
        </w:rPr>
        <w:t xml:space="preserve"> used</w:t>
      </w:r>
      <w:r>
        <w:rPr>
          <w:lang w:val="en-US" w:eastAsia="it-IT"/>
        </w:rPr>
        <w:t xml:space="preserve"> (</w:t>
      </w:r>
      <w:r w:rsidRPr="00680ECD">
        <w:rPr>
          <w:noProof/>
          <w:lang w:val="en-US" w:eastAsia="it-IT"/>
        </w:rPr>
        <w:t>recycled</w:t>
      </w:r>
      <w:r>
        <w:rPr>
          <w:lang w:val="en-US" w:eastAsia="it-IT"/>
        </w:rPr>
        <w:t>)</w:t>
      </w:r>
      <w:r w:rsidRPr="00ED591D">
        <w:rPr>
          <w:lang w:val="en-US" w:eastAsia="it-IT"/>
        </w:rPr>
        <w:t xml:space="preserve"> for</w:t>
      </w:r>
      <w:r w:rsidR="00680ECD">
        <w:rPr>
          <w:lang w:val="en-US" w:eastAsia="it-IT"/>
        </w:rPr>
        <w:t xml:space="preserve"> the</w:t>
      </w:r>
      <w:r w:rsidRPr="00ED591D">
        <w:rPr>
          <w:lang w:val="en-US" w:eastAsia="it-IT"/>
        </w:rPr>
        <w:t xml:space="preserve"> carbon bio-fixation in microalgae reactors</w:t>
      </w:r>
      <w:r>
        <w:rPr>
          <w:lang w:val="en-US" w:eastAsia="it-IT"/>
        </w:rPr>
        <w:t xml:space="preserve"> </w:t>
      </w:r>
      <w:r w:rsidRPr="00ED591D">
        <w:rPr>
          <w:lang w:val="en-US" w:eastAsia="it-IT"/>
        </w:rPr>
        <w:t xml:space="preserve">with </w:t>
      </w:r>
      <w:r>
        <w:rPr>
          <w:lang w:val="en-US" w:eastAsia="it-IT"/>
        </w:rPr>
        <w:t xml:space="preserve">additional </w:t>
      </w:r>
      <w:r w:rsidRPr="00ED591D">
        <w:rPr>
          <w:lang w:val="en-US" w:eastAsia="it-IT"/>
        </w:rPr>
        <w:t>waste-water treatment via biological nutrients removal</w:t>
      </w:r>
      <w:r w:rsidR="005A1C74">
        <w:rPr>
          <w:lang w:val="en-US" w:eastAsia="it-IT"/>
        </w:rPr>
        <w:t xml:space="preserve"> </w:t>
      </w:r>
      <w:r w:rsidR="005A1C74">
        <w:rPr>
          <w:lang w:val="en-US" w:eastAsia="it-IT"/>
        </w:rPr>
        <w:fldChar w:fldCharType="begin" w:fldLock="1"/>
      </w:r>
      <w:r w:rsidR="005A1C74">
        <w:rPr>
          <w:lang w:val="en-US" w:eastAsia="it-IT"/>
        </w:rPr>
        <w:instrText>ADDIN CSL_CITATION { "citationItems" : [ { "id" : "ITEM-1", "itemData" : { "DOI" : "10.1115/FuelCell2013-18082", "ISBN" : "978-0-7918-5552-2", "ISSN" : "1550-624X", "abstract" : "The design and balance-of-plant of a novel anaerobic digestion (AD) biogas solid oxide fuel cell (SOFC) plant is assessed. Biogas from waste-water treatment plant is the fuel feeding the SOFC system. Simultaneous multigeneration of electricity, heat and a fuel (algae, in our case) via exhaust carbon recycling is accomplished in the proposed plant configuration. CO2 capture from the SOFC anode exhaust is carried out through an oxy- combustion reactor that completes the oxidation of spent fuel still available downstream of the fuel cell. The captured CO2, after water condensation, is thus fed to an array of photo-bioreactors where C bio-fixation in algae is achieved. The design of the main plant sections, including the gas cleaning unit, fuel processor, SOFC \u201chot-box,\u201d oxy-combus- tor, CO2/H2O condensation unit and photo-bioreactors, is provided. A system analysis of a full-scale version of the biogas SOFC power plant with optimized heat integration is finally analyzed to fully understand the potential of the proposed integrated energy sys- tem. An overall electrical efficiency exceeding 52% (LHV basis) was calculated. Sensitiv- ity analyses have been carried out in order to study the influence of fuel utilization, internal reforming, biogas composition and steam-to-carbon ratio on both SOFC and overall plant performance", "author" : [ { "dropping-particle" : "", "family" : "Gandiglio", "given" : "M.", "non-dropping-particle" : "", "parse-names" : false, "suffix" : "" }, { "dropping-particle" : "", "family" : "Lanzini", "given" : "A.", "non-dropping-particle" : "", "parse-names" : false, "suffix" : "" }, { "dropping-particle" : "", "family" : "Santarelli", "given" : "M.", "non-dropping-particle" : "", "parse-names" : false, "suffix" : "" }, { "dropping-particle" : "", "family" : "Leone", "given" : "P.", "non-dropping-particle" : "", "parse-names" : false, "suffix" : "" } ], "container-title" : "Journal of Fuel Cell Science and Technology", "id" : "ITEM-1", "issue" : "June", "issued" : { "date-parts" : [ [ "2013" ] ] }, "page" : "14", "title" : "Design and balance of plant of a demonsration plant with a Solid Oxide Fuel Cell fed by biogas from Waste-water and exhaust carbon recycling for algae growth", "type" : "article-journal", "volume" : "11" }, "uris" : [ "http://www.mendeley.com/documents/?uuid=ca3daf75-eedf-42b8-8cdc-ee3d913a96ef" ] } ], "mendeley" : { "formattedCitation" : "[2]", "plainTextFormattedCitation" : "[2]", "previouslyFormattedCitation" : "[2]" }, "properties" : { "noteIndex" : 0 }, "schema" : "https://github.com/citation-style-language/schema/raw/master/csl-citation.json" }</w:instrText>
      </w:r>
      <w:r w:rsidR="005A1C74">
        <w:rPr>
          <w:lang w:val="en-US" w:eastAsia="it-IT"/>
        </w:rPr>
        <w:fldChar w:fldCharType="separate"/>
      </w:r>
      <w:r w:rsidR="005A1C74" w:rsidRPr="005A1C74">
        <w:rPr>
          <w:noProof/>
          <w:lang w:val="en-US" w:eastAsia="it-IT"/>
        </w:rPr>
        <w:t>[2]</w:t>
      </w:r>
      <w:r w:rsidR="005A1C74">
        <w:rPr>
          <w:lang w:val="en-US" w:eastAsia="it-IT"/>
        </w:rPr>
        <w:fldChar w:fldCharType="end"/>
      </w:r>
      <w:r w:rsidRPr="00ED591D">
        <w:rPr>
          <w:lang w:val="en-US" w:eastAsia="it-IT"/>
        </w:rPr>
        <w:t>.</w:t>
      </w:r>
    </w:p>
    <w:p w14:paraId="73E61D36" w14:textId="29BDEC6C" w:rsidR="00623EE9" w:rsidRDefault="00623EE9" w:rsidP="008966A9">
      <w:r w:rsidRPr="00DC064A">
        <w:t>The demon</w:t>
      </w:r>
      <w:r>
        <w:t>stration plant layout is shown i</w:t>
      </w:r>
      <w:r w:rsidRPr="00DC064A">
        <w:t xml:space="preserve">n </w:t>
      </w:r>
      <w:r w:rsidR="00450807">
        <w:fldChar w:fldCharType="begin"/>
      </w:r>
      <w:r w:rsidR="00450807">
        <w:instrText xml:space="preserve"> REF _Ref469580011 \h </w:instrText>
      </w:r>
      <w:r w:rsidR="00450807">
        <w:fldChar w:fldCharType="separate"/>
      </w:r>
      <w:r w:rsidR="00450807" w:rsidRPr="00E63271">
        <w:t xml:space="preserve">Figure </w:t>
      </w:r>
      <w:r w:rsidR="00450807">
        <w:rPr>
          <w:noProof/>
        </w:rPr>
        <w:t>1</w:t>
      </w:r>
      <w:r w:rsidR="00450807">
        <w:fldChar w:fldCharType="end"/>
      </w:r>
      <w:r w:rsidR="00450807">
        <w:t xml:space="preserve"> and </w:t>
      </w:r>
      <w:r w:rsidR="00450807">
        <w:fldChar w:fldCharType="begin"/>
      </w:r>
      <w:r w:rsidR="00450807">
        <w:instrText xml:space="preserve"> REF _Ref469580013 \h </w:instrText>
      </w:r>
      <w:r w:rsidR="00450807">
        <w:fldChar w:fldCharType="separate"/>
      </w:r>
      <w:r w:rsidR="00450807" w:rsidRPr="00E63271">
        <w:t xml:space="preserve">Figure </w:t>
      </w:r>
      <w:r w:rsidR="00450807">
        <w:rPr>
          <w:noProof/>
        </w:rPr>
        <w:t>2</w:t>
      </w:r>
      <w:r w:rsidR="00450807">
        <w:fldChar w:fldCharType="end"/>
      </w:r>
      <w:r w:rsidRPr="00DC064A">
        <w:t xml:space="preserve">. </w:t>
      </w:r>
      <w:r w:rsidR="00450807">
        <w:fldChar w:fldCharType="begin"/>
      </w:r>
      <w:r w:rsidR="00450807">
        <w:instrText xml:space="preserve"> REF _Ref469580011 \h </w:instrText>
      </w:r>
      <w:r w:rsidR="00450807">
        <w:fldChar w:fldCharType="separate"/>
      </w:r>
      <w:r w:rsidR="00450807" w:rsidRPr="00E63271">
        <w:t xml:space="preserve">Figure </w:t>
      </w:r>
      <w:r w:rsidR="00450807">
        <w:rPr>
          <w:noProof/>
        </w:rPr>
        <w:t>1</w:t>
      </w:r>
      <w:r w:rsidR="00450807">
        <w:fldChar w:fldCharType="end"/>
      </w:r>
      <w:r w:rsidR="00D52142">
        <w:t xml:space="preserve"> shows</w:t>
      </w:r>
      <w:r w:rsidRPr="00DC064A">
        <w:t xml:space="preserve"> the first part of the demo</w:t>
      </w:r>
      <w:r>
        <w:t xml:space="preserve"> plant</w:t>
      </w:r>
      <w:r w:rsidRPr="00DC064A">
        <w:t xml:space="preserve">, from </w:t>
      </w:r>
      <w:r w:rsidR="00D52142">
        <w:t>b</w:t>
      </w:r>
      <w:r w:rsidRPr="00DC064A">
        <w:t>iogas inlet</w:t>
      </w:r>
      <w:r>
        <w:t xml:space="preserve"> feed</w:t>
      </w:r>
      <w:r w:rsidR="00D52142">
        <w:t xml:space="preserve"> to </w:t>
      </w:r>
      <w:r w:rsidRPr="00DC064A">
        <w:t>pure CO</w:t>
      </w:r>
      <w:r w:rsidRPr="00DC064A">
        <w:rPr>
          <w:vertAlign w:val="subscript"/>
        </w:rPr>
        <w:t>2</w:t>
      </w:r>
      <w:r w:rsidRPr="00DC064A">
        <w:t xml:space="preserve"> </w:t>
      </w:r>
      <w:r>
        <w:t>exhaust</w:t>
      </w:r>
      <w:r w:rsidRPr="00DC064A">
        <w:t>. The main components in th</w:t>
      </w:r>
      <w:r>
        <w:t>is section of the</w:t>
      </w:r>
      <w:r w:rsidRPr="00DC064A">
        <w:t xml:space="preserve"> demo plant are</w:t>
      </w:r>
      <w:r w:rsidR="00D52142">
        <w:t>:</w:t>
      </w:r>
    </w:p>
    <w:p w14:paraId="58BC4CCC" w14:textId="77777777" w:rsidR="00C55EF0" w:rsidRPr="00DC064A" w:rsidRDefault="00C55EF0" w:rsidP="009B2EB0">
      <w:pPr>
        <w:pStyle w:val="Paragrafoelenco"/>
        <w:numPr>
          <w:ilvl w:val="0"/>
          <w:numId w:val="14"/>
        </w:numPr>
        <w:spacing w:before="120" w:after="120"/>
      </w:pPr>
      <w:r w:rsidRPr="00DC064A">
        <w:lastRenderedPageBreak/>
        <w:t>Cl</w:t>
      </w:r>
      <w:r>
        <w:t>ean-up</w:t>
      </w:r>
      <w:r w:rsidRPr="00DC064A">
        <w:t xml:space="preserve"> vessels for biogas contaminants removal</w:t>
      </w:r>
      <w:r>
        <w:t>.</w:t>
      </w:r>
    </w:p>
    <w:p w14:paraId="4ADB09E6" w14:textId="791F228F" w:rsidR="00C55EF0" w:rsidRPr="00DC064A" w:rsidRDefault="00B9312A" w:rsidP="009B2EB0">
      <w:pPr>
        <w:pStyle w:val="Paragrafoelenco"/>
        <w:numPr>
          <w:ilvl w:val="0"/>
          <w:numId w:val="14"/>
        </w:numPr>
        <w:spacing w:before="120" w:after="120"/>
      </w:pPr>
      <w:r>
        <w:rPr>
          <w:noProof/>
        </w:rPr>
        <w:t>The p</w:t>
      </w:r>
      <w:r w:rsidR="00C55EF0" w:rsidRPr="00B9312A">
        <w:rPr>
          <w:noProof/>
        </w:rPr>
        <w:t>rocessing</w:t>
      </w:r>
      <w:r w:rsidR="00C55EF0" w:rsidRPr="00DC064A">
        <w:t xml:space="preserve"> unit (reformer) for methane conversion into </w:t>
      </w:r>
      <w:r w:rsidR="00C55EF0" w:rsidRPr="00B9312A">
        <w:rPr>
          <w:noProof/>
        </w:rPr>
        <w:t>a</w:t>
      </w:r>
      <w:r>
        <w:rPr>
          <w:noProof/>
        </w:rPr>
        <w:t>n</w:t>
      </w:r>
      <w:r w:rsidR="00C55EF0" w:rsidRPr="00B9312A">
        <w:rPr>
          <w:noProof/>
        </w:rPr>
        <w:t xml:space="preserve"> H</w:t>
      </w:r>
      <w:r w:rsidR="00C55EF0" w:rsidRPr="00B9312A">
        <w:rPr>
          <w:noProof/>
          <w:vertAlign w:val="subscript"/>
        </w:rPr>
        <w:t>2</w:t>
      </w:r>
      <w:r w:rsidR="00C55EF0" w:rsidRPr="00B9312A">
        <w:rPr>
          <w:noProof/>
        </w:rPr>
        <w:t>-CO</w:t>
      </w:r>
      <w:r w:rsidR="00C55EF0" w:rsidRPr="00DC064A">
        <w:t xml:space="preserve"> mixture using demineralize water.</w:t>
      </w:r>
    </w:p>
    <w:p w14:paraId="50179A97" w14:textId="77777777" w:rsidR="00C55EF0" w:rsidRPr="00DC064A" w:rsidRDefault="00C55EF0" w:rsidP="009B2EB0">
      <w:pPr>
        <w:pStyle w:val="Paragrafoelenco"/>
        <w:numPr>
          <w:ilvl w:val="0"/>
          <w:numId w:val="14"/>
        </w:numPr>
        <w:spacing w:before="120" w:after="120"/>
      </w:pPr>
      <w:r w:rsidRPr="00DC064A">
        <w:t>SOFC for electricity production</w:t>
      </w:r>
      <w:r>
        <w:t>.</w:t>
      </w:r>
    </w:p>
    <w:p w14:paraId="34926B1F" w14:textId="77777777" w:rsidR="00C55EF0" w:rsidRPr="00DC064A" w:rsidRDefault="00C55EF0" w:rsidP="009B2EB0">
      <w:pPr>
        <w:pStyle w:val="Paragrafoelenco"/>
        <w:numPr>
          <w:ilvl w:val="0"/>
          <w:numId w:val="14"/>
        </w:numPr>
        <w:spacing w:before="120" w:after="120"/>
      </w:pPr>
      <w:r w:rsidRPr="00680ECD">
        <w:rPr>
          <w:noProof/>
        </w:rPr>
        <w:t>Air line</w:t>
      </w:r>
      <w:r w:rsidRPr="00DC064A">
        <w:t xml:space="preserve"> for feeding oxygen to the SOFC cathode (blower and air pre-heater)</w:t>
      </w:r>
      <w:r>
        <w:t>.</w:t>
      </w:r>
    </w:p>
    <w:p w14:paraId="70245D0D" w14:textId="77777777" w:rsidR="00C55EF0" w:rsidRPr="00DC064A" w:rsidRDefault="00C55EF0" w:rsidP="009B2EB0">
      <w:pPr>
        <w:pStyle w:val="Paragrafoelenco"/>
        <w:numPr>
          <w:ilvl w:val="0"/>
          <w:numId w:val="14"/>
        </w:numPr>
        <w:spacing w:before="120" w:after="120"/>
      </w:pPr>
      <w:r w:rsidRPr="00DC064A">
        <w:t>Oxy-combustor for oxygen combustion of unreacted fuels from SOFC</w:t>
      </w:r>
      <w:r>
        <w:t>.</w:t>
      </w:r>
    </w:p>
    <w:p w14:paraId="3E129EEE" w14:textId="77777777" w:rsidR="00C55EF0" w:rsidRPr="00DC064A" w:rsidRDefault="00C55EF0" w:rsidP="009B2EB0">
      <w:pPr>
        <w:pStyle w:val="Paragrafoelenco"/>
        <w:numPr>
          <w:ilvl w:val="0"/>
          <w:numId w:val="14"/>
        </w:numPr>
        <w:spacing w:before="120" w:after="120"/>
      </w:pPr>
      <w:r w:rsidRPr="00DC064A">
        <w:t>Two heat recovery sections</w:t>
      </w:r>
      <w:r>
        <w:t>.</w:t>
      </w:r>
    </w:p>
    <w:p w14:paraId="6B67D6D1" w14:textId="77777777" w:rsidR="00C55EF0" w:rsidRPr="00DC064A" w:rsidRDefault="00C55EF0" w:rsidP="009B2EB0">
      <w:pPr>
        <w:pStyle w:val="Paragrafoelenco"/>
        <w:numPr>
          <w:ilvl w:val="0"/>
          <w:numId w:val="14"/>
        </w:numPr>
        <w:spacing w:before="120" w:after="120"/>
      </w:pPr>
      <w:r w:rsidRPr="00DC064A">
        <w:t>Condenser for water removal</w:t>
      </w:r>
      <w:r>
        <w:t>.</w:t>
      </w:r>
    </w:p>
    <w:p w14:paraId="2BF2DE07" w14:textId="49BBE418" w:rsidR="00D52142" w:rsidRPr="00DC064A" w:rsidRDefault="00450807" w:rsidP="00D52142">
      <w:pPr>
        <w:spacing w:before="120" w:after="120"/>
      </w:pPr>
      <w:r>
        <w:fldChar w:fldCharType="begin"/>
      </w:r>
      <w:r>
        <w:instrText xml:space="preserve"> REF _Ref469580013 \h </w:instrText>
      </w:r>
      <w:r>
        <w:fldChar w:fldCharType="separate"/>
      </w:r>
      <w:r w:rsidRPr="00E63271">
        <w:t xml:space="preserve">Figure </w:t>
      </w:r>
      <w:r>
        <w:rPr>
          <w:noProof/>
        </w:rPr>
        <w:t>2</w:t>
      </w:r>
      <w:r>
        <w:fldChar w:fldCharType="end"/>
      </w:r>
      <w:r w:rsidR="00D52142" w:rsidRPr="00A00B8F">
        <w:t xml:space="preserve"> shows the </w:t>
      </w:r>
      <w:proofErr w:type="spellStart"/>
      <w:r w:rsidR="00D52142" w:rsidRPr="00A00B8F">
        <w:t>photobioreactor</w:t>
      </w:r>
      <w:proofErr w:type="spellEnd"/>
      <w:r w:rsidR="00D52142" w:rsidRPr="00A00B8F">
        <w:t xml:space="preserve"> unit. Wastewater is filtered and then flowed through the recirculation loop. CO</w:t>
      </w:r>
      <w:r w:rsidR="00D52142" w:rsidRPr="00A4783E">
        <w:rPr>
          <w:vertAlign w:val="subscript"/>
        </w:rPr>
        <w:t>2</w:t>
      </w:r>
      <w:r w:rsidR="00D52142" w:rsidRPr="00A00B8F">
        <w:t xml:space="preserve"> is injected </w:t>
      </w:r>
      <w:r w:rsidR="00D52142" w:rsidRPr="00B9312A">
        <w:rPr>
          <w:noProof/>
        </w:rPr>
        <w:t>in</w:t>
      </w:r>
      <w:r w:rsidR="00B9312A">
        <w:rPr>
          <w:noProof/>
        </w:rPr>
        <w:t>to</w:t>
      </w:r>
      <w:r w:rsidR="00D52142" w:rsidRPr="00A00B8F">
        <w:t xml:space="preserve"> this loop to promote algae growing. In the degasification tank, suspended </w:t>
      </w:r>
      <w:r w:rsidR="00D52142" w:rsidRPr="00B9312A">
        <w:rPr>
          <w:noProof/>
        </w:rPr>
        <w:t>microalgae</w:t>
      </w:r>
      <w:r w:rsidR="00D52142" w:rsidRPr="00A00B8F">
        <w:t xml:space="preserve"> are gradually precipitated and removed from the bottom of the reactor.  From the degasification tank, the water purification loop also starts. In fact, the water / micro-algae mixture is fed to an ultra-filtration membrane to extract purified water that </w:t>
      </w:r>
      <w:r w:rsidR="00D52142" w:rsidRPr="00680ECD">
        <w:rPr>
          <w:noProof/>
        </w:rPr>
        <w:t>is eventually collected</w:t>
      </w:r>
      <w:r w:rsidR="00D52142" w:rsidRPr="00A00B8F">
        <w:t xml:space="preserve"> in the permeate tank.</w:t>
      </w:r>
      <w:r w:rsidR="00D52142">
        <w:t xml:space="preserve"> </w:t>
      </w:r>
    </w:p>
    <w:p w14:paraId="02999380" w14:textId="77777777" w:rsidR="00C55EF0" w:rsidRPr="00DC064A" w:rsidRDefault="00C55EF0" w:rsidP="00623EE9">
      <w:pPr>
        <w:spacing w:after="0"/>
      </w:pPr>
    </w:p>
    <w:p w14:paraId="73B0ECE3" w14:textId="77777777" w:rsidR="00623EE9" w:rsidRPr="00DC064A" w:rsidRDefault="00623EE9" w:rsidP="00623EE9">
      <w:pPr>
        <w:keepNext/>
        <w:jc w:val="center"/>
      </w:pPr>
      <w:r w:rsidRPr="00DC064A">
        <w:rPr>
          <w:noProof/>
          <w:lang w:val="it-IT" w:eastAsia="it-IT"/>
        </w:rPr>
        <w:drawing>
          <wp:inline distT="0" distB="0" distL="0" distR="0" wp14:anchorId="3FFBA9D2" wp14:editId="34AEB089">
            <wp:extent cx="5393507" cy="2545080"/>
            <wp:effectExtent l="0" t="0" r="0" b="7620"/>
            <wp:docPr id="17"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OFCOM_plant.jpg"/>
                    <pic:cNvPicPr/>
                  </pic:nvPicPr>
                  <pic:blipFill rotWithShape="1">
                    <a:blip r:embed="rId9" cstate="print">
                      <a:extLst>
                        <a:ext uri="{28A0092B-C50C-407E-A947-70E740481C1C}">
                          <a14:useLocalDpi xmlns:a14="http://schemas.microsoft.com/office/drawing/2010/main" val="0"/>
                        </a:ext>
                      </a:extLst>
                    </a:blip>
                    <a:srcRect/>
                    <a:stretch/>
                  </pic:blipFill>
                  <pic:spPr bwMode="auto">
                    <a:xfrm>
                      <a:off x="0" y="0"/>
                      <a:ext cx="5400000" cy="2548144"/>
                    </a:xfrm>
                    <a:prstGeom prst="rect">
                      <a:avLst/>
                    </a:prstGeom>
                    <a:ln>
                      <a:noFill/>
                    </a:ln>
                    <a:extLst>
                      <a:ext uri="{53640926-AAD7-44D8-BBD7-CCE9431645EC}">
                        <a14:shadowObscured xmlns:a14="http://schemas.microsoft.com/office/drawing/2010/main"/>
                      </a:ext>
                    </a:extLst>
                  </pic:spPr>
                </pic:pic>
              </a:graphicData>
            </a:graphic>
          </wp:inline>
        </w:drawing>
      </w:r>
    </w:p>
    <w:p w14:paraId="657CBE45" w14:textId="39A39DCE" w:rsidR="00623EE9" w:rsidRPr="00E63271" w:rsidRDefault="00623EE9" w:rsidP="00623EE9">
      <w:pPr>
        <w:pStyle w:val="Didascalia"/>
      </w:pPr>
      <w:bookmarkStart w:id="1" w:name="_Ref469580011"/>
      <w:r w:rsidRPr="00E63271">
        <w:t xml:space="preserve">Figure </w:t>
      </w:r>
      <w:r w:rsidRPr="00E63271">
        <w:fldChar w:fldCharType="begin"/>
      </w:r>
      <w:r w:rsidRPr="00E63271">
        <w:instrText xml:space="preserve"> SEQ Figure \* ARABIC </w:instrText>
      </w:r>
      <w:r w:rsidRPr="00E63271">
        <w:fldChar w:fldCharType="separate"/>
      </w:r>
      <w:r w:rsidR="008D619E">
        <w:rPr>
          <w:noProof/>
        </w:rPr>
        <w:t>1</w:t>
      </w:r>
      <w:r w:rsidRPr="00E63271">
        <w:fldChar w:fldCharType="end"/>
      </w:r>
      <w:bookmarkEnd w:id="1"/>
      <w:r w:rsidRPr="00E63271">
        <w:t>. Demonstration plant layout: from biogas to electricity, heat and CO</w:t>
      </w:r>
      <w:r w:rsidRPr="00E63271">
        <w:rPr>
          <w:vertAlign w:val="subscript"/>
        </w:rPr>
        <w:t>2</w:t>
      </w:r>
      <w:r w:rsidRPr="00E63271">
        <w:t>.</w:t>
      </w:r>
    </w:p>
    <w:p w14:paraId="7D9C4CEE" w14:textId="77777777" w:rsidR="00623EE9" w:rsidRPr="00DC064A" w:rsidRDefault="00623EE9" w:rsidP="00623EE9"/>
    <w:p w14:paraId="70404DEE" w14:textId="77777777" w:rsidR="00623EE9" w:rsidRPr="00DC064A" w:rsidRDefault="00623EE9" w:rsidP="00623EE9">
      <w:pPr>
        <w:keepNext/>
        <w:jc w:val="center"/>
      </w:pPr>
      <w:r w:rsidRPr="00DC064A">
        <w:rPr>
          <w:noProof/>
          <w:lang w:val="it-IT" w:eastAsia="it-IT"/>
        </w:rPr>
        <w:lastRenderedPageBreak/>
        <w:drawing>
          <wp:inline distT="0" distB="0" distL="0" distR="0" wp14:anchorId="2CB74A0B" wp14:editId="0EA04C69">
            <wp:extent cx="5402277" cy="2461260"/>
            <wp:effectExtent l="0" t="0" r="8255" b="0"/>
            <wp:docPr id="16"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br unit.jpg"/>
                    <pic:cNvPicPr/>
                  </pic:nvPicPr>
                  <pic:blipFill rotWithShape="1">
                    <a:blip r:embed="rId10" cstate="print">
                      <a:extLst>
                        <a:ext uri="{28A0092B-C50C-407E-A947-70E740481C1C}">
                          <a14:useLocalDpi xmlns:a14="http://schemas.microsoft.com/office/drawing/2010/main" val="0"/>
                        </a:ext>
                      </a:extLst>
                    </a:blip>
                    <a:srcRect/>
                    <a:stretch/>
                  </pic:blipFill>
                  <pic:spPr bwMode="auto">
                    <a:xfrm>
                      <a:off x="0" y="0"/>
                      <a:ext cx="5400000" cy="2460223"/>
                    </a:xfrm>
                    <a:prstGeom prst="rect">
                      <a:avLst/>
                    </a:prstGeom>
                    <a:ln>
                      <a:noFill/>
                    </a:ln>
                    <a:extLst>
                      <a:ext uri="{53640926-AAD7-44D8-BBD7-CCE9431645EC}">
                        <a14:shadowObscured xmlns:a14="http://schemas.microsoft.com/office/drawing/2010/main"/>
                      </a:ext>
                    </a:extLst>
                  </pic:spPr>
                </pic:pic>
              </a:graphicData>
            </a:graphic>
          </wp:inline>
        </w:drawing>
      </w:r>
    </w:p>
    <w:p w14:paraId="6DFA8CE2" w14:textId="3F35C9F8" w:rsidR="00623EE9" w:rsidRPr="00E63271" w:rsidRDefault="00623EE9" w:rsidP="00623EE9">
      <w:pPr>
        <w:pStyle w:val="Didascalia"/>
      </w:pPr>
      <w:bookmarkStart w:id="2" w:name="_Ref469580013"/>
      <w:r w:rsidRPr="00E63271">
        <w:t xml:space="preserve">Figure </w:t>
      </w:r>
      <w:r w:rsidRPr="00E63271">
        <w:fldChar w:fldCharType="begin"/>
      </w:r>
      <w:r w:rsidRPr="00E63271">
        <w:instrText xml:space="preserve"> SEQ Figure \* ARABIC </w:instrText>
      </w:r>
      <w:r w:rsidRPr="00E63271">
        <w:fldChar w:fldCharType="separate"/>
      </w:r>
      <w:r w:rsidR="008D619E">
        <w:rPr>
          <w:noProof/>
        </w:rPr>
        <w:t>2</w:t>
      </w:r>
      <w:r w:rsidRPr="00E63271">
        <w:fldChar w:fldCharType="end"/>
      </w:r>
      <w:bookmarkEnd w:id="2"/>
      <w:r w:rsidRPr="00E63271">
        <w:t xml:space="preserve">. </w:t>
      </w:r>
      <w:proofErr w:type="spellStart"/>
      <w:r w:rsidRPr="00E63271">
        <w:t>Photobioreactor</w:t>
      </w:r>
      <w:proofErr w:type="spellEnd"/>
      <w:r w:rsidRPr="00E63271">
        <w:t xml:space="preserve"> </w:t>
      </w:r>
      <w:r w:rsidRPr="00680ECD">
        <w:rPr>
          <w:noProof/>
        </w:rPr>
        <w:t>layout</w:t>
      </w:r>
      <w:r w:rsidRPr="00E63271">
        <w:t>: from CO</w:t>
      </w:r>
      <w:r w:rsidRPr="00E63271">
        <w:rPr>
          <w:vertAlign w:val="subscript"/>
        </w:rPr>
        <w:t>2</w:t>
      </w:r>
      <w:r w:rsidRPr="00E63271">
        <w:t xml:space="preserve"> to algae and clean water.</w:t>
      </w:r>
    </w:p>
    <w:p w14:paraId="0912208C" w14:textId="341AEED5" w:rsidR="00623EE9" w:rsidRDefault="00C55EF0" w:rsidP="00623EE9">
      <w:pPr>
        <w:spacing w:after="0"/>
      </w:pPr>
      <w:r>
        <w:t xml:space="preserve">The nominal operating conditions </w:t>
      </w:r>
      <w:r w:rsidR="007C06E8" w:rsidRPr="00680ECD">
        <w:rPr>
          <w:noProof/>
        </w:rPr>
        <w:t>are listed</w:t>
      </w:r>
      <w:r w:rsidR="007C06E8">
        <w:t xml:space="preserve"> in </w:t>
      </w:r>
      <w:r w:rsidR="00450807">
        <w:fldChar w:fldCharType="begin"/>
      </w:r>
      <w:r w:rsidR="00450807">
        <w:instrText xml:space="preserve"> REF _Ref469580072 \h </w:instrText>
      </w:r>
      <w:r w:rsidR="00450807">
        <w:fldChar w:fldCharType="separate"/>
      </w:r>
      <w:r w:rsidR="00450807">
        <w:t xml:space="preserve">Table </w:t>
      </w:r>
      <w:r w:rsidR="00450807">
        <w:rPr>
          <w:noProof/>
        </w:rPr>
        <w:t>1</w:t>
      </w:r>
      <w:r w:rsidR="00450807">
        <w:fldChar w:fldCharType="end"/>
      </w:r>
      <w:r w:rsidR="007C06E8">
        <w:t>.</w:t>
      </w:r>
    </w:p>
    <w:p w14:paraId="549DD384" w14:textId="77777777" w:rsidR="007C06E8" w:rsidRDefault="007C06E8" w:rsidP="00623EE9">
      <w:pPr>
        <w:spacing w:after="0"/>
      </w:pPr>
    </w:p>
    <w:p w14:paraId="0C788A39" w14:textId="78E9B484" w:rsidR="00450807" w:rsidRDefault="00450807" w:rsidP="00450807">
      <w:pPr>
        <w:pStyle w:val="Didascalia"/>
        <w:keepNext/>
      </w:pPr>
      <w:bookmarkStart w:id="3" w:name="_Ref469580072"/>
      <w:r>
        <w:t xml:space="preserve">Table </w:t>
      </w:r>
      <w:r>
        <w:fldChar w:fldCharType="begin"/>
      </w:r>
      <w:r>
        <w:instrText xml:space="preserve"> SEQ Table \* ARABIC </w:instrText>
      </w:r>
      <w:r>
        <w:fldChar w:fldCharType="separate"/>
      </w:r>
      <w:r w:rsidR="008D619E">
        <w:rPr>
          <w:noProof/>
        </w:rPr>
        <w:t>1</w:t>
      </w:r>
      <w:r>
        <w:fldChar w:fldCharType="end"/>
      </w:r>
      <w:bookmarkEnd w:id="3"/>
      <w:r>
        <w:t xml:space="preserve">. </w:t>
      </w:r>
      <w:r w:rsidRPr="00450807">
        <w:t>Nominal operating conditions of the SOFCOM proof-of-concept.</w:t>
      </w:r>
    </w:p>
    <w:tbl>
      <w:tblPr>
        <w:tblStyle w:val="ListTable3-Accent11"/>
        <w:tblW w:w="0" w:type="auto"/>
        <w:jc w:val="center"/>
        <w:tblLook w:val="04A0" w:firstRow="1" w:lastRow="0" w:firstColumn="1" w:lastColumn="0" w:noHBand="0" w:noVBand="1"/>
      </w:tblPr>
      <w:tblGrid>
        <w:gridCol w:w="3492"/>
        <w:gridCol w:w="56"/>
        <w:gridCol w:w="1845"/>
        <w:gridCol w:w="1984"/>
      </w:tblGrid>
      <w:tr w:rsidR="00C55EF0" w:rsidRPr="006923B5" w14:paraId="3A8F8C63" w14:textId="77777777" w:rsidTr="006922B2">
        <w:trPr>
          <w:cnfStyle w:val="100000000000" w:firstRow="1" w:lastRow="0" w:firstColumn="0" w:lastColumn="0" w:oddVBand="0" w:evenVBand="0" w:oddHBand="0" w:evenHBand="0" w:firstRowFirstColumn="0" w:firstRowLastColumn="0" w:lastRowFirstColumn="0" w:lastRowLastColumn="0"/>
          <w:trHeight w:val="397"/>
          <w:jc w:val="center"/>
        </w:trPr>
        <w:tc>
          <w:tcPr>
            <w:cnfStyle w:val="001000000100" w:firstRow="0" w:lastRow="0" w:firstColumn="1" w:lastColumn="0" w:oddVBand="0" w:evenVBand="0" w:oddHBand="0" w:evenHBand="0" w:firstRowFirstColumn="1" w:firstRowLastColumn="0" w:lastRowFirstColumn="0" w:lastRowLastColumn="0"/>
            <w:tcW w:w="3548" w:type="dxa"/>
            <w:gridSpan w:val="2"/>
            <w:vAlign w:val="center"/>
          </w:tcPr>
          <w:p w14:paraId="0FB2DE99" w14:textId="77777777" w:rsidR="00C55EF0" w:rsidRPr="006923B5" w:rsidRDefault="00C55EF0" w:rsidP="00CA6996">
            <w:pPr>
              <w:spacing w:line="240" w:lineRule="auto"/>
              <w:jc w:val="center"/>
              <w:rPr>
                <w:sz w:val="20"/>
                <w:szCs w:val="20"/>
              </w:rPr>
            </w:pPr>
            <w:r w:rsidRPr="006923B5">
              <w:rPr>
                <w:sz w:val="20"/>
                <w:szCs w:val="20"/>
              </w:rPr>
              <w:t>Parameter</w:t>
            </w:r>
          </w:p>
        </w:tc>
        <w:tc>
          <w:tcPr>
            <w:tcW w:w="1845" w:type="dxa"/>
            <w:vAlign w:val="center"/>
          </w:tcPr>
          <w:p w14:paraId="5C1249FB" w14:textId="77777777" w:rsidR="00C55EF0" w:rsidRPr="006923B5" w:rsidRDefault="00C55EF0" w:rsidP="00CA6996">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sz w:val="20"/>
                <w:szCs w:val="20"/>
              </w:rPr>
            </w:pPr>
            <w:r w:rsidRPr="006923B5">
              <w:rPr>
                <w:sz w:val="20"/>
                <w:szCs w:val="20"/>
              </w:rPr>
              <w:t>Value</w:t>
            </w:r>
          </w:p>
        </w:tc>
        <w:tc>
          <w:tcPr>
            <w:tcW w:w="1984" w:type="dxa"/>
            <w:vAlign w:val="center"/>
          </w:tcPr>
          <w:p w14:paraId="44ACF714" w14:textId="77777777" w:rsidR="00C55EF0" w:rsidRPr="006923B5" w:rsidRDefault="00C55EF0" w:rsidP="00CA6996">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sz w:val="20"/>
                <w:szCs w:val="20"/>
              </w:rPr>
            </w:pPr>
            <w:r w:rsidRPr="006923B5">
              <w:rPr>
                <w:sz w:val="20"/>
                <w:szCs w:val="20"/>
              </w:rPr>
              <w:t>Unit</w:t>
            </w:r>
          </w:p>
        </w:tc>
      </w:tr>
      <w:tr w:rsidR="00C55EF0" w:rsidRPr="006923B5" w14:paraId="224C6ED0" w14:textId="77777777" w:rsidTr="00E63271">
        <w:trPr>
          <w:cnfStyle w:val="000000100000" w:firstRow="0" w:lastRow="0" w:firstColumn="0" w:lastColumn="0" w:oddVBand="0" w:evenVBand="0" w:oddHBand="1"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3492" w:type="dxa"/>
            <w:vAlign w:val="center"/>
          </w:tcPr>
          <w:p w14:paraId="30098ECD" w14:textId="77777777" w:rsidR="00C55EF0" w:rsidRPr="006923B5" w:rsidRDefault="00C55EF0" w:rsidP="00CA6996">
            <w:pPr>
              <w:spacing w:line="276" w:lineRule="auto"/>
              <w:ind w:firstLine="0"/>
              <w:jc w:val="left"/>
              <w:rPr>
                <w:sz w:val="20"/>
                <w:szCs w:val="20"/>
              </w:rPr>
            </w:pPr>
            <w:r w:rsidRPr="006923B5">
              <w:rPr>
                <w:sz w:val="20"/>
                <w:szCs w:val="20"/>
              </w:rPr>
              <w:t>Biogas flow rate</w:t>
            </w:r>
          </w:p>
        </w:tc>
        <w:tc>
          <w:tcPr>
            <w:tcW w:w="1901" w:type="dxa"/>
            <w:gridSpan w:val="2"/>
            <w:vAlign w:val="center"/>
          </w:tcPr>
          <w:p w14:paraId="79B82A55" w14:textId="677D31DD" w:rsidR="00C55EF0" w:rsidRPr="006923B5" w:rsidRDefault="00C55EF0" w:rsidP="00CA699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6923B5">
              <w:rPr>
                <w:sz w:val="20"/>
                <w:szCs w:val="20"/>
              </w:rPr>
              <w:t>8.36</w:t>
            </w:r>
          </w:p>
        </w:tc>
        <w:tc>
          <w:tcPr>
            <w:tcW w:w="1984" w:type="dxa"/>
            <w:vAlign w:val="center"/>
          </w:tcPr>
          <w:p w14:paraId="293CF33F" w14:textId="77777777" w:rsidR="00C55EF0" w:rsidRPr="006923B5" w:rsidRDefault="00C55EF0" w:rsidP="00CA699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6923B5">
              <w:rPr>
                <w:sz w:val="20"/>
                <w:szCs w:val="20"/>
              </w:rPr>
              <w:t>NLPM</w:t>
            </w:r>
          </w:p>
        </w:tc>
      </w:tr>
      <w:tr w:rsidR="00C55EF0" w:rsidRPr="006923B5" w14:paraId="62F113BF" w14:textId="77777777" w:rsidTr="00E63271">
        <w:trPr>
          <w:trHeight w:val="283"/>
          <w:jc w:val="center"/>
        </w:trPr>
        <w:tc>
          <w:tcPr>
            <w:cnfStyle w:val="001000000000" w:firstRow="0" w:lastRow="0" w:firstColumn="1" w:lastColumn="0" w:oddVBand="0" w:evenVBand="0" w:oddHBand="0" w:evenHBand="0" w:firstRowFirstColumn="0" w:firstRowLastColumn="0" w:lastRowFirstColumn="0" w:lastRowLastColumn="0"/>
            <w:tcW w:w="3492" w:type="dxa"/>
            <w:vAlign w:val="center"/>
          </w:tcPr>
          <w:p w14:paraId="6943DA81" w14:textId="189D3E36" w:rsidR="00C55EF0" w:rsidRPr="006923B5" w:rsidRDefault="00C55EF0" w:rsidP="00CA6996">
            <w:pPr>
              <w:spacing w:line="276" w:lineRule="auto"/>
              <w:ind w:firstLine="0"/>
              <w:jc w:val="left"/>
              <w:rPr>
                <w:sz w:val="20"/>
                <w:szCs w:val="20"/>
              </w:rPr>
            </w:pPr>
            <w:r w:rsidRPr="006923B5">
              <w:rPr>
                <w:sz w:val="20"/>
                <w:szCs w:val="20"/>
              </w:rPr>
              <w:t>Demi</w:t>
            </w:r>
            <w:r w:rsidR="00CA6996" w:rsidRPr="006923B5">
              <w:rPr>
                <w:sz w:val="20"/>
                <w:szCs w:val="20"/>
              </w:rPr>
              <w:t>neralized</w:t>
            </w:r>
            <w:r w:rsidRPr="006923B5">
              <w:rPr>
                <w:sz w:val="20"/>
                <w:szCs w:val="20"/>
              </w:rPr>
              <w:t xml:space="preserve"> water flow rate</w:t>
            </w:r>
          </w:p>
        </w:tc>
        <w:tc>
          <w:tcPr>
            <w:tcW w:w="1901" w:type="dxa"/>
            <w:gridSpan w:val="2"/>
            <w:vAlign w:val="center"/>
          </w:tcPr>
          <w:p w14:paraId="6B2288DD" w14:textId="77777777" w:rsidR="00C55EF0" w:rsidRPr="006923B5" w:rsidRDefault="00C55EF0" w:rsidP="00CA699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6923B5">
              <w:rPr>
                <w:sz w:val="20"/>
                <w:szCs w:val="20"/>
              </w:rPr>
              <w:t>604</w:t>
            </w:r>
          </w:p>
        </w:tc>
        <w:tc>
          <w:tcPr>
            <w:tcW w:w="1984" w:type="dxa"/>
            <w:vAlign w:val="center"/>
          </w:tcPr>
          <w:p w14:paraId="26E965BF" w14:textId="77777777" w:rsidR="00C55EF0" w:rsidRPr="006923B5" w:rsidRDefault="00C55EF0" w:rsidP="00CA699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6923B5">
              <w:rPr>
                <w:sz w:val="20"/>
                <w:szCs w:val="20"/>
              </w:rPr>
              <w:t>g/h</w:t>
            </w:r>
          </w:p>
        </w:tc>
      </w:tr>
      <w:tr w:rsidR="00C55EF0" w:rsidRPr="006923B5" w14:paraId="7EF8BB59" w14:textId="77777777" w:rsidTr="00E63271">
        <w:trPr>
          <w:cnfStyle w:val="000000100000" w:firstRow="0" w:lastRow="0" w:firstColumn="0" w:lastColumn="0" w:oddVBand="0" w:evenVBand="0" w:oddHBand="1"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3492" w:type="dxa"/>
            <w:vAlign w:val="center"/>
          </w:tcPr>
          <w:p w14:paraId="558F6B8A" w14:textId="77777777" w:rsidR="00C55EF0" w:rsidRPr="006923B5" w:rsidRDefault="00C55EF0" w:rsidP="00CA6996">
            <w:pPr>
              <w:spacing w:line="276" w:lineRule="auto"/>
              <w:ind w:firstLine="0"/>
              <w:jc w:val="left"/>
              <w:rPr>
                <w:sz w:val="20"/>
                <w:szCs w:val="20"/>
              </w:rPr>
            </w:pPr>
            <w:r w:rsidRPr="006923B5">
              <w:rPr>
                <w:sz w:val="20"/>
                <w:szCs w:val="20"/>
              </w:rPr>
              <w:t>Air flow rate</w:t>
            </w:r>
          </w:p>
        </w:tc>
        <w:tc>
          <w:tcPr>
            <w:tcW w:w="1901" w:type="dxa"/>
            <w:gridSpan w:val="2"/>
            <w:vAlign w:val="center"/>
          </w:tcPr>
          <w:p w14:paraId="7A1D6F36" w14:textId="77777777" w:rsidR="00C55EF0" w:rsidRPr="006923B5" w:rsidRDefault="00C55EF0" w:rsidP="00CA699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6923B5">
              <w:rPr>
                <w:sz w:val="20"/>
                <w:szCs w:val="20"/>
              </w:rPr>
              <w:t>150-250</w:t>
            </w:r>
          </w:p>
        </w:tc>
        <w:tc>
          <w:tcPr>
            <w:tcW w:w="1984" w:type="dxa"/>
            <w:vAlign w:val="center"/>
          </w:tcPr>
          <w:p w14:paraId="564061E7" w14:textId="77777777" w:rsidR="00C55EF0" w:rsidRPr="006923B5" w:rsidRDefault="00C55EF0" w:rsidP="00CA699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6923B5">
              <w:rPr>
                <w:sz w:val="20"/>
                <w:szCs w:val="20"/>
              </w:rPr>
              <w:t>NLPM</w:t>
            </w:r>
          </w:p>
        </w:tc>
      </w:tr>
      <w:tr w:rsidR="00C55EF0" w:rsidRPr="006923B5" w14:paraId="2730CB56" w14:textId="77777777" w:rsidTr="00E63271">
        <w:trPr>
          <w:trHeight w:val="283"/>
          <w:jc w:val="center"/>
        </w:trPr>
        <w:tc>
          <w:tcPr>
            <w:cnfStyle w:val="001000000000" w:firstRow="0" w:lastRow="0" w:firstColumn="1" w:lastColumn="0" w:oddVBand="0" w:evenVBand="0" w:oddHBand="0" w:evenHBand="0" w:firstRowFirstColumn="0" w:firstRowLastColumn="0" w:lastRowFirstColumn="0" w:lastRowLastColumn="0"/>
            <w:tcW w:w="3492" w:type="dxa"/>
            <w:tcBorders>
              <w:bottom w:val="single" w:sz="18" w:space="0" w:color="0070C0"/>
            </w:tcBorders>
            <w:vAlign w:val="center"/>
          </w:tcPr>
          <w:p w14:paraId="27383CC5" w14:textId="77777777" w:rsidR="00C55EF0" w:rsidRPr="006923B5" w:rsidRDefault="00C55EF0" w:rsidP="00CA6996">
            <w:pPr>
              <w:spacing w:line="276" w:lineRule="auto"/>
              <w:ind w:firstLine="0"/>
              <w:jc w:val="left"/>
              <w:rPr>
                <w:sz w:val="20"/>
                <w:szCs w:val="20"/>
              </w:rPr>
            </w:pPr>
            <w:r w:rsidRPr="006923B5">
              <w:rPr>
                <w:sz w:val="20"/>
                <w:szCs w:val="20"/>
              </w:rPr>
              <w:t>Biogas inlet pressure</w:t>
            </w:r>
          </w:p>
        </w:tc>
        <w:tc>
          <w:tcPr>
            <w:tcW w:w="1901" w:type="dxa"/>
            <w:gridSpan w:val="2"/>
            <w:tcBorders>
              <w:bottom w:val="single" w:sz="18" w:space="0" w:color="0070C0"/>
            </w:tcBorders>
            <w:vAlign w:val="center"/>
          </w:tcPr>
          <w:p w14:paraId="338019B9" w14:textId="77777777" w:rsidR="00C55EF0" w:rsidRPr="006923B5" w:rsidRDefault="00C55EF0" w:rsidP="00CA699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6923B5">
              <w:rPr>
                <w:sz w:val="20"/>
                <w:szCs w:val="20"/>
              </w:rPr>
              <w:t>220</w:t>
            </w:r>
          </w:p>
        </w:tc>
        <w:tc>
          <w:tcPr>
            <w:tcW w:w="1984" w:type="dxa"/>
            <w:tcBorders>
              <w:bottom w:val="single" w:sz="18" w:space="0" w:color="0070C0"/>
            </w:tcBorders>
            <w:vAlign w:val="center"/>
          </w:tcPr>
          <w:p w14:paraId="5467A4F9" w14:textId="77777777" w:rsidR="00C55EF0" w:rsidRPr="006923B5" w:rsidRDefault="00C55EF0" w:rsidP="00CA699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680ECD">
              <w:rPr>
                <w:noProof/>
                <w:sz w:val="20"/>
                <w:szCs w:val="20"/>
              </w:rPr>
              <w:t>mbar</w:t>
            </w:r>
          </w:p>
        </w:tc>
      </w:tr>
      <w:tr w:rsidR="00C55EF0" w:rsidRPr="006923B5" w14:paraId="1456F14C" w14:textId="77777777" w:rsidTr="00E63271">
        <w:trPr>
          <w:cnfStyle w:val="000000100000" w:firstRow="0" w:lastRow="0" w:firstColumn="0" w:lastColumn="0" w:oddVBand="0" w:evenVBand="0" w:oddHBand="1"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3492" w:type="dxa"/>
            <w:tcBorders>
              <w:top w:val="single" w:sz="18" w:space="0" w:color="0070C0"/>
            </w:tcBorders>
            <w:vAlign w:val="center"/>
          </w:tcPr>
          <w:p w14:paraId="4A658216" w14:textId="77777777" w:rsidR="00C55EF0" w:rsidRPr="006923B5" w:rsidRDefault="00C55EF0" w:rsidP="00CA6996">
            <w:pPr>
              <w:spacing w:line="276" w:lineRule="auto"/>
              <w:ind w:firstLine="0"/>
              <w:jc w:val="left"/>
              <w:rPr>
                <w:sz w:val="20"/>
                <w:szCs w:val="20"/>
              </w:rPr>
            </w:pPr>
            <w:r w:rsidRPr="006923B5">
              <w:rPr>
                <w:sz w:val="20"/>
                <w:szCs w:val="20"/>
              </w:rPr>
              <w:t>Evaporator temperature</w:t>
            </w:r>
          </w:p>
        </w:tc>
        <w:tc>
          <w:tcPr>
            <w:tcW w:w="1901" w:type="dxa"/>
            <w:gridSpan w:val="2"/>
            <w:tcBorders>
              <w:top w:val="single" w:sz="18" w:space="0" w:color="0070C0"/>
            </w:tcBorders>
            <w:vAlign w:val="center"/>
          </w:tcPr>
          <w:p w14:paraId="333C70D7" w14:textId="77777777" w:rsidR="00C55EF0" w:rsidRPr="006923B5" w:rsidRDefault="00C55EF0" w:rsidP="00CA699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6923B5">
              <w:rPr>
                <w:sz w:val="20"/>
                <w:szCs w:val="20"/>
              </w:rPr>
              <w:t>400-450</w:t>
            </w:r>
          </w:p>
        </w:tc>
        <w:tc>
          <w:tcPr>
            <w:tcW w:w="1984" w:type="dxa"/>
            <w:tcBorders>
              <w:top w:val="single" w:sz="18" w:space="0" w:color="0070C0"/>
            </w:tcBorders>
            <w:vAlign w:val="center"/>
          </w:tcPr>
          <w:p w14:paraId="30C1C2B2" w14:textId="77777777" w:rsidR="00C55EF0" w:rsidRPr="006923B5" w:rsidRDefault="00C55EF0" w:rsidP="00CA699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6923B5">
              <w:rPr>
                <w:sz w:val="20"/>
                <w:szCs w:val="20"/>
              </w:rPr>
              <w:t>°C</w:t>
            </w:r>
          </w:p>
        </w:tc>
      </w:tr>
      <w:tr w:rsidR="00C55EF0" w:rsidRPr="006923B5" w14:paraId="63A4D72E" w14:textId="77777777" w:rsidTr="00E63271">
        <w:trPr>
          <w:trHeight w:val="283"/>
          <w:jc w:val="center"/>
        </w:trPr>
        <w:tc>
          <w:tcPr>
            <w:cnfStyle w:val="001000000000" w:firstRow="0" w:lastRow="0" w:firstColumn="1" w:lastColumn="0" w:oddVBand="0" w:evenVBand="0" w:oddHBand="0" w:evenHBand="0" w:firstRowFirstColumn="0" w:firstRowLastColumn="0" w:lastRowFirstColumn="0" w:lastRowLastColumn="0"/>
            <w:tcW w:w="3492" w:type="dxa"/>
            <w:vAlign w:val="center"/>
          </w:tcPr>
          <w:p w14:paraId="6673A0C9" w14:textId="77777777" w:rsidR="00C55EF0" w:rsidRPr="006923B5" w:rsidRDefault="00C55EF0" w:rsidP="00CA6996">
            <w:pPr>
              <w:spacing w:line="276" w:lineRule="auto"/>
              <w:ind w:firstLine="0"/>
              <w:jc w:val="left"/>
              <w:rPr>
                <w:sz w:val="20"/>
                <w:szCs w:val="20"/>
              </w:rPr>
            </w:pPr>
            <w:r w:rsidRPr="006923B5">
              <w:rPr>
                <w:sz w:val="20"/>
                <w:szCs w:val="20"/>
              </w:rPr>
              <w:t>Reformer temperature</w:t>
            </w:r>
          </w:p>
        </w:tc>
        <w:tc>
          <w:tcPr>
            <w:tcW w:w="1901" w:type="dxa"/>
            <w:gridSpan w:val="2"/>
            <w:vAlign w:val="center"/>
          </w:tcPr>
          <w:p w14:paraId="7CEC375A" w14:textId="77777777" w:rsidR="00C55EF0" w:rsidRPr="006923B5" w:rsidRDefault="00C55EF0" w:rsidP="00CA699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6923B5">
              <w:rPr>
                <w:sz w:val="20"/>
                <w:szCs w:val="20"/>
              </w:rPr>
              <w:t>650-850</w:t>
            </w:r>
          </w:p>
        </w:tc>
        <w:tc>
          <w:tcPr>
            <w:tcW w:w="1984" w:type="dxa"/>
            <w:vAlign w:val="center"/>
          </w:tcPr>
          <w:p w14:paraId="0D146CF6" w14:textId="77777777" w:rsidR="00C55EF0" w:rsidRPr="006923B5" w:rsidRDefault="00C55EF0" w:rsidP="00CA699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6923B5">
              <w:rPr>
                <w:sz w:val="20"/>
                <w:szCs w:val="20"/>
              </w:rPr>
              <w:t>°C</w:t>
            </w:r>
          </w:p>
        </w:tc>
      </w:tr>
      <w:tr w:rsidR="00C55EF0" w:rsidRPr="006923B5" w14:paraId="21FE8BF7" w14:textId="77777777" w:rsidTr="00E63271">
        <w:trPr>
          <w:cnfStyle w:val="000000100000" w:firstRow="0" w:lastRow="0" w:firstColumn="0" w:lastColumn="0" w:oddVBand="0" w:evenVBand="0" w:oddHBand="1"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3492" w:type="dxa"/>
            <w:vAlign w:val="center"/>
          </w:tcPr>
          <w:p w14:paraId="45DFFA4B" w14:textId="5A7A4E64" w:rsidR="00C55EF0" w:rsidRPr="006923B5" w:rsidRDefault="00C55EF0" w:rsidP="00CA6996">
            <w:pPr>
              <w:spacing w:line="276" w:lineRule="auto"/>
              <w:ind w:firstLine="0"/>
              <w:jc w:val="left"/>
              <w:rPr>
                <w:sz w:val="20"/>
                <w:szCs w:val="20"/>
              </w:rPr>
            </w:pPr>
            <w:r w:rsidRPr="006923B5">
              <w:rPr>
                <w:sz w:val="20"/>
                <w:szCs w:val="20"/>
              </w:rPr>
              <w:t>S/C</w:t>
            </w:r>
            <w:r w:rsidR="00C10EFB" w:rsidRPr="006923B5">
              <w:rPr>
                <w:sz w:val="20"/>
                <w:szCs w:val="20"/>
              </w:rPr>
              <w:t xml:space="preserve"> (steam-to-carbon)</w:t>
            </w:r>
          </w:p>
        </w:tc>
        <w:tc>
          <w:tcPr>
            <w:tcW w:w="1901" w:type="dxa"/>
            <w:gridSpan w:val="2"/>
            <w:vAlign w:val="center"/>
          </w:tcPr>
          <w:p w14:paraId="3C91EF61" w14:textId="77777777" w:rsidR="00C55EF0" w:rsidRPr="006923B5" w:rsidRDefault="00C55EF0" w:rsidP="00CA699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6923B5">
              <w:rPr>
                <w:sz w:val="20"/>
                <w:szCs w:val="20"/>
              </w:rPr>
              <w:t>2.5</w:t>
            </w:r>
          </w:p>
        </w:tc>
        <w:tc>
          <w:tcPr>
            <w:tcW w:w="1984" w:type="dxa"/>
            <w:vAlign w:val="center"/>
          </w:tcPr>
          <w:p w14:paraId="459937CD" w14:textId="77777777" w:rsidR="00C55EF0" w:rsidRPr="006923B5" w:rsidRDefault="00C55EF0" w:rsidP="00CA699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6923B5">
              <w:rPr>
                <w:sz w:val="20"/>
                <w:szCs w:val="20"/>
              </w:rPr>
              <w:t>-</w:t>
            </w:r>
          </w:p>
        </w:tc>
      </w:tr>
      <w:tr w:rsidR="00C55EF0" w:rsidRPr="006923B5" w14:paraId="26B1B85F" w14:textId="77777777" w:rsidTr="00E63271">
        <w:trPr>
          <w:trHeight w:val="283"/>
          <w:jc w:val="center"/>
        </w:trPr>
        <w:tc>
          <w:tcPr>
            <w:cnfStyle w:val="001000000000" w:firstRow="0" w:lastRow="0" w:firstColumn="1" w:lastColumn="0" w:oddVBand="0" w:evenVBand="0" w:oddHBand="0" w:evenHBand="0" w:firstRowFirstColumn="0" w:firstRowLastColumn="0" w:lastRowFirstColumn="0" w:lastRowLastColumn="0"/>
            <w:tcW w:w="3492" w:type="dxa"/>
            <w:tcBorders>
              <w:top w:val="single" w:sz="18" w:space="0" w:color="0070C0"/>
            </w:tcBorders>
            <w:vAlign w:val="center"/>
          </w:tcPr>
          <w:p w14:paraId="3D4C4A10" w14:textId="68533572" w:rsidR="00C55EF0" w:rsidRPr="006923B5" w:rsidRDefault="00E63271" w:rsidP="00CA6996">
            <w:pPr>
              <w:spacing w:line="276" w:lineRule="auto"/>
              <w:ind w:firstLine="0"/>
              <w:jc w:val="left"/>
              <w:rPr>
                <w:sz w:val="20"/>
                <w:szCs w:val="20"/>
              </w:rPr>
            </w:pPr>
            <w:r w:rsidRPr="006923B5">
              <w:rPr>
                <w:sz w:val="20"/>
                <w:szCs w:val="20"/>
              </w:rPr>
              <w:t>Anode inlet temperature</w:t>
            </w:r>
          </w:p>
        </w:tc>
        <w:tc>
          <w:tcPr>
            <w:tcW w:w="1901" w:type="dxa"/>
            <w:gridSpan w:val="2"/>
            <w:tcBorders>
              <w:top w:val="single" w:sz="18" w:space="0" w:color="0070C0"/>
            </w:tcBorders>
            <w:vAlign w:val="center"/>
          </w:tcPr>
          <w:p w14:paraId="32C21EA8" w14:textId="77777777" w:rsidR="00C55EF0" w:rsidRPr="006923B5" w:rsidRDefault="00C55EF0" w:rsidP="00CA699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6923B5">
              <w:rPr>
                <w:sz w:val="20"/>
                <w:szCs w:val="20"/>
              </w:rPr>
              <w:t>750</w:t>
            </w:r>
          </w:p>
        </w:tc>
        <w:tc>
          <w:tcPr>
            <w:tcW w:w="1984" w:type="dxa"/>
            <w:tcBorders>
              <w:top w:val="single" w:sz="18" w:space="0" w:color="0070C0"/>
            </w:tcBorders>
            <w:vAlign w:val="center"/>
          </w:tcPr>
          <w:p w14:paraId="5C1EDA83" w14:textId="77777777" w:rsidR="00C55EF0" w:rsidRPr="006923B5" w:rsidRDefault="00C55EF0" w:rsidP="00CA699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6923B5">
              <w:rPr>
                <w:sz w:val="20"/>
                <w:szCs w:val="20"/>
              </w:rPr>
              <w:t>°C</w:t>
            </w:r>
          </w:p>
        </w:tc>
      </w:tr>
      <w:tr w:rsidR="00C55EF0" w:rsidRPr="006923B5" w14:paraId="30A4FB61" w14:textId="77777777" w:rsidTr="00E63271">
        <w:trPr>
          <w:cnfStyle w:val="000000100000" w:firstRow="0" w:lastRow="0" w:firstColumn="0" w:lastColumn="0" w:oddVBand="0" w:evenVBand="0" w:oddHBand="1"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3492" w:type="dxa"/>
            <w:vAlign w:val="center"/>
          </w:tcPr>
          <w:p w14:paraId="0AFAD3C1" w14:textId="45224AEF" w:rsidR="00C55EF0" w:rsidRPr="006923B5" w:rsidRDefault="00E63271" w:rsidP="00CA6996">
            <w:pPr>
              <w:spacing w:line="276" w:lineRule="auto"/>
              <w:ind w:firstLine="0"/>
              <w:jc w:val="left"/>
              <w:rPr>
                <w:sz w:val="20"/>
                <w:szCs w:val="20"/>
              </w:rPr>
            </w:pPr>
            <w:r w:rsidRPr="006923B5">
              <w:rPr>
                <w:sz w:val="20"/>
                <w:szCs w:val="20"/>
              </w:rPr>
              <w:t>Cathode inlet temperature</w:t>
            </w:r>
          </w:p>
        </w:tc>
        <w:tc>
          <w:tcPr>
            <w:tcW w:w="1901" w:type="dxa"/>
            <w:gridSpan w:val="2"/>
            <w:vAlign w:val="center"/>
          </w:tcPr>
          <w:p w14:paraId="539A5247" w14:textId="77777777" w:rsidR="00C55EF0" w:rsidRPr="006923B5" w:rsidRDefault="00C55EF0" w:rsidP="00CA699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6923B5">
              <w:rPr>
                <w:sz w:val="20"/>
                <w:szCs w:val="20"/>
              </w:rPr>
              <w:t>650</w:t>
            </w:r>
          </w:p>
        </w:tc>
        <w:tc>
          <w:tcPr>
            <w:tcW w:w="1984" w:type="dxa"/>
            <w:vAlign w:val="center"/>
          </w:tcPr>
          <w:p w14:paraId="62534C5A" w14:textId="77777777" w:rsidR="00C55EF0" w:rsidRPr="006923B5" w:rsidRDefault="00C55EF0" w:rsidP="00CA699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6923B5">
              <w:rPr>
                <w:sz w:val="20"/>
                <w:szCs w:val="20"/>
              </w:rPr>
              <w:t>°C</w:t>
            </w:r>
          </w:p>
        </w:tc>
      </w:tr>
      <w:tr w:rsidR="00C55EF0" w:rsidRPr="006923B5" w14:paraId="3056B517" w14:textId="77777777" w:rsidTr="00E63271">
        <w:trPr>
          <w:trHeight w:val="283"/>
          <w:jc w:val="center"/>
        </w:trPr>
        <w:tc>
          <w:tcPr>
            <w:cnfStyle w:val="001000000000" w:firstRow="0" w:lastRow="0" w:firstColumn="1" w:lastColumn="0" w:oddVBand="0" w:evenVBand="0" w:oddHBand="0" w:evenHBand="0" w:firstRowFirstColumn="0" w:firstRowLastColumn="0" w:lastRowFirstColumn="0" w:lastRowLastColumn="0"/>
            <w:tcW w:w="3492" w:type="dxa"/>
            <w:vAlign w:val="center"/>
          </w:tcPr>
          <w:p w14:paraId="444C742E" w14:textId="28D5B927" w:rsidR="00C55EF0" w:rsidRPr="006923B5" w:rsidRDefault="00E63271" w:rsidP="00CA6996">
            <w:pPr>
              <w:spacing w:line="276" w:lineRule="auto"/>
              <w:ind w:firstLine="0"/>
              <w:jc w:val="left"/>
              <w:rPr>
                <w:sz w:val="20"/>
                <w:szCs w:val="20"/>
              </w:rPr>
            </w:pPr>
            <w:r w:rsidRPr="006923B5">
              <w:rPr>
                <w:sz w:val="20"/>
                <w:szCs w:val="20"/>
              </w:rPr>
              <w:t>SOFC working temperature</w:t>
            </w:r>
          </w:p>
        </w:tc>
        <w:tc>
          <w:tcPr>
            <w:tcW w:w="1901" w:type="dxa"/>
            <w:gridSpan w:val="2"/>
            <w:vAlign w:val="center"/>
          </w:tcPr>
          <w:p w14:paraId="4411EE8A" w14:textId="77777777" w:rsidR="00C55EF0" w:rsidRPr="006923B5" w:rsidRDefault="00C55EF0" w:rsidP="00CA699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6923B5">
              <w:rPr>
                <w:sz w:val="20"/>
                <w:szCs w:val="20"/>
              </w:rPr>
              <w:t>820-850</w:t>
            </w:r>
          </w:p>
        </w:tc>
        <w:tc>
          <w:tcPr>
            <w:tcW w:w="1984" w:type="dxa"/>
            <w:vAlign w:val="center"/>
          </w:tcPr>
          <w:p w14:paraId="7EF8F833" w14:textId="77777777" w:rsidR="00C55EF0" w:rsidRPr="006923B5" w:rsidRDefault="00C55EF0" w:rsidP="00CA699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6923B5">
              <w:rPr>
                <w:sz w:val="20"/>
                <w:szCs w:val="20"/>
              </w:rPr>
              <w:t>°C</w:t>
            </w:r>
          </w:p>
        </w:tc>
      </w:tr>
      <w:tr w:rsidR="00C55EF0" w:rsidRPr="006923B5" w14:paraId="592A20EE" w14:textId="77777777" w:rsidTr="00E63271">
        <w:trPr>
          <w:cnfStyle w:val="000000100000" w:firstRow="0" w:lastRow="0" w:firstColumn="0" w:lastColumn="0" w:oddVBand="0" w:evenVBand="0" w:oddHBand="1"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3492" w:type="dxa"/>
            <w:tcBorders>
              <w:bottom w:val="single" w:sz="18" w:space="0" w:color="0070C0"/>
            </w:tcBorders>
            <w:vAlign w:val="center"/>
          </w:tcPr>
          <w:p w14:paraId="096DF0E0" w14:textId="77777777" w:rsidR="00C55EF0" w:rsidRPr="006923B5" w:rsidRDefault="00C55EF0" w:rsidP="00CA6996">
            <w:pPr>
              <w:spacing w:line="276" w:lineRule="auto"/>
              <w:ind w:firstLine="0"/>
              <w:jc w:val="left"/>
              <w:rPr>
                <w:sz w:val="20"/>
                <w:szCs w:val="20"/>
              </w:rPr>
            </w:pPr>
            <w:r w:rsidRPr="006923B5">
              <w:rPr>
                <w:sz w:val="20"/>
                <w:szCs w:val="20"/>
              </w:rPr>
              <w:t xml:space="preserve">Current </w:t>
            </w:r>
          </w:p>
        </w:tc>
        <w:tc>
          <w:tcPr>
            <w:tcW w:w="1901" w:type="dxa"/>
            <w:gridSpan w:val="2"/>
            <w:tcBorders>
              <w:bottom w:val="single" w:sz="18" w:space="0" w:color="0070C0"/>
            </w:tcBorders>
            <w:vAlign w:val="center"/>
          </w:tcPr>
          <w:p w14:paraId="59BE79B8" w14:textId="77777777" w:rsidR="00C55EF0" w:rsidRPr="006923B5" w:rsidRDefault="00C55EF0" w:rsidP="00CA699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6923B5">
              <w:rPr>
                <w:sz w:val="20"/>
                <w:szCs w:val="20"/>
              </w:rPr>
              <w:t>24</w:t>
            </w:r>
          </w:p>
        </w:tc>
        <w:tc>
          <w:tcPr>
            <w:tcW w:w="1984" w:type="dxa"/>
            <w:tcBorders>
              <w:bottom w:val="single" w:sz="18" w:space="0" w:color="0070C0"/>
            </w:tcBorders>
            <w:vAlign w:val="center"/>
          </w:tcPr>
          <w:p w14:paraId="7B507875" w14:textId="77777777" w:rsidR="00C55EF0" w:rsidRPr="006923B5" w:rsidRDefault="00C55EF0" w:rsidP="00CA699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6923B5">
              <w:rPr>
                <w:sz w:val="20"/>
                <w:szCs w:val="20"/>
              </w:rPr>
              <w:t>A</w:t>
            </w:r>
          </w:p>
        </w:tc>
      </w:tr>
      <w:tr w:rsidR="00C55EF0" w:rsidRPr="006923B5" w14:paraId="364AD93D" w14:textId="77777777" w:rsidTr="00E63271">
        <w:trPr>
          <w:trHeight w:val="283"/>
          <w:jc w:val="center"/>
        </w:trPr>
        <w:tc>
          <w:tcPr>
            <w:cnfStyle w:val="001000000000" w:firstRow="0" w:lastRow="0" w:firstColumn="1" w:lastColumn="0" w:oddVBand="0" w:evenVBand="0" w:oddHBand="0" w:evenHBand="0" w:firstRowFirstColumn="0" w:firstRowLastColumn="0" w:lastRowFirstColumn="0" w:lastRowLastColumn="0"/>
            <w:tcW w:w="3492" w:type="dxa"/>
            <w:tcBorders>
              <w:top w:val="single" w:sz="18" w:space="0" w:color="0070C0"/>
            </w:tcBorders>
            <w:vAlign w:val="center"/>
          </w:tcPr>
          <w:p w14:paraId="6FDBA007" w14:textId="6363165E" w:rsidR="00C55EF0" w:rsidRPr="006923B5" w:rsidRDefault="00E63271" w:rsidP="00CA6996">
            <w:pPr>
              <w:spacing w:line="276" w:lineRule="auto"/>
              <w:ind w:firstLine="0"/>
              <w:jc w:val="left"/>
              <w:rPr>
                <w:sz w:val="20"/>
                <w:szCs w:val="20"/>
              </w:rPr>
            </w:pPr>
            <w:r w:rsidRPr="006923B5">
              <w:rPr>
                <w:sz w:val="20"/>
                <w:szCs w:val="20"/>
              </w:rPr>
              <w:t>Oxy-combustor temperature</w:t>
            </w:r>
          </w:p>
        </w:tc>
        <w:tc>
          <w:tcPr>
            <w:tcW w:w="1901" w:type="dxa"/>
            <w:gridSpan w:val="2"/>
            <w:tcBorders>
              <w:top w:val="single" w:sz="18" w:space="0" w:color="0070C0"/>
            </w:tcBorders>
            <w:vAlign w:val="center"/>
          </w:tcPr>
          <w:p w14:paraId="57971032" w14:textId="77777777" w:rsidR="00C55EF0" w:rsidRPr="006923B5" w:rsidRDefault="00C55EF0" w:rsidP="00CA699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6923B5">
              <w:rPr>
                <w:sz w:val="20"/>
                <w:szCs w:val="20"/>
              </w:rPr>
              <w:t>&lt; 1200</w:t>
            </w:r>
          </w:p>
        </w:tc>
        <w:tc>
          <w:tcPr>
            <w:tcW w:w="1984" w:type="dxa"/>
            <w:tcBorders>
              <w:top w:val="single" w:sz="18" w:space="0" w:color="0070C0"/>
            </w:tcBorders>
            <w:vAlign w:val="center"/>
          </w:tcPr>
          <w:p w14:paraId="59553E7B" w14:textId="77777777" w:rsidR="00C55EF0" w:rsidRPr="006923B5" w:rsidRDefault="00C55EF0" w:rsidP="00CA699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6923B5">
              <w:rPr>
                <w:sz w:val="20"/>
                <w:szCs w:val="20"/>
              </w:rPr>
              <w:t>°C</w:t>
            </w:r>
          </w:p>
        </w:tc>
      </w:tr>
      <w:tr w:rsidR="00C55EF0" w:rsidRPr="006923B5" w14:paraId="641721F0" w14:textId="77777777" w:rsidTr="00E63271">
        <w:trPr>
          <w:cnfStyle w:val="000000100000" w:firstRow="0" w:lastRow="0" w:firstColumn="0" w:lastColumn="0" w:oddVBand="0" w:evenVBand="0" w:oddHBand="1"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3492" w:type="dxa"/>
            <w:tcBorders>
              <w:bottom w:val="single" w:sz="18" w:space="0" w:color="0070C0"/>
            </w:tcBorders>
            <w:vAlign w:val="center"/>
          </w:tcPr>
          <w:p w14:paraId="707CC9DB" w14:textId="27A90BA6" w:rsidR="00C55EF0" w:rsidRPr="006923B5" w:rsidRDefault="00C55EF0" w:rsidP="00E63271">
            <w:pPr>
              <w:spacing w:line="276" w:lineRule="auto"/>
              <w:ind w:firstLine="0"/>
              <w:jc w:val="left"/>
              <w:rPr>
                <w:sz w:val="20"/>
                <w:szCs w:val="20"/>
              </w:rPr>
            </w:pPr>
            <w:r w:rsidRPr="006923B5">
              <w:rPr>
                <w:sz w:val="20"/>
                <w:szCs w:val="20"/>
              </w:rPr>
              <w:t>O</w:t>
            </w:r>
            <w:r w:rsidRPr="006923B5">
              <w:rPr>
                <w:sz w:val="20"/>
                <w:szCs w:val="20"/>
                <w:vertAlign w:val="subscript"/>
              </w:rPr>
              <w:t>2</w:t>
            </w:r>
            <w:r w:rsidR="00C10EFB" w:rsidRPr="006923B5">
              <w:rPr>
                <w:sz w:val="20"/>
                <w:szCs w:val="20"/>
              </w:rPr>
              <w:t xml:space="preserve"> </w:t>
            </w:r>
            <w:r w:rsidRPr="006923B5">
              <w:rPr>
                <w:sz w:val="20"/>
                <w:szCs w:val="20"/>
              </w:rPr>
              <w:t>% in</w:t>
            </w:r>
            <w:r w:rsidR="00E63271" w:rsidRPr="006923B5">
              <w:rPr>
                <w:sz w:val="20"/>
                <w:szCs w:val="20"/>
              </w:rPr>
              <w:t xml:space="preserve"> oxy-combustor</w:t>
            </w:r>
            <w:r w:rsidRPr="006923B5">
              <w:rPr>
                <w:sz w:val="20"/>
                <w:szCs w:val="20"/>
              </w:rPr>
              <w:t xml:space="preserve"> exhaust</w:t>
            </w:r>
            <w:r w:rsidR="00E63271" w:rsidRPr="006923B5">
              <w:rPr>
                <w:sz w:val="20"/>
                <w:szCs w:val="20"/>
              </w:rPr>
              <w:t xml:space="preserve"> </w:t>
            </w:r>
          </w:p>
        </w:tc>
        <w:tc>
          <w:tcPr>
            <w:tcW w:w="1901" w:type="dxa"/>
            <w:gridSpan w:val="2"/>
            <w:tcBorders>
              <w:bottom w:val="single" w:sz="18" w:space="0" w:color="0070C0"/>
            </w:tcBorders>
            <w:vAlign w:val="center"/>
          </w:tcPr>
          <w:p w14:paraId="7E58C872" w14:textId="77777777" w:rsidR="00C55EF0" w:rsidRPr="006923B5" w:rsidRDefault="00C55EF0" w:rsidP="00CA699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6923B5">
              <w:rPr>
                <w:sz w:val="20"/>
                <w:szCs w:val="20"/>
              </w:rPr>
              <w:t>1.1</w:t>
            </w:r>
          </w:p>
        </w:tc>
        <w:tc>
          <w:tcPr>
            <w:tcW w:w="1984" w:type="dxa"/>
            <w:tcBorders>
              <w:bottom w:val="single" w:sz="18" w:space="0" w:color="0070C0"/>
            </w:tcBorders>
            <w:vAlign w:val="center"/>
          </w:tcPr>
          <w:p w14:paraId="2F0EC137" w14:textId="1B18B578" w:rsidR="00C55EF0" w:rsidRPr="006923B5" w:rsidRDefault="00C55EF0" w:rsidP="00CA699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6923B5">
              <w:rPr>
                <w:sz w:val="20"/>
                <w:szCs w:val="20"/>
              </w:rPr>
              <w:t>%</w:t>
            </w:r>
            <w:r w:rsidR="00E63271" w:rsidRPr="006923B5">
              <w:rPr>
                <w:sz w:val="20"/>
                <w:szCs w:val="20"/>
              </w:rPr>
              <w:t xml:space="preserve"> vol.</w:t>
            </w:r>
          </w:p>
        </w:tc>
      </w:tr>
      <w:tr w:rsidR="00C55EF0" w:rsidRPr="006923B5" w14:paraId="44C3F771" w14:textId="77777777" w:rsidTr="00E63271">
        <w:trPr>
          <w:trHeight w:val="283"/>
          <w:jc w:val="center"/>
        </w:trPr>
        <w:tc>
          <w:tcPr>
            <w:cnfStyle w:val="001000000000" w:firstRow="0" w:lastRow="0" w:firstColumn="1" w:lastColumn="0" w:oddVBand="0" w:evenVBand="0" w:oddHBand="0" w:evenHBand="0" w:firstRowFirstColumn="0" w:firstRowLastColumn="0" w:lastRowFirstColumn="0" w:lastRowLastColumn="0"/>
            <w:tcW w:w="3492" w:type="dxa"/>
            <w:tcBorders>
              <w:top w:val="single" w:sz="18" w:space="0" w:color="0070C0"/>
            </w:tcBorders>
            <w:vAlign w:val="center"/>
          </w:tcPr>
          <w:p w14:paraId="05B43700" w14:textId="77777777" w:rsidR="00C55EF0" w:rsidRPr="006923B5" w:rsidRDefault="00C55EF0" w:rsidP="00CA6996">
            <w:pPr>
              <w:spacing w:line="276" w:lineRule="auto"/>
              <w:ind w:firstLine="0"/>
              <w:jc w:val="left"/>
              <w:rPr>
                <w:sz w:val="20"/>
                <w:szCs w:val="20"/>
              </w:rPr>
            </w:pPr>
            <w:r w:rsidRPr="006923B5">
              <w:rPr>
                <w:sz w:val="20"/>
                <w:szCs w:val="20"/>
              </w:rPr>
              <w:t>Condenser set point</w:t>
            </w:r>
          </w:p>
        </w:tc>
        <w:tc>
          <w:tcPr>
            <w:tcW w:w="1901" w:type="dxa"/>
            <w:gridSpan w:val="2"/>
            <w:tcBorders>
              <w:top w:val="single" w:sz="18" w:space="0" w:color="0070C0"/>
            </w:tcBorders>
            <w:vAlign w:val="center"/>
          </w:tcPr>
          <w:p w14:paraId="6DAEA9D4" w14:textId="77777777" w:rsidR="00C55EF0" w:rsidRPr="006923B5" w:rsidRDefault="00C55EF0" w:rsidP="00CA699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6923B5">
              <w:rPr>
                <w:sz w:val="20"/>
                <w:szCs w:val="20"/>
              </w:rPr>
              <w:t>0</w:t>
            </w:r>
          </w:p>
        </w:tc>
        <w:tc>
          <w:tcPr>
            <w:tcW w:w="1984" w:type="dxa"/>
            <w:tcBorders>
              <w:top w:val="single" w:sz="18" w:space="0" w:color="0070C0"/>
            </w:tcBorders>
            <w:vAlign w:val="center"/>
          </w:tcPr>
          <w:p w14:paraId="60B61802" w14:textId="77777777" w:rsidR="00C55EF0" w:rsidRPr="006923B5" w:rsidRDefault="00C55EF0" w:rsidP="00CA699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6923B5">
              <w:rPr>
                <w:sz w:val="20"/>
                <w:szCs w:val="20"/>
              </w:rPr>
              <w:t>bar</w:t>
            </w:r>
          </w:p>
        </w:tc>
      </w:tr>
      <w:tr w:rsidR="00C55EF0" w:rsidRPr="006923B5" w14:paraId="5E00A895" w14:textId="77777777" w:rsidTr="00E63271">
        <w:trPr>
          <w:cnfStyle w:val="000000100000" w:firstRow="0" w:lastRow="0" w:firstColumn="0" w:lastColumn="0" w:oddVBand="0" w:evenVBand="0" w:oddHBand="1"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3492" w:type="dxa"/>
            <w:vAlign w:val="center"/>
          </w:tcPr>
          <w:p w14:paraId="2CF8876A" w14:textId="73537763" w:rsidR="00C55EF0" w:rsidRPr="006923B5" w:rsidRDefault="00C55EF0" w:rsidP="00CA6996">
            <w:pPr>
              <w:spacing w:line="276" w:lineRule="auto"/>
              <w:ind w:firstLine="0"/>
              <w:jc w:val="left"/>
              <w:rPr>
                <w:sz w:val="20"/>
                <w:szCs w:val="20"/>
              </w:rPr>
            </w:pPr>
            <w:r w:rsidRPr="006923B5">
              <w:rPr>
                <w:sz w:val="20"/>
                <w:szCs w:val="20"/>
              </w:rPr>
              <w:t>Compressor out</w:t>
            </w:r>
            <w:r w:rsidR="00E63271" w:rsidRPr="006923B5">
              <w:rPr>
                <w:sz w:val="20"/>
                <w:szCs w:val="20"/>
              </w:rPr>
              <w:t>let</w:t>
            </w:r>
            <w:r w:rsidRPr="006923B5">
              <w:rPr>
                <w:sz w:val="20"/>
                <w:szCs w:val="20"/>
              </w:rPr>
              <w:t xml:space="preserve"> pressure</w:t>
            </w:r>
          </w:p>
        </w:tc>
        <w:tc>
          <w:tcPr>
            <w:tcW w:w="1901" w:type="dxa"/>
            <w:gridSpan w:val="2"/>
            <w:vAlign w:val="center"/>
          </w:tcPr>
          <w:p w14:paraId="556FAD6C" w14:textId="77777777" w:rsidR="00C55EF0" w:rsidRPr="006923B5" w:rsidRDefault="00C55EF0" w:rsidP="00CA699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6923B5">
              <w:rPr>
                <w:sz w:val="20"/>
                <w:szCs w:val="20"/>
              </w:rPr>
              <w:t>8</w:t>
            </w:r>
          </w:p>
        </w:tc>
        <w:tc>
          <w:tcPr>
            <w:tcW w:w="1984" w:type="dxa"/>
            <w:vAlign w:val="center"/>
          </w:tcPr>
          <w:p w14:paraId="385CDFC0" w14:textId="77777777" w:rsidR="00C55EF0" w:rsidRPr="006923B5" w:rsidRDefault="00C55EF0" w:rsidP="00CA699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6923B5">
              <w:rPr>
                <w:sz w:val="20"/>
                <w:szCs w:val="20"/>
              </w:rPr>
              <w:t>bar</w:t>
            </w:r>
          </w:p>
        </w:tc>
      </w:tr>
      <w:tr w:rsidR="00C55EF0" w:rsidRPr="006923B5" w14:paraId="78E71A7E" w14:textId="77777777" w:rsidTr="00E63271">
        <w:trPr>
          <w:trHeight w:val="283"/>
          <w:jc w:val="center"/>
        </w:trPr>
        <w:tc>
          <w:tcPr>
            <w:cnfStyle w:val="001000000000" w:firstRow="0" w:lastRow="0" w:firstColumn="1" w:lastColumn="0" w:oddVBand="0" w:evenVBand="0" w:oddHBand="0" w:evenHBand="0" w:firstRowFirstColumn="0" w:firstRowLastColumn="0" w:lastRowFirstColumn="0" w:lastRowLastColumn="0"/>
            <w:tcW w:w="3492" w:type="dxa"/>
            <w:vAlign w:val="center"/>
          </w:tcPr>
          <w:p w14:paraId="5A50422E" w14:textId="5E06DD0C" w:rsidR="00C55EF0" w:rsidRPr="006923B5" w:rsidRDefault="00C55EF0" w:rsidP="00CA6996">
            <w:pPr>
              <w:spacing w:line="276" w:lineRule="auto"/>
              <w:ind w:firstLine="0"/>
              <w:jc w:val="left"/>
              <w:rPr>
                <w:sz w:val="20"/>
                <w:szCs w:val="20"/>
              </w:rPr>
            </w:pPr>
            <w:r w:rsidRPr="006923B5">
              <w:rPr>
                <w:sz w:val="20"/>
                <w:szCs w:val="20"/>
              </w:rPr>
              <w:t>Compressor out</w:t>
            </w:r>
            <w:r w:rsidR="00E63271" w:rsidRPr="006923B5">
              <w:rPr>
                <w:sz w:val="20"/>
                <w:szCs w:val="20"/>
              </w:rPr>
              <w:t>let temperature</w:t>
            </w:r>
          </w:p>
        </w:tc>
        <w:tc>
          <w:tcPr>
            <w:tcW w:w="1901" w:type="dxa"/>
            <w:gridSpan w:val="2"/>
            <w:vAlign w:val="center"/>
          </w:tcPr>
          <w:p w14:paraId="5407C7AF" w14:textId="77777777" w:rsidR="00C55EF0" w:rsidRPr="006923B5" w:rsidRDefault="00C55EF0" w:rsidP="00CA699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6923B5">
              <w:rPr>
                <w:sz w:val="20"/>
                <w:szCs w:val="20"/>
              </w:rPr>
              <w:t>200</w:t>
            </w:r>
          </w:p>
        </w:tc>
        <w:tc>
          <w:tcPr>
            <w:tcW w:w="1984" w:type="dxa"/>
            <w:vAlign w:val="center"/>
          </w:tcPr>
          <w:p w14:paraId="498470C5" w14:textId="77777777" w:rsidR="00C55EF0" w:rsidRPr="006923B5" w:rsidRDefault="00C55EF0" w:rsidP="00CA699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20"/>
                <w:szCs w:val="20"/>
              </w:rPr>
            </w:pPr>
            <w:r w:rsidRPr="006923B5">
              <w:rPr>
                <w:sz w:val="20"/>
                <w:szCs w:val="20"/>
              </w:rPr>
              <w:t>°C</w:t>
            </w:r>
          </w:p>
        </w:tc>
      </w:tr>
      <w:tr w:rsidR="00C55EF0" w:rsidRPr="006923B5" w14:paraId="5EB410FF" w14:textId="77777777" w:rsidTr="00E63271">
        <w:trPr>
          <w:cnfStyle w:val="000000100000" w:firstRow="0" w:lastRow="0" w:firstColumn="0" w:lastColumn="0" w:oddVBand="0" w:evenVBand="0" w:oddHBand="1"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3492" w:type="dxa"/>
            <w:vAlign w:val="center"/>
          </w:tcPr>
          <w:p w14:paraId="54F04750" w14:textId="314DEE2A" w:rsidR="00C55EF0" w:rsidRPr="006923B5" w:rsidRDefault="00E63271" w:rsidP="00E63271">
            <w:pPr>
              <w:spacing w:line="276" w:lineRule="auto"/>
              <w:ind w:firstLine="0"/>
              <w:jc w:val="left"/>
              <w:rPr>
                <w:sz w:val="20"/>
                <w:szCs w:val="20"/>
              </w:rPr>
            </w:pPr>
            <w:r w:rsidRPr="006923B5">
              <w:rPr>
                <w:sz w:val="20"/>
                <w:szCs w:val="20"/>
              </w:rPr>
              <w:t>W</w:t>
            </w:r>
            <w:r w:rsidR="00C55EF0" w:rsidRPr="006923B5">
              <w:rPr>
                <w:sz w:val="20"/>
                <w:szCs w:val="20"/>
              </w:rPr>
              <w:t>ater</w:t>
            </w:r>
            <w:r w:rsidRPr="006923B5">
              <w:rPr>
                <w:sz w:val="20"/>
                <w:szCs w:val="20"/>
              </w:rPr>
              <w:t xml:space="preserve"> % at the membrane outlet</w:t>
            </w:r>
          </w:p>
        </w:tc>
        <w:tc>
          <w:tcPr>
            <w:tcW w:w="1901" w:type="dxa"/>
            <w:gridSpan w:val="2"/>
            <w:vAlign w:val="center"/>
          </w:tcPr>
          <w:p w14:paraId="20ECA580" w14:textId="77777777" w:rsidR="00C55EF0" w:rsidRPr="006923B5" w:rsidRDefault="00C55EF0" w:rsidP="00CA699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6923B5">
              <w:rPr>
                <w:sz w:val="20"/>
                <w:szCs w:val="20"/>
              </w:rPr>
              <w:t>&lt; 500</w:t>
            </w:r>
          </w:p>
        </w:tc>
        <w:tc>
          <w:tcPr>
            <w:tcW w:w="1984" w:type="dxa"/>
            <w:vAlign w:val="center"/>
          </w:tcPr>
          <w:p w14:paraId="3195E662" w14:textId="77777777" w:rsidR="00C55EF0" w:rsidRPr="006923B5" w:rsidRDefault="00C55EF0" w:rsidP="00CA699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20"/>
                <w:szCs w:val="20"/>
              </w:rPr>
            </w:pPr>
            <w:r w:rsidRPr="006923B5">
              <w:rPr>
                <w:sz w:val="20"/>
                <w:szCs w:val="20"/>
              </w:rPr>
              <w:t>ppm(v)</w:t>
            </w:r>
          </w:p>
        </w:tc>
      </w:tr>
    </w:tbl>
    <w:p w14:paraId="02E503FF" w14:textId="77777777" w:rsidR="0083387B" w:rsidRDefault="0083387B" w:rsidP="00CA6996">
      <w:pPr>
        <w:ind w:firstLine="0"/>
        <w:rPr>
          <w:lang w:val="en-US"/>
        </w:rPr>
      </w:pPr>
    </w:p>
    <w:p w14:paraId="26D6FD5E" w14:textId="595B6790" w:rsidR="0083387B" w:rsidRDefault="00BC09A2" w:rsidP="009F0240">
      <w:pPr>
        <w:pStyle w:val="Titolo2"/>
        <w:rPr>
          <w:lang w:val="en-US"/>
        </w:rPr>
      </w:pPr>
      <w:r>
        <w:rPr>
          <w:lang w:val="en-US"/>
        </w:rPr>
        <w:t>Oxy-combustion of residual fuel in SOFC anode exhaust</w:t>
      </w:r>
    </w:p>
    <w:p w14:paraId="173A0B50" w14:textId="002C1B3D" w:rsidR="00E662AE" w:rsidRDefault="00E662AE" w:rsidP="00E662AE">
      <w:pPr>
        <w:rPr>
          <w:lang w:val="en-US"/>
        </w:rPr>
      </w:pPr>
      <w:r>
        <w:rPr>
          <w:lang w:val="en-US"/>
        </w:rPr>
        <w:t>The oxy-combustor is designed to</w:t>
      </w:r>
      <w:r w:rsidR="00A00B8F">
        <w:rPr>
          <w:lang w:val="en-US"/>
        </w:rPr>
        <w:t xml:space="preserve"> </w:t>
      </w:r>
      <w:r w:rsidR="00A00B8F">
        <w:t>complete the oxidation of the anode exhaust fuel</w:t>
      </w:r>
      <w:r>
        <w:rPr>
          <w:lang w:val="en-US"/>
        </w:rPr>
        <w:t xml:space="preserve"> </w:t>
      </w:r>
      <w:r w:rsidR="00A00B8F">
        <w:rPr>
          <w:lang w:val="en-US"/>
        </w:rPr>
        <w:t>in</w:t>
      </w:r>
      <w:r w:rsidR="004718AB">
        <w:rPr>
          <w:lang w:val="en-US"/>
        </w:rPr>
        <w:t>to CO</w:t>
      </w:r>
      <w:r w:rsidR="004718AB" w:rsidRPr="004718AB">
        <w:rPr>
          <w:vertAlign w:val="subscript"/>
          <w:lang w:val="en-US"/>
        </w:rPr>
        <w:t>2</w:t>
      </w:r>
      <w:r w:rsidR="004718AB">
        <w:rPr>
          <w:lang w:val="en-US"/>
        </w:rPr>
        <w:t xml:space="preserve"> and H</w:t>
      </w:r>
      <w:r w:rsidR="004718AB" w:rsidRPr="004718AB">
        <w:rPr>
          <w:vertAlign w:val="subscript"/>
          <w:lang w:val="en-US"/>
        </w:rPr>
        <w:t>2</w:t>
      </w:r>
      <w:r w:rsidR="004718AB">
        <w:rPr>
          <w:lang w:val="en-US"/>
        </w:rPr>
        <w:t>O</w:t>
      </w:r>
      <w:r w:rsidRPr="00A366AC">
        <w:rPr>
          <w:lang w:val="en-US"/>
        </w:rPr>
        <w:t xml:space="preserve">. </w:t>
      </w:r>
      <w:r w:rsidR="00450807">
        <w:rPr>
          <w:lang w:val="en-US"/>
        </w:rPr>
        <w:fldChar w:fldCharType="begin"/>
      </w:r>
      <w:r w:rsidR="00450807">
        <w:rPr>
          <w:lang w:val="en-US"/>
        </w:rPr>
        <w:instrText xml:space="preserve"> REF _Ref469580093 \h </w:instrText>
      </w:r>
      <w:r w:rsidR="00450807">
        <w:rPr>
          <w:lang w:val="en-US"/>
        </w:rPr>
      </w:r>
      <w:r w:rsidR="00450807">
        <w:rPr>
          <w:lang w:val="en-US"/>
        </w:rPr>
        <w:fldChar w:fldCharType="separate"/>
      </w:r>
      <w:r w:rsidR="00450807">
        <w:t xml:space="preserve">Table </w:t>
      </w:r>
      <w:r w:rsidR="00450807">
        <w:rPr>
          <w:noProof/>
        </w:rPr>
        <w:t>2</w:t>
      </w:r>
      <w:r w:rsidR="00450807">
        <w:rPr>
          <w:lang w:val="en-US"/>
        </w:rPr>
        <w:fldChar w:fldCharType="end"/>
      </w:r>
      <w:r w:rsidR="00450807">
        <w:rPr>
          <w:lang w:val="en-US"/>
        </w:rPr>
        <w:t xml:space="preserve"> </w:t>
      </w:r>
      <w:r w:rsidRPr="00A366AC">
        <w:rPr>
          <w:lang w:val="en-US"/>
        </w:rPr>
        <w:t xml:space="preserve">shows the ranges of species comprising the off-anode gas accepted for the design., the off-anode gas has </w:t>
      </w:r>
      <w:r w:rsidR="00680ECD">
        <w:rPr>
          <w:lang w:val="en-US"/>
        </w:rPr>
        <w:t>a low LHV value</w:t>
      </w:r>
      <w:r w:rsidRPr="00A366AC">
        <w:rPr>
          <w:lang w:val="en-US"/>
        </w:rPr>
        <w:t xml:space="preserve"> in the range of 1.87 – 3.32 MJ/m</w:t>
      </w:r>
      <w:r w:rsidRPr="00A366AC">
        <w:rPr>
          <w:vertAlign w:val="superscript"/>
          <w:lang w:val="en-US"/>
        </w:rPr>
        <w:t>3</w:t>
      </w:r>
      <w:r w:rsidRPr="00A366AC">
        <w:rPr>
          <w:lang w:val="en-US"/>
        </w:rPr>
        <w:t xml:space="preserve"> and can be classified as a </w:t>
      </w:r>
      <w:r w:rsidRPr="00680ECD">
        <w:rPr>
          <w:noProof/>
          <w:lang w:val="en-US"/>
        </w:rPr>
        <w:t>lean</w:t>
      </w:r>
      <w:r w:rsidR="00680ECD">
        <w:rPr>
          <w:lang w:val="en-US"/>
        </w:rPr>
        <w:t xml:space="preserve"> fuel,</w:t>
      </w:r>
      <w:r w:rsidR="00680ECD" w:rsidRPr="00680ECD">
        <w:rPr>
          <w:noProof/>
          <w:lang w:val="en-US"/>
        </w:rPr>
        <w:t xml:space="preserve"> </w:t>
      </w:r>
      <w:r w:rsidR="00680ECD">
        <w:rPr>
          <w:noProof/>
          <w:lang w:val="en-US"/>
        </w:rPr>
        <w:t>o</w:t>
      </w:r>
      <w:r w:rsidR="00680ECD" w:rsidRPr="00680ECD">
        <w:rPr>
          <w:noProof/>
          <w:lang w:val="en-US"/>
        </w:rPr>
        <w:t xml:space="preserve">wing to </w:t>
      </w:r>
      <w:r w:rsidR="00680ECD">
        <w:rPr>
          <w:noProof/>
          <w:lang w:val="en-US"/>
        </w:rPr>
        <w:t xml:space="preserve">its </w:t>
      </w:r>
      <w:r w:rsidR="00680ECD" w:rsidRPr="00680ECD">
        <w:rPr>
          <w:noProof/>
          <w:lang w:val="en-US"/>
        </w:rPr>
        <w:t>composition</w:t>
      </w:r>
      <w:r w:rsidR="00680ECD">
        <w:rPr>
          <w:noProof/>
          <w:lang w:val="en-US"/>
        </w:rPr>
        <w:t>.</w:t>
      </w:r>
    </w:p>
    <w:p w14:paraId="4F241AC6" w14:textId="0823829E" w:rsidR="006923B5" w:rsidRPr="005A3CEF" w:rsidRDefault="006923B5" w:rsidP="00E662AE">
      <w:pPr>
        <w:rPr>
          <w:lang w:val="en-US"/>
        </w:rPr>
      </w:pPr>
      <w:r w:rsidRPr="005A3CEF">
        <w:rPr>
          <w:lang w:val="en-US"/>
        </w:rPr>
        <w:lastRenderedPageBreak/>
        <w:t xml:space="preserve">The component </w:t>
      </w:r>
      <w:r w:rsidRPr="005A3CEF">
        <w:rPr>
          <w:noProof/>
          <w:lang w:val="en-US"/>
        </w:rPr>
        <w:t>was developed</w:t>
      </w:r>
      <w:r w:rsidRPr="005A3CEF">
        <w:rPr>
          <w:lang w:val="en-US"/>
        </w:rPr>
        <w:t xml:space="preserve"> by a first modeling phase, shown in the supporting material (section 1 of Appendix), followed by laboratory characterization of the constructed combustor (paragraph 3.1). Results show</w:t>
      </w:r>
      <w:r w:rsidR="00680ECD" w:rsidRPr="005A3CEF">
        <w:rPr>
          <w:lang w:val="en-US"/>
        </w:rPr>
        <w:t xml:space="preserve"> a</w:t>
      </w:r>
      <w:r w:rsidRPr="005A3CEF">
        <w:rPr>
          <w:lang w:val="en-US"/>
        </w:rPr>
        <w:t xml:space="preserve"> </w:t>
      </w:r>
      <w:r w:rsidRPr="005A3CEF">
        <w:rPr>
          <w:noProof/>
          <w:lang w:val="en-US"/>
        </w:rPr>
        <w:t>comparison</w:t>
      </w:r>
      <w:r w:rsidRPr="005A3CEF">
        <w:rPr>
          <w:lang w:val="en-US"/>
        </w:rPr>
        <w:t xml:space="preserve"> of the operation of the oxy-combustor with numerical </w:t>
      </w:r>
      <w:r w:rsidRPr="005A3CEF">
        <w:rPr>
          <w:noProof/>
          <w:lang w:val="en-US"/>
        </w:rPr>
        <w:t>modeling.</w:t>
      </w:r>
    </w:p>
    <w:p w14:paraId="26DCD14B" w14:textId="39C860D4" w:rsidR="00450807" w:rsidRDefault="00450807" w:rsidP="00450807">
      <w:pPr>
        <w:pStyle w:val="Didascalia"/>
        <w:keepNext/>
      </w:pPr>
      <w:bookmarkStart w:id="4" w:name="_Ref469580093"/>
      <w:r>
        <w:t xml:space="preserve">Table </w:t>
      </w:r>
      <w:r>
        <w:fldChar w:fldCharType="begin"/>
      </w:r>
      <w:r>
        <w:instrText xml:space="preserve"> SEQ Table \* ARABIC </w:instrText>
      </w:r>
      <w:r>
        <w:fldChar w:fldCharType="separate"/>
      </w:r>
      <w:r w:rsidR="008D619E">
        <w:rPr>
          <w:noProof/>
        </w:rPr>
        <w:t>2</w:t>
      </w:r>
      <w:r>
        <w:fldChar w:fldCharType="end"/>
      </w:r>
      <w:bookmarkEnd w:id="4"/>
      <w:r>
        <w:t xml:space="preserve">. </w:t>
      </w:r>
      <w:r w:rsidRPr="00450807">
        <w:t>Composition range of the off-anode gas leaving SOFC stack.</w:t>
      </w:r>
    </w:p>
    <w:tbl>
      <w:tblPr>
        <w:tblStyle w:val="ListTable3-Accent11"/>
        <w:tblW w:w="0" w:type="auto"/>
        <w:jc w:val="center"/>
        <w:tblLook w:val="04A0" w:firstRow="1" w:lastRow="0" w:firstColumn="1" w:lastColumn="0" w:noHBand="0" w:noVBand="1"/>
      </w:tblPr>
      <w:tblGrid>
        <w:gridCol w:w="1191"/>
        <w:gridCol w:w="2065"/>
      </w:tblGrid>
      <w:tr w:rsidR="00E662AE" w:rsidRPr="00E63271" w14:paraId="3513DF61" w14:textId="77777777" w:rsidTr="0003036D">
        <w:trPr>
          <w:cnfStyle w:val="100000000000" w:firstRow="1" w:lastRow="0" w:firstColumn="0" w:lastColumn="0" w:oddVBand="0" w:evenVBand="0" w:oddHBand="0" w:evenHBand="0" w:firstRowFirstColumn="0" w:firstRowLastColumn="0" w:lastRowFirstColumn="0" w:lastRowLastColumn="0"/>
          <w:trHeight w:val="340"/>
          <w:jc w:val="center"/>
        </w:trPr>
        <w:tc>
          <w:tcPr>
            <w:cnfStyle w:val="001000000100" w:firstRow="0" w:lastRow="0" w:firstColumn="1" w:lastColumn="0" w:oddVBand="0" w:evenVBand="0" w:oddHBand="0" w:evenHBand="0" w:firstRowFirstColumn="1" w:firstRowLastColumn="0" w:lastRowFirstColumn="0" w:lastRowLastColumn="0"/>
            <w:tcW w:w="1191" w:type="dxa"/>
            <w:noWrap/>
            <w:vAlign w:val="center"/>
            <w:hideMark/>
          </w:tcPr>
          <w:p w14:paraId="69414EEC" w14:textId="77777777" w:rsidR="00E662AE" w:rsidRPr="0003036D" w:rsidRDefault="00E662AE" w:rsidP="00E63271">
            <w:pPr>
              <w:spacing w:line="240" w:lineRule="auto"/>
              <w:ind w:firstLine="0"/>
              <w:jc w:val="center"/>
              <w:rPr>
                <w:rFonts w:cs="Times New Roman"/>
                <w:sz w:val="20"/>
              </w:rPr>
            </w:pPr>
            <w:r w:rsidRPr="0003036D">
              <w:rPr>
                <w:rFonts w:cs="Times New Roman"/>
                <w:sz w:val="20"/>
              </w:rPr>
              <w:t>Species</w:t>
            </w:r>
          </w:p>
        </w:tc>
        <w:tc>
          <w:tcPr>
            <w:tcW w:w="2065" w:type="dxa"/>
            <w:vAlign w:val="center"/>
          </w:tcPr>
          <w:p w14:paraId="097DAAF3" w14:textId="560FFAE7" w:rsidR="00E662AE" w:rsidRPr="0003036D" w:rsidRDefault="00E662AE" w:rsidP="00E63271">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cs="Times New Roman"/>
                <w:sz w:val="20"/>
              </w:rPr>
            </w:pPr>
            <w:r w:rsidRPr="0003036D">
              <w:rPr>
                <w:rFonts w:cs="Times New Roman"/>
                <w:sz w:val="20"/>
              </w:rPr>
              <w:t>Range</w:t>
            </w:r>
            <w:r w:rsidR="0003036D" w:rsidRPr="0003036D">
              <w:rPr>
                <w:rFonts w:cs="Times New Roman"/>
                <w:sz w:val="20"/>
              </w:rPr>
              <w:t xml:space="preserve">, </w:t>
            </w:r>
            <w:r w:rsidRPr="0003036D">
              <w:rPr>
                <w:rFonts w:cs="Times New Roman"/>
                <w:sz w:val="20"/>
              </w:rPr>
              <w:t>% vol.</w:t>
            </w:r>
          </w:p>
        </w:tc>
      </w:tr>
      <w:tr w:rsidR="00E662AE" w:rsidRPr="00E63271" w14:paraId="4DF4D15B" w14:textId="77777777" w:rsidTr="0003036D">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1191" w:type="dxa"/>
            <w:noWrap/>
            <w:vAlign w:val="center"/>
            <w:hideMark/>
          </w:tcPr>
          <w:p w14:paraId="566D616E" w14:textId="77777777" w:rsidR="00E662AE" w:rsidRPr="0003036D" w:rsidRDefault="00E662AE" w:rsidP="00E63271">
            <w:pPr>
              <w:spacing w:line="240" w:lineRule="auto"/>
              <w:ind w:firstLine="0"/>
              <w:jc w:val="center"/>
              <w:rPr>
                <w:rFonts w:cs="Times New Roman"/>
                <w:b w:val="0"/>
                <w:color w:val="000000"/>
                <w:sz w:val="20"/>
              </w:rPr>
            </w:pPr>
            <w:r w:rsidRPr="0003036D">
              <w:rPr>
                <w:rFonts w:cs="Times New Roman"/>
                <w:b w:val="0"/>
                <w:color w:val="000000"/>
                <w:sz w:val="20"/>
              </w:rPr>
              <w:t>CO</w:t>
            </w:r>
            <w:r w:rsidRPr="0003036D">
              <w:rPr>
                <w:rFonts w:cs="Times New Roman"/>
                <w:b w:val="0"/>
                <w:color w:val="000000"/>
                <w:sz w:val="20"/>
                <w:vertAlign w:val="subscript"/>
              </w:rPr>
              <w:t>2</w:t>
            </w:r>
          </w:p>
        </w:tc>
        <w:tc>
          <w:tcPr>
            <w:tcW w:w="2065" w:type="dxa"/>
            <w:vAlign w:val="center"/>
          </w:tcPr>
          <w:p w14:paraId="3D3FA6F5" w14:textId="77777777" w:rsidR="00E662AE" w:rsidRPr="0003036D" w:rsidRDefault="00E662AE" w:rsidP="00E63271">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cs="Times New Roman"/>
                <w:color w:val="000000"/>
                <w:sz w:val="20"/>
              </w:rPr>
            </w:pPr>
            <w:r w:rsidRPr="0003036D">
              <w:rPr>
                <w:rFonts w:cs="Times New Roman"/>
                <w:color w:val="000000"/>
                <w:sz w:val="20"/>
              </w:rPr>
              <w:t>29.0 – 38.7</w:t>
            </w:r>
          </w:p>
        </w:tc>
      </w:tr>
      <w:tr w:rsidR="00E662AE" w:rsidRPr="00E63271" w14:paraId="246DF153" w14:textId="77777777" w:rsidTr="0003036D">
        <w:trPr>
          <w:trHeight w:val="340"/>
          <w:jc w:val="center"/>
        </w:trPr>
        <w:tc>
          <w:tcPr>
            <w:cnfStyle w:val="001000000000" w:firstRow="0" w:lastRow="0" w:firstColumn="1" w:lastColumn="0" w:oddVBand="0" w:evenVBand="0" w:oddHBand="0" w:evenHBand="0" w:firstRowFirstColumn="0" w:firstRowLastColumn="0" w:lastRowFirstColumn="0" w:lastRowLastColumn="0"/>
            <w:tcW w:w="1191" w:type="dxa"/>
            <w:noWrap/>
            <w:vAlign w:val="center"/>
            <w:hideMark/>
          </w:tcPr>
          <w:p w14:paraId="44106D6B" w14:textId="77777777" w:rsidR="00E662AE" w:rsidRPr="0003036D" w:rsidRDefault="00E662AE" w:rsidP="00E63271">
            <w:pPr>
              <w:spacing w:line="240" w:lineRule="auto"/>
              <w:ind w:firstLine="0"/>
              <w:jc w:val="center"/>
              <w:rPr>
                <w:rFonts w:cs="Times New Roman"/>
                <w:b w:val="0"/>
                <w:color w:val="000000"/>
                <w:sz w:val="20"/>
              </w:rPr>
            </w:pPr>
            <w:r w:rsidRPr="0003036D">
              <w:rPr>
                <w:rFonts w:cs="Times New Roman"/>
                <w:b w:val="0"/>
                <w:color w:val="000000"/>
                <w:sz w:val="20"/>
              </w:rPr>
              <w:t>CO</w:t>
            </w:r>
          </w:p>
        </w:tc>
        <w:tc>
          <w:tcPr>
            <w:tcW w:w="2065" w:type="dxa"/>
            <w:vAlign w:val="center"/>
          </w:tcPr>
          <w:p w14:paraId="45428826" w14:textId="77777777" w:rsidR="00E662AE" w:rsidRPr="0003036D" w:rsidRDefault="00E662AE" w:rsidP="00E63271">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rPr>
            </w:pPr>
            <w:r w:rsidRPr="0003036D">
              <w:rPr>
                <w:rFonts w:cs="Times New Roman"/>
                <w:color w:val="000000"/>
                <w:sz w:val="20"/>
              </w:rPr>
              <w:t>8.9 – 14.5</w:t>
            </w:r>
          </w:p>
        </w:tc>
      </w:tr>
      <w:tr w:rsidR="00E662AE" w:rsidRPr="00E63271" w14:paraId="196D2F8A" w14:textId="77777777" w:rsidTr="0003036D">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1191" w:type="dxa"/>
            <w:noWrap/>
            <w:vAlign w:val="center"/>
          </w:tcPr>
          <w:p w14:paraId="28CFB6A0" w14:textId="77777777" w:rsidR="00E662AE" w:rsidRPr="0003036D" w:rsidRDefault="00E662AE" w:rsidP="00E63271">
            <w:pPr>
              <w:spacing w:line="240" w:lineRule="auto"/>
              <w:ind w:firstLine="0"/>
              <w:jc w:val="center"/>
              <w:rPr>
                <w:rFonts w:cs="Times New Roman"/>
                <w:b w:val="0"/>
                <w:sz w:val="20"/>
                <w:lang w:val="en-US"/>
              </w:rPr>
            </w:pPr>
            <w:r w:rsidRPr="0003036D">
              <w:rPr>
                <w:rFonts w:cs="Times New Roman"/>
                <w:b w:val="0"/>
                <w:sz w:val="20"/>
                <w:lang w:val="en-US"/>
              </w:rPr>
              <w:t>H</w:t>
            </w:r>
            <w:r w:rsidRPr="0003036D">
              <w:rPr>
                <w:rFonts w:cs="Times New Roman"/>
                <w:b w:val="0"/>
                <w:sz w:val="20"/>
                <w:vertAlign w:val="subscript"/>
                <w:lang w:val="en-US"/>
              </w:rPr>
              <w:t>2</w:t>
            </w:r>
          </w:p>
        </w:tc>
        <w:tc>
          <w:tcPr>
            <w:tcW w:w="2065" w:type="dxa"/>
            <w:vAlign w:val="center"/>
          </w:tcPr>
          <w:p w14:paraId="439DD7D0" w14:textId="77777777" w:rsidR="00E662AE" w:rsidRPr="0003036D" w:rsidRDefault="00E662AE" w:rsidP="00E63271">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cs="Times New Roman"/>
                <w:color w:val="000000"/>
                <w:sz w:val="20"/>
              </w:rPr>
            </w:pPr>
            <w:r w:rsidRPr="0003036D">
              <w:rPr>
                <w:rFonts w:cs="Times New Roman"/>
                <w:color w:val="000000"/>
                <w:sz w:val="20"/>
              </w:rPr>
              <w:t>6.8 – 13.8</w:t>
            </w:r>
          </w:p>
        </w:tc>
      </w:tr>
      <w:tr w:rsidR="00E662AE" w:rsidRPr="00E63271" w14:paraId="39BB9E92" w14:textId="77777777" w:rsidTr="0003036D">
        <w:trPr>
          <w:trHeight w:val="340"/>
          <w:jc w:val="center"/>
        </w:trPr>
        <w:tc>
          <w:tcPr>
            <w:cnfStyle w:val="001000000000" w:firstRow="0" w:lastRow="0" w:firstColumn="1" w:lastColumn="0" w:oddVBand="0" w:evenVBand="0" w:oddHBand="0" w:evenHBand="0" w:firstRowFirstColumn="0" w:firstRowLastColumn="0" w:lastRowFirstColumn="0" w:lastRowLastColumn="0"/>
            <w:tcW w:w="1191" w:type="dxa"/>
            <w:noWrap/>
            <w:vAlign w:val="center"/>
          </w:tcPr>
          <w:p w14:paraId="0CC586F8" w14:textId="77777777" w:rsidR="00E662AE" w:rsidRPr="0003036D" w:rsidRDefault="00E662AE" w:rsidP="00E63271">
            <w:pPr>
              <w:spacing w:line="240" w:lineRule="auto"/>
              <w:ind w:firstLine="0"/>
              <w:jc w:val="center"/>
              <w:rPr>
                <w:rFonts w:cs="Times New Roman"/>
                <w:b w:val="0"/>
                <w:bCs w:val="0"/>
                <w:sz w:val="20"/>
                <w:lang w:val="en-US"/>
              </w:rPr>
            </w:pPr>
            <w:r w:rsidRPr="0003036D">
              <w:rPr>
                <w:rFonts w:cs="Times New Roman"/>
                <w:b w:val="0"/>
                <w:bCs w:val="0"/>
                <w:sz w:val="20"/>
                <w:lang w:val="en-US"/>
              </w:rPr>
              <w:t>H</w:t>
            </w:r>
            <w:r w:rsidRPr="0003036D">
              <w:rPr>
                <w:rFonts w:cs="Times New Roman"/>
                <w:b w:val="0"/>
                <w:bCs w:val="0"/>
                <w:sz w:val="20"/>
                <w:vertAlign w:val="subscript"/>
                <w:lang w:val="en-US"/>
              </w:rPr>
              <w:t>2</w:t>
            </w:r>
            <w:r w:rsidRPr="0003036D">
              <w:rPr>
                <w:rFonts w:cs="Times New Roman"/>
                <w:b w:val="0"/>
                <w:bCs w:val="0"/>
                <w:sz w:val="20"/>
                <w:lang w:val="en-US"/>
              </w:rPr>
              <w:t>O</w:t>
            </w:r>
          </w:p>
        </w:tc>
        <w:tc>
          <w:tcPr>
            <w:tcW w:w="2065" w:type="dxa"/>
            <w:vAlign w:val="center"/>
          </w:tcPr>
          <w:p w14:paraId="10D796A9" w14:textId="77777777" w:rsidR="00E662AE" w:rsidRPr="0003036D" w:rsidRDefault="00E662AE" w:rsidP="00E63271">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rPr>
            </w:pPr>
            <w:r w:rsidRPr="0003036D">
              <w:rPr>
                <w:rFonts w:cs="Times New Roman"/>
                <w:color w:val="000000"/>
                <w:sz w:val="20"/>
              </w:rPr>
              <w:t>40.7 – 48.4</w:t>
            </w:r>
          </w:p>
        </w:tc>
      </w:tr>
    </w:tbl>
    <w:p w14:paraId="5532C19A" w14:textId="77777777" w:rsidR="00E662AE" w:rsidRPr="00E662AE" w:rsidRDefault="00E662AE" w:rsidP="00E662AE">
      <w:pPr>
        <w:rPr>
          <w:lang w:val="en-US"/>
        </w:rPr>
      </w:pPr>
    </w:p>
    <w:p w14:paraId="7006CA5D" w14:textId="4BCFB497" w:rsidR="009F0240" w:rsidRPr="006922B2" w:rsidRDefault="00BC09A2" w:rsidP="007D0A82">
      <w:pPr>
        <w:pStyle w:val="Titolo3"/>
        <w:numPr>
          <w:ilvl w:val="1"/>
          <w:numId w:val="2"/>
        </w:numPr>
        <w:rPr>
          <w:color w:val="4F81BD" w:themeColor="accent1"/>
          <w:lang w:val="en-US"/>
        </w:rPr>
      </w:pPr>
      <w:r w:rsidRPr="006922B2">
        <w:rPr>
          <w:color w:val="4F81BD" w:themeColor="accent1"/>
          <w:lang w:val="en-US"/>
        </w:rPr>
        <w:t>Lab characterization</w:t>
      </w:r>
    </w:p>
    <w:p w14:paraId="252AF5AD" w14:textId="2D76B402" w:rsidR="00E662AE" w:rsidRDefault="00E662AE" w:rsidP="00E662AE">
      <w:pPr>
        <w:rPr>
          <w:lang w:val="en-US"/>
        </w:rPr>
      </w:pPr>
      <w:r w:rsidRPr="006923B5">
        <w:rPr>
          <w:lang w:val="en-US"/>
        </w:rPr>
        <w:t xml:space="preserve">The main parameters of the fuel, oxygen and cooling air streams used in the test </w:t>
      </w:r>
      <w:r w:rsidRPr="00680ECD">
        <w:rPr>
          <w:noProof/>
          <w:lang w:val="en-US"/>
        </w:rPr>
        <w:t>are summarized</w:t>
      </w:r>
      <w:r w:rsidRPr="006923B5">
        <w:rPr>
          <w:lang w:val="en-US"/>
        </w:rPr>
        <w:t xml:space="preserve"> in </w:t>
      </w:r>
      <w:r w:rsidR="00450807" w:rsidRPr="006923B5">
        <w:rPr>
          <w:lang w:val="en-US"/>
        </w:rPr>
        <w:fldChar w:fldCharType="begin"/>
      </w:r>
      <w:r w:rsidR="00450807" w:rsidRPr="006923B5">
        <w:rPr>
          <w:lang w:val="en-US"/>
        </w:rPr>
        <w:instrText xml:space="preserve"> REF _Ref469580125 \h </w:instrText>
      </w:r>
      <w:r w:rsidR="00450807" w:rsidRPr="006923B5">
        <w:rPr>
          <w:lang w:val="en-US"/>
        </w:rPr>
      </w:r>
      <w:r w:rsidR="00450807" w:rsidRPr="006923B5">
        <w:rPr>
          <w:lang w:val="en-US"/>
        </w:rPr>
        <w:fldChar w:fldCharType="separate"/>
      </w:r>
      <w:r w:rsidR="00450807" w:rsidRPr="006923B5">
        <w:t>Table 3</w:t>
      </w:r>
      <w:r w:rsidR="00450807" w:rsidRPr="006923B5">
        <w:rPr>
          <w:lang w:val="en-US"/>
        </w:rPr>
        <w:fldChar w:fldCharType="end"/>
      </w:r>
      <w:r w:rsidRPr="006923B5">
        <w:rPr>
          <w:lang w:val="en-US"/>
        </w:rPr>
        <w:t xml:space="preserve">. During the </w:t>
      </w:r>
      <w:r w:rsidRPr="00680ECD">
        <w:rPr>
          <w:noProof/>
          <w:lang w:val="en-US"/>
        </w:rPr>
        <w:t>experiment</w:t>
      </w:r>
      <w:r w:rsidR="00680ECD">
        <w:rPr>
          <w:noProof/>
          <w:lang w:val="en-US"/>
        </w:rPr>
        <w:t>,</w:t>
      </w:r>
      <w:r w:rsidRPr="006923B5">
        <w:rPr>
          <w:lang w:val="en-US"/>
        </w:rPr>
        <w:t xml:space="preserve"> the temperatures T1, T2, T3 were measured by thermocouples installed in three ports. Moreover</w:t>
      </w:r>
      <w:r w:rsidR="00917793" w:rsidRPr="006923B5">
        <w:rPr>
          <w:lang w:val="en-US"/>
        </w:rPr>
        <w:t>,</w:t>
      </w:r>
      <w:r w:rsidRPr="006923B5">
        <w:rPr>
          <w:lang w:val="en-US"/>
        </w:rPr>
        <w:t xml:space="preserve"> the exhaust gas composition, oxygen flow </w:t>
      </w:r>
      <w:r w:rsidRPr="00680ECD">
        <w:rPr>
          <w:noProof/>
          <w:lang w:val="en-US"/>
        </w:rPr>
        <w:t>rate</w:t>
      </w:r>
      <w:r w:rsidR="00680ECD">
        <w:rPr>
          <w:noProof/>
          <w:lang w:val="en-US"/>
        </w:rPr>
        <w:t>,</w:t>
      </w:r>
      <w:r w:rsidRPr="006923B5">
        <w:rPr>
          <w:lang w:val="en-US"/>
        </w:rPr>
        <w:t xml:space="preserve"> and cooling system load were register</w:t>
      </w:r>
      <w:r>
        <w:rPr>
          <w:lang w:val="en-US"/>
        </w:rPr>
        <w:t xml:space="preserve">ed. </w:t>
      </w:r>
    </w:p>
    <w:p w14:paraId="6B195663" w14:textId="30D12E3B" w:rsidR="00450807" w:rsidRPr="00450807" w:rsidRDefault="00450807" w:rsidP="00450807">
      <w:pPr>
        <w:pStyle w:val="Didascalia"/>
      </w:pPr>
      <w:bookmarkStart w:id="5" w:name="_Ref469580125"/>
      <w:r w:rsidRPr="00450807">
        <w:t xml:space="preserve">Table </w:t>
      </w:r>
      <w:r w:rsidRPr="00450807">
        <w:fldChar w:fldCharType="begin"/>
      </w:r>
      <w:r w:rsidRPr="00450807">
        <w:instrText xml:space="preserve"> SEQ Table \* ARABIC </w:instrText>
      </w:r>
      <w:r w:rsidRPr="00450807">
        <w:fldChar w:fldCharType="separate"/>
      </w:r>
      <w:r w:rsidR="008D619E">
        <w:rPr>
          <w:noProof/>
        </w:rPr>
        <w:t>3</w:t>
      </w:r>
      <w:r w:rsidRPr="00450807">
        <w:fldChar w:fldCharType="end"/>
      </w:r>
      <w:bookmarkEnd w:id="5"/>
      <w:r w:rsidRPr="00450807">
        <w:t xml:space="preserve">. Main parameters of the test – </w:t>
      </w:r>
      <w:r w:rsidRPr="00680ECD">
        <w:rPr>
          <w:noProof/>
        </w:rPr>
        <w:t>nominal</w:t>
      </w:r>
      <w:r w:rsidRPr="00450807">
        <w:t xml:space="preserve"> case.</w:t>
      </w:r>
    </w:p>
    <w:tbl>
      <w:tblPr>
        <w:tblStyle w:val="ListTable3-Accent11"/>
        <w:tblW w:w="0" w:type="auto"/>
        <w:jc w:val="center"/>
        <w:tblLook w:val="04A0" w:firstRow="1" w:lastRow="0" w:firstColumn="1" w:lastColumn="0" w:noHBand="0" w:noVBand="1"/>
      </w:tblPr>
      <w:tblGrid>
        <w:gridCol w:w="2898"/>
        <w:gridCol w:w="893"/>
        <w:gridCol w:w="1134"/>
      </w:tblGrid>
      <w:tr w:rsidR="006922B2" w:rsidRPr="008D619E" w14:paraId="52A288D9" w14:textId="77777777" w:rsidTr="008D619E">
        <w:trPr>
          <w:cnfStyle w:val="100000000000" w:firstRow="1" w:lastRow="0" w:firstColumn="0" w:lastColumn="0" w:oddVBand="0" w:evenVBand="0" w:oddHBand="0" w:evenHBand="0" w:firstRowFirstColumn="0" w:firstRowLastColumn="0" w:lastRowFirstColumn="0" w:lastRowLastColumn="0"/>
          <w:trHeight w:val="340"/>
          <w:jc w:val="center"/>
        </w:trPr>
        <w:tc>
          <w:tcPr>
            <w:cnfStyle w:val="001000000100" w:firstRow="0" w:lastRow="0" w:firstColumn="1" w:lastColumn="0" w:oddVBand="0" w:evenVBand="0" w:oddHBand="0" w:evenHBand="0" w:firstRowFirstColumn="1" w:firstRowLastColumn="0" w:lastRowFirstColumn="0" w:lastRowLastColumn="0"/>
            <w:tcW w:w="2898" w:type="dxa"/>
            <w:noWrap/>
            <w:vAlign w:val="center"/>
            <w:hideMark/>
          </w:tcPr>
          <w:p w14:paraId="66B8D096" w14:textId="77777777" w:rsidR="00E662AE" w:rsidRPr="008D619E" w:rsidRDefault="00E662AE" w:rsidP="008D619E">
            <w:pPr>
              <w:pStyle w:val="Table"/>
              <w:spacing w:line="240" w:lineRule="auto"/>
              <w:rPr>
                <w:color w:val="FFFFFF" w:themeColor="background1"/>
                <w:sz w:val="20"/>
              </w:rPr>
            </w:pPr>
            <w:r w:rsidRPr="008D619E">
              <w:rPr>
                <w:color w:val="FFFFFF" w:themeColor="background1"/>
                <w:sz w:val="20"/>
              </w:rPr>
              <w:t>Parameter</w:t>
            </w:r>
          </w:p>
        </w:tc>
        <w:tc>
          <w:tcPr>
            <w:tcW w:w="893" w:type="dxa"/>
            <w:vAlign w:val="center"/>
          </w:tcPr>
          <w:p w14:paraId="5B270A8B" w14:textId="77777777" w:rsidR="00E662AE" w:rsidRPr="008D619E" w:rsidRDefault="00E662AE" w:rsidP="008D619E">
            <w:pPr>
              <w:pStyle w:val="Table"/>
              <w:spacing w:line="240" w:lineRule="auto"/>
              <w:cnfStyle w:val="100000000000" w:firstRow="1" w:lastRow="0" w:firstColumn="0" w:lastColumn="0" w:oddVBand="0" w:evenVBand="0" w:oddHBand="0" w:evenHBand="0" w:firstRowFirstColumn="0" w:firstRowLastColumn="0" w:lastRowFirstColumn="0" w:lastRowLastColumn="0"/>
              <w:rPr>
                <w:color w:val="FFFFFF" w:themeColor="background1"/>
                <w:sz w:val="20"/>
              </w:rPr>
            </w:pPr>
            <w:r w:rsidRPr="008D619E">
              <w:rPr>
                <w:color w:val="FFFFFF" w:themeColor="background1"/>
                <w:sz w:val="20"/>
              </w:rPr>
              <w:t>Unit</w:t>
            </w:r>
          </w:p>
        </w:tc>
        <w:tc>
          <w:tcPr>
            <w:tcW w:w="1134" w:type="dxa"/>
            <w:noWrap/>
            <w:vAlign w:val="center"/>
            <w:hideMark/>
          </w:tcPr>
          <w:p w14:paraId="03CC6099" w14:textId="304CF63D" w:rsidR="00E662AE" w:rsidRPr="008D619E" w:rsidRDefault="00E662AE" w:rsidP="008D619E">
            <w:pPr>
              <w:pStyle w:val="Table"/>
              <w:spacing w:line="240" w:lineRule="auto"/>
              <w:cnfStyle w:val="100000000000" w:firstRow="1" w:lastRow="0" w:firstColumn="0" w:lastColumn="0" w:oddVBand="0" w:evenVBand="0" w:oddHBand="0" w:evenHBand="0" w:firstRowFirstColumn="0" w:firstRowLastColumn="0" w:lastRowFirstColumn="0" w:lastRowLastColumn="0"/>
              <w:rPr>
                <w:color w:val="FFFFFF" w:themeColor="background1"/>
                <w:sz w:val="20"/>
              </w:rPr>
            </w:pPr>
            <w:r w:rsidRPr="008D619E">
              <w:rPr>
                <w:color w:val="FFFFFF" w:themeColor="background1"/>
                <w:sz w:val="20"/>
              </w:rPr>
              <w:t>Value</w:t>
            </w:r>
          </w:p>
        </w:tc>
      </w:tr>
      <w:tr w:rsidR="00E662AE" w:rsidRPr="008D619E" w14:paraId="3BA43352" w14:textId="77777777" w:rsidTr="00450807">
        <w:trPr>
          <w:cnfStyle w:val="000000100000" w:firstRow="0" w:lastRow="0" w:firstColumn="0" w:lastColumn="0" w:oddVBand="0" w:evenVBand="0" w:oddHBand="1"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2898" w:type="dxa"/>
            <w:noWrap/>
            <w:vAlign w:val="center"/>
            <w:hideMark/>
          </w:tcPr>
          <w:p w14:paraId="4068E0AC" w14:textId="77777777" w:rsidR="00E662AE" w:rsidRPr="008D619E" w:rsidRDefault="00E662AE" w:rsidP="006922B2">
            <w:pPr>
              <w:pStyle w:val="Table"/>
              <w:spacing w:line="240" w:lineRule="auto"/>
              <w:rPr>
                <w:i/>
                <w:sz w:val="20"/>
              </w:rPr>
            </w:pPr>
            <w:r w:rsidRPr="008D619E">
              <w:rPr>
                <w:i/>
                <w:sz w:val="20"/>
              </w:rPr>
              <w:t>Fuel (off-anode gas)</w:t>
            </w:r>
          </w:p>
        </w:tc>
        <w:tc>
          <w:tcPr>
            <w:tcW w:w="893" w:type="dxa"/>
            <w:vAlign w:val="center"/>
          </w:tcPr>
          <w:p w14:paraId="127FF949" w14:textId="77777777" w:rsidR="00E662AE" w:rsidRPr="008D619E" w:rsidRDefault="00E662AE" w:rsidP="006922B2">
            <w:pPr>
              <w:pStyle w:val="Table"/>
              <w:spacing w:line="240" w:lineRule="auto"/>
              <w:cnfStyle w:val="000000100000" w:firstRow="0" w:lastRow="0" w:firstColumn="0" w:lastColumn="0" w:oddVBand="0" w:evenVBand="0" w:oddHBand="1" w:evenHBand="0" w:firstRowFirstColumn="0" w:firstRowLastColumn="0" w:lastRowFirstColumn="0" w:lastRowLastColumn="0"/>
              <w:rPr>
                <w:sz w:val="20"/>
              </w:rPr>
            </w:pPr>
          </w:p>
        </w:tc>
        <w:tc>
          <w:tcPr>
            <w:tcW w:w="1134" w:type="dxa"/>
            <w:noWrap/>
            <w:vAlign w:val="center"/>
            <w:hideMark/>
          </w:tcPr>
          <w:p w14:paraId="528B0DFB" w14:textId="77777777" w:rsidR="00E662AE" w:rsidRPr="008D619E" w:rsidRDefault="00E662AE" w:rsidP="006922B2">
            <w:pPr>
              <w:pStyle w:val="Table"/>
              <w:spacing w:line="240" w:lineRule="auto"/>
              <w:cnfStyle w:val="000000100000" w:firstRow="0" w:lastRow="0" w:firstColumn="0" w:lastColumn="0" w:oddVBand="0" w:evenVBand="0" w:oddHBand="1" w:evenHBand="0" w:firstRowFirstColumn="0" w:firstRowLastColumn="0" w:lastRowFirstColumn="0" w:lastRowLastColumn="0"/>
              <w:rPr>
                <w:sz w:val="20"/>
              </w:rPr>
            </w:pPr>
          </w:p>
        </w:tc>
      </w:tr>
      <w:tr w:rsidR="00E662AE" w:rsidRPr="008D619E" w14:paraId="1816F1D6" w14:textId="77777777" w:rsidTr="00450807">
        <w:trPr>
          <w:trHeight w:val="283"/>
          <w:jc w:val="center"/>
        </w:trPr>
        <w:tc>
          <w:tcPr>
            <w:cnfStyle w:val="001000000000" w:firstRow="0" w:lastRow="0" w:firstColumn="1" w:lastColumn="0" w:oddVBand="0" w:evenVBand="0" w:oddHBand="0" w:evenHBand="0" w:firstRowFirstColumn="0" w:firstRowLastColumn="0" w:lastRowFirstColumn="0" w:lastRowLastColumn="0"/>
            <w:tcW w:w="2898" w:type="dxa"/>
            <w:noWrap/>
            <w:vAlign w:val="center"/>
            <w:hideMark/>
          </w:tcPr>
          <w:p w14:paraId="2551A22A" w14:textId="77777777" w:rsidR="00E662AE" w:rsidRPr="008D619E" w:rsidRDefault="00E662AE" w:rsidP="006922B2">
            <w:pPr>
              <w:pStyle w:val="Table"/>
              <w:spacing w:line="240" w:lineRule="auto"/>
              <w:rPr>
                <w:b w:val="0"/>
                <w:sz w:val="20"/>
              </w:rPr>
            </w:pPr>
            <w:r w:rsidRPr="008D619E">
              <w:rPr>
                <w:b w:val="0"/>
                <w:sz w:val="20"/>
              </w:rPr>
              <w:t>Composition (vol.)</w:t>
            </w:r>
          </w:p>
        </w:tc>
        <w:tc>
          <w:tcPr>
            <w:tcW w:w="893" w:type="dxa"/>
            <w:vAlign w:val="center"/>
          </w:tcPr>
          <w:p w14:paraId="47C6E2C6" w14:textId="77777777" w:rsidR="00E662AE" w:rsidRPr="008D619E" w:rsidRDefault="00E662AE" w:rsidP="006922B2">
            <w:pPr>
              <w:pStyle w:val="Table"/>
              <w:spacing w:line="240" w:lineRule="auto"/>
              <w:cnfStyle w:val="000000000000" w:firstRow="0" w:lastRow="0" w:firstColumn="0" w:lastColumn="0" w:oddVBand="0" w:evenVBand="0" w:oddHBand="0" w:evenHBand="0" w:firstRowFirstColumn="0" w:firstRowLastColumn="0" w:lastRowFirstColumn="0" w:lastRowLastColumn="0"/>
              <w:rPr>
                <w:sz w:val="20"/>
              </w:rPr>
            </w:pPr>
          </w:p>
        </w:tc>
        <w:tc>
          <w:tcPr>
            <w:tcW w:w="1134" w:type="dxa"/>
            <w:noWrap/>
            <w:vAlign w:val="center"/>
            <w:hideMark/>
          </w:tcPr>
          <w:p w14:paraId="33F6A4A4" w14:textId="77777777" w:rsidR="00E662AE" w:rsidRPr="008D619E" w:rsidRDefault="00E662AE" w:rsidP="006922B2">
            <w:pPr>
              <w:pStyle w:val="Table"/>
              <w:spacing w:line="240" w:lineRule="auto"/>
              <w:cnfStyle w:val="000000000000" w:firstRow="0" w:lastRow="0" w:firstColumn="0" w:lastColumn="0" w:oddVBand="0" w:evenVBand="0" w:oddHBand="0" w:evenHBand="0" w:firstRowFirstColumn="0" w:firstRowLastColumn="0" w:lastRowFirstColumn="0" w:lastRowLastColumn="0"/>
              <w:rPr>
                <w:sz w:val="20"/>
              </w:rPr>
            </w:pPr>
          </w:p>
        </w:tc>
      </w:tr>
      <w:tr w:rsidR="00E662AE" w:rsidRPr="008D619E" w14:paraId="14DF874E" w14:textId="77777777" w:rsidTr="00450807">
        <w:trPr>
          <w:cnfStyle w:val="000000100000" w:firstRow="0" w:lastRow="0" w:firstColumn="0" w:lastColumn="0" w:oddVBand="0" w:evenVBand="0" w:oddHBand="1"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2898" w:type="dxa"/>
            <w:noWrap/>
            <w:vAlign w:val="center"/>
          </w:tcPr>
          <w:p w14:paraId="43485271" w14:textId="75BC00FC" w:rsidR="00E662AE" w:rsidRPr="008D619E" w:rsidRDefault="00E662AE" w:rsidP="006922B2">
            <w:pPr>
              <w:pStyle w:val="Table"/>
              <w:spacing w:line="240" w:lineRule="auto"/>
              <w:rPr>
                <w:b w:val="0"/>
                <w:sz w:val="20"/>
                <w:lang w:val="en-US"/>
              </w:rPr>
            </w:pPr>
            <w:r w:rsidRPr="008D619E">
              <w:rPr>
                <w:b w:val="0"/>
                <w:sz w:val="20"/>
                <w:lang w:val="en-US"/>
              </w:rPr>
              <w:t>CO</w:t>
            </w:r>
            <w:r w:rsidRPr="008D619E">
              <w:rPr>
                <w:b w:val="0"/>
                <w:sz w:val="20"/>
                <w:vertAlign w:val="subscript"/>
                <w:lang w:val="en-US"/>
              </w:rPr>
              <w:t>2</w:t>
            </w:r>
          </w:p>
        </w:tc>
        <w:tc>
          <w:tcPr>
            <w:tcW w:w="893" w:type="dxa"/>
            <w:vAlign w:val="center"/>
          </w:tcPr>
          <w:p w14:paraId="488F9FA1" w14:textId="77777777" w:rsidR="00E662AE" w:rsidRPr="008D619E" w:rsidRDefault="00E662AE" w:rsidP="006922B2">
            <w:pPr>
              <w:pStyle w:val="Table"/>
              <w:spacing w:line="240" w:lineRule="auto"/>
              <w:cnfStyle w:val="000000100000" w:firstRow="0" w:lastRow="0" w:firstColumn="0" w:lastColumn="0" w:oddVBand="0" w:evenVBand="0" w:oddHBand="1" w:evenHBand="0" w:firstRowFirstColumn="0" w:firstRowLastColumn="0" w:lastRowFirstColumn="0" w:lastRowLastColumn="0"/>
              <w:rPr>
                <w:sz w:val="20"/>
              </w:rPr>
            </w:pPr>
            <w:r w:rsidRPr="008D619E">
              <w:rPr>
                <w:sz w:val="20"/>
              </w:rPr>
              <w:t>%</w:t>
            </w:r>
          </w:p>
        </w:tc>
        <w:tc>
          <w:tcPr>
            <w:tcW w:w="1134" w:type="dxa"/>
            <w:noWrap/>
            <w:vAlign w:val="center"/>
          </w:tcPr>
          <w:p w14:paraId="48EBB084" w14:textId="77777777" w:rsidR="00E662AE" w:rsidRPr="008D619E" w:rsidRDefault="00E662AE" w:rsidP="006922B2">
            <w:pPr>
              <w:pStyle w:val="Table"/>
              <w:spacing w:line="240" w:lineRule="auto"/>
              <w:cnfStyle w:val="000000100000" w:firstRow="0" w:lastRow="0" w:firstColumn="0" w:lastColumn="0" w:oddVBand="0" w:evenVBand="0" w:oddHBand="1" w:evenHBand="0" w:firstRowFirstColumn="0" w:firstRowLastColumn="0" w:lastRowFirstColumn="0" w:lastRowLastColumn="0"/>
              <w:rPr>
                <w:sz w:val="20"/>
              </w:rPr>
            </w:pPr>
            <w:r w:rsidRPr="008D619E">
              <w:rPr>
                <w:sz w:val="20"/>
              </w:rPr>
              <w:t>34.6</w:t>
            </w:r>
          </w:p>
        </w:tc>
      </w:tr>
      <w:tr w:rsidR="00E662AE" w:rsidRPr="008D619E" w14:paraId="256D3AC5" w14:textId="77777777" w:rsidTr="00450807">
        <w:trPr>
          <w:trHeight w:val="283"/>
          <w:jc w:val="center"/>
        </w:trPr>
        <w:tc>
          <w:tcPr>
            <w:cnfStyle w:val="001000000000" w:firstRow="0" w:lastRow="0" w:firstColumn="1" w:lastColumn="0" w:oddVBand="0" w:evenVBand="0" w:oddHBand="0" w:evenHBand="0" w:firstRowFirstColumn="0" w:firstRowLastColumn="0" w:lastRowFirstColumn="0" w:lastRowLastColumn="0"/>
            <w:tcW w:w="2898" w:type="dxa"/>
            <w:noWrap/>
            <w:vAlign w:val="center"/>
          </w:tcPr>
          <w:p w14:paraId="5E567C86" w14:textId="487EC180" w:rsidR="00E662AE" w:rsidRPr="008D619E" w:rsidRDefault="00E662AE" w:rsidP="006922B2">
            <w:pPr>
              <w:pStyle w:val="Table"/>
              <w:spacing w:line="240" w:lineRule="auto"/>
              <w:rPr>
                <w:b w:val="0"/>
                <w:bCs/>
                <w:sz w:val="20"/>
                <w:lang w:val="en-US"/>
              </w:rPr>
            </w:pPr>
            <w:r w:rsidRPr="008D619E">
              <w:rPr>
                <w:b w:val="0"/>
                <w:bCs/>
                <w:sz w:val="20"/>
                <w:lang w:val="en-US"/>
              </w:rPr>
              <w:t>CO</w:t>
            </w:r>
          </w:p>
        </w:tc>
        <w:tc>
          <w:tcPr>
            <w:tcW w:w="893" w:type="dxa"/>
            <w:vAlign w:val="center"/>
          </w:tcPr>
          <w:p w14:paraId="36F3FB92" w14:textId="77777777" w:rsidR="00E662AE" w:rsidRPr="008D619E" w:rsidRDefault="00E662AE" w:rsidP="006922B2">
            <w:pPr>
              <w:pStyle w:val="Table"/>
              <w:spacing w:line="240" w:lineRule="auto"/>
              <w:cnfStyle w:val="000000000000" w:firstRow="0" w:lastRow="0" w:firstColumn="0" w:lastColumn="0" w:oddVBand="0" w:evenVBand="0" w:oddHBand="0" w:evenHBand="0" w:firstRowFirstColumn="0" w:firstRowLastColumn="0" w:lastRowFirstColumn="0" w:lastRowLastColumn="0"/>
              <w:rPr>
                <w:sz w:val="20"/>
              </w:rPr>
            </w:pPr>
            <w:r w:rsidRPr="008D619E">
              <w:rPr>
                <w:sz w:val="20"/>
              </w:rPr>
              <w:t>%</w:t>
            </w:r>
          </w:p>
        </w:tc>
        <w:tc>
          <w:tcPr>
            <w:tcW w:w="1134" w:type="dxa"/>
            <w:noWrap/>
            <w:vAlign w:val="center"/>
          </w:tcPr>
          <w:p w14:paraId="4906D02D" w14:textId="77777777" w:rsidR="00E662AE" w:rsidRPr="008D619E" w:rsidRDefault="00E662AE" w:rsidP="006922B2">
            <w:pPr>
              <w:pStyle w:val="Table"/>
              <w:spacing w:line="240" w:lineRule="auto"/>
              <w:cnfStyle w:val="000000000000" w:firstRow="0" w:lastRow="0" w:firstColumn="0" w:lastColumn="0" w:oddVBand="0" w:evenVBand="0" w:oddHBand="0" w:evenHBand="0" w:firstRowFirstColumn="0" w:firstRowLastColumn="0" w:lastRowFirstColumn="0" w:lastRowLastColumn="0"/>
              <w:rPr>
                <w:sz w:val="20"/>
              </w:rPr>
            </w:pPr>
            <w:r w:rsidRPr="008D619E">
              <w:rPr>
                <w:sz w:val="20"/>
              </w:rPr>
              <w:t>8.9</w:t>
            </w:r>
          </w:p>
        </w:tc>
      </w:tr>
      <w:tr w:rsidR="00E662AE" w:rsidRPr="008D619E" w14:paraId="236E1166" w14:textId="77777777" w:rsidTr="00450807">
        <w:trPr>
          <w:cnfStyle w:val="000000100000" w:firstRow="0" w:lastRow="0" w:firstColumn="0" w:lastColumn="0" w:oddVBand="0" w:evenVBand="0" w:oddHBand="1"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2898" w:type="dxa"/>
            <w:noWrap/>
            <w:vAlign w:val="center"/>
          </w:tcPr>
          <w:p w14:paraId="6A746B09" w14:textId="2C2A1229" w:rsidR="00E662AE" w:rsidRPr="008D619E" w:rsidRDefault="00E662AE" w:rsidP="006922B2">
            <w:pPr>
              <w:pStyle w:val="Table"/>
              <w:spacing w:line="240" w:lineRule="auto"/>
              <w:rPr>
                <w:b w:val="0"/>
                <w:bCs/>
                <w:sz w:val="20"/>
                <w:lang w:val="en-US"/>
              </w:rPr>
            </w:pPr>
            <w:r w:rsidRPr="008D619E">
              <w:rPr>
                <w:b w:val="0"/>
                <w:bCs/>
                <w:sz w:val="20"/>
                <w:lang w:val="en-US"/>
              </w:rPr>
              <w:t>H</w:t>
            </w:r>
            <w:r w:rsidRPr="008D619E">
              <w:rPr>
                <w:b w:val="0"/>
                <w:bCs/>
                <w:sz w:val="20"/>
                <w:vertAlign w:val="subscript"/>
                <w:lang w:val="en-US"/>
              </w:rPr>
              <w:t>2</w:t>
            </w:r>
          </w:p>
        </w:tc>
        <w:tc>
          <w:tcPr>
            <w:tcW w:w="893" w:type="dxa"/>
            <w:vAlign w:val="center"/>
          </w:tcPr>
          <w:p w14:paraId="0F3B1F73" w14:textId="77777777" w:rsidR="00E662AE" w:rsidRPr="008D619E" w:rsidRDefault="00E662AE" w:rsidP="006922B2">
            <w:pPr>
              <w:pStyle w:val="Table"/>
              <w:spacing w:line="240" w:lineRule="auto"/>
              <w:cnfStyle w:val="000000100000" w:firstRow="0" w:lastRow="0" w:firstColumn="0" w:lastColumn="0" w:oddVBand="0" w:evenVBand="0" w:oddHBand="1" w:evenHBand="0" w:firstRowFirstColumn="0" w:firstRowLastColumn="0" w:lastRowFirstColumn="0" w:lastRowLastColumn="0"/>
              <w:rPr>
                <w:sz w:val="20"/>
              </w:rPr>
            </w:pPr>
            <w:r w:rsidRPr="008D619E">
              <w:rPr>
                <w:sz w:val="20"/>
              </w:rPr>
              <w:t>%</w:t>
            </w:r>
          </w:p>
        </w:tc>
        <w:tc>
          <w:tcPr>
            <w:tcW w:w="1134" w:type="dxa"/>
            <w:noWrap/>
            <w:vAlign w:val="center"/>
          </w:tcPr>
          <w:p w14:paraId="6A3236D2" w14:textId="77777777" w:rsidR="00E662AE" w:rsidRPr="008D619E" w:rsidRDefault="00E662AE" w:rsidP="006922B2">
            <w:pPr>
              <w:pStyle w:val="Table"/>
              <w:spacing w:line="240" w:lineRule="auto"/>
              <w:cnfStyle w:val="000000100000" w:firstRow="0" w:lastRow="0" w:firstColumn="0" w:lastColumn="0" w:oddVBand="0" w:evenVBand="0" w:oddHBand="1" w:evenHBand="0" w:firstRowFirstColumn="0" w:firstRowLastColumn="0" w:lastRowFirstColumn="0" w:lastRowLastColumn="0"/>
              <w:rPr>
                <w:sz w:val="20"/>
              </w:rPr>
            </w:pPr>
            <w:r w:rsidRPr="008D619E">
              <w:rPr>
                <w:sz w:val="20"/>
              </w:rPr>
              <w:t>8.1</w:t>
            </w:r>
          </w:p>
        </w:tc>
      </w:tr>
      <w:tr w:rsidR="00E662AE" w:rsidRPr="008D619E" w14:paraId="74482878" w14:textId="77777777" w:rsidTr="00450807">
        <w:trPr>
          <w:trHeight w:val="283"/>
          <w:jc w:val="center"/>
        </w:trPr>
        <w:tc>
          <w:tcPr>
            <w:cnfStyle w:val="001000000000" w:firstRow="0" w:lastRow="0" w:firstColumn="1" w:lastColumn="0" w:oddVBand="0" w:evenVBand="0" w:oddHBand="0" w:evenHBand="0" w:firstRowFirstColumn="0" w:firstRowLastColumn="0" w:lastRowFirstColumn="0" w:lastRowLastColumn="0"/>
            <w:tcW w:w="2898" w:type="dxa"/>
            <w:noWrap/>
            <w:vAlign w:val="center"/>
          </w:tcPr>
          <w:p w14:paraId="509E3A3D" w14:textId="65077194" w:rsidR="00E662AE" w:rsidRPr="008D619E" w:rsidRDefault="00E662AE" w:rsidP="006922B2">
            <w:pPr>
              <w:pStyle w:val="Table"/>
              <w:spacing w:line="240" w:lineRule="auto"/>
              <w:rPr>
                <w:b w:val="0"/>
                <w:bCs/>
                <w:sz w:val="20"/>
                <w:lang w:val="en-US"/>
              </w:rPr>
            </w:pPr>
            <w:r w:rsidRPr="008D619E">
              <w:rPr>
                <w:b w:val="0"/>
                <w:bCs/>
                <w:sz w:val="20"/>
                <w:lang w:val="en-US"/>
              </w:rPr>
              <w:t>H</w:t>
            </w:r>
            <w:r w:rsidRPr="008D619E">
              <w:rPr>
                <w:b w:val="0"/>
                <w:bCs/>
                <w:sz w:val="20"/>
                <w:vertAlign w:val="subscript"/>
                <w:lang w:val="en-US"/>
              </w:rPr>
              <w:t>2</w:t>
            </w:r>
            <w:r w:rsidRPr="008D619E">
              <w:rPr>
                <w:b w:val="0"/>
                <w:bCs/>
                <w:sz w:val="20"/>
                <w:lang w:val="en-US"/>
              </w:rPr>
              <w:t>O</w:t>
            </w:r>
          </w:p>
        </w:tc>
        <w:tc>
          <w:tcPr>
            <w:tcW w:w="893" w:type="dxa"/>
            <w:vAlign w:val="center"/>
          </w:tcPr>
          <w:p w14:paraId="612D1B3D" w14:textId="77777777" w:rsidR="00E662AE" w:rsidRPr="008D619E" w:rsidRDefault="00E662AE" w:rsidP="006922B2">
            <w:pPr>
              <w:pStyle w:val="Table"/>
              <w:spacing w:line="240" w:lineRule="auto"/>
              <w:cnfStyle w:val="000000000000" w:firstRow="0" w:lastRow="0" w:firstColumn="0" w:lastColumn="0" w:oddVBand="0" w:evenVBand="0" w:oddHBand="0" w:evenHBand="0" w:firstRowFirstColumn="0" w:firstRowLastColumn="0" w:lastRowFirstColumn="0" w:lastRowLastColumn="0"/>
              <w:rPr>
                <w:sz w:val="20"/>
              </w:rPr>
            </w:pPr>
            <w:r w:rsidRPr="008D619E">
              <w:rPr>
                <w:sz w:val="20"/>
              </w:rPr>
              <w:t>%</w:t>
            </w:r>
          </w:p>
        </w:tc>
        <w:tc>
          <w:tcPr>
            <w:tcW w:w="1134" w:type="dxa"/>
            <w:noWrap/>
            <w:vAlign w:val="center"/>
          </w:tcPr>
          <w:p w14:paraId="1A7ACE47" w14:textId="77777777" w:rsidR="00E662AE" w:rsidRPr="008D619E" w:rsidRDefault="00E662AE" w:rsidP="006922B2">
            <w:pPr>
              <w:pStyle w:val="Table"/>
              <w:spacing w:line="240" w:lineRule="auto"/>
              <w:cnfStyle w:val="000000000000" w:firstRow="0" w:lastRow="0" w:firstColumn="0" w:lastColumn="0" w:oddVBand="0" w:evenVBand="0" w:oddHBand="0" w:evenHBand="0" w:firstRowFirstColumn="0" w:firstRowLastColumn="0" w:lastRowFirstColumn="0" w:lastRowLastColumn="0"/>
              <w:rPr>
                <w:sz w:val="20"/>
              </w:rPr>
            </w:pPr>
            <w:r w:rsidRPr="008D619E">
              <w:rPr>
                <w:sz w:val="20"/>
              </w:rPr>
              <w:t>48.4</w:t>
            </w:r>
          </w:p>
        </w:tc>
      </w:tr>
      <w:tr w:rsidR="00E662AE" w:rsidRPr="008D619E" w14:paraId="10EF0359" w14:textId="77777777" w:rsidTr="00450807">
        <w:trPr>
          <w:cnfStyle w:val="000000100000" w:firstRow="0" w:lastRow="0" w:firstColumn="0" w:lastColumn="0" w:oddVBand="0" w:evenVBand="0" w:oddHBand="1"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2898" w:type="dxa"/>
            <w:noWrap/>
            <w:vAlign w:val="center"/>
          </w:tcPr>
          <w:p w14:paraId="0F458A05" w14:textId="77777777" w:rsidR="00E662AE" w:rsidRPr="008D619E" w:rsidRDefault="00E662AE" w:rsidP="006922B2">
            <w:pPr>
              <w:pStyle w:val="Table"/>
              <w:spacing w:line="240" w:lineRule="auto"/>
              <w:rPr>
                <w:b w:val="0"/>
                <w:bCs/>
                <w:sz w:val="20"/>
                <w:lang w:val="en-US"/>
              </w:rPr>
            </w:pPr>
            <w:r w:rsidRPr="008D619E">
              <w:rPr>
                <w:b w:val="0"/>
                <w:bCs/>
                <w:sz w:val="20"/>
                <w:lang w:val="en-US"/>
              </w:rPr>
              <w:t>Mass flow rate</w:t>
            </w:r>
          </w:p>
        </w:tc>
        <w:tc>
          <w:tcPr>
            <w:tcW w:w="893" w:type="dxa"/>
            <w:vAlign w:val="center"/>
          </w:tcPr>
          <w:p w14:paraId="79CC9032" w14:textId="77777777" w:rsidR="00E662AE" w:rsidRPr="008D619E" w:rsidRDefault="00E662AE" w:rsidP="006922B2">
            <w:pPr>
              <w:pStyle w:val="Table"/>
              <w:spacing w:line="240" w:lineRule="auto"/>
              <w:cnfStyle w:val="000000100000" w:firstRow="0" w:lastRow="0" w:firstColumn="0" w:lastColumn="0" w:oddVBand="0" w:evenVBand="0" w:oddHBand="1" w:evenHBand="0" w:firstRowFirstColumn="0" w:firstRowLastColumn="0" w:lastRowFirstColumn="0" w:lastRowLastColumn="0"/>
              <w:rPr>
                <w:sz w:val="20"/>
              </w:rPr>
            </w:pPr>
            <w:r w:rsidRPr="008D619E">
              <w:rPr>
                <w:sz w:val="20"/>
              </w:rPr>
              <w:t>kg/s</w:t>
            </w:r>
          </w:p>
        </w:tc>
        <w:tc>
          <w:tcPr>
            <w:tcW w:w="1134" w:type="dxa"/>
            <w:noWrap/>
            <w:vAlign w:val="center"/>
          </w:tcPr>
          <w:p w14:paraId="37C4B8B7" w14:textId="77777777" w:rsidR="00E662AE" w:rsidRPr="008D619E" w:rsidRDefault="00E662AE" w:rsidP="006922B2">
            <w:pPr>
              <w:pStyle w:val="Table"/>
              <w:spacing w:line="240" w:lineRule="auto"/>
              <w:cnfStyle w:val="000000100000" w:firstRow="0" w:lastRow="0" w:firstColumn="0" w:lastColumn="0" w:oddVBand="0" w:evenVBand="0" w:oddHBand="1" w:evenHBand="0" w:firstRowFirstColumn="0" w:firstRowLastColumn="0" w:lastRowFirstColumn="0" w:lastRowLastColumn="0"/>
              <w:rPr>
                <w:sz w:val="20"/>
              </w:rPr>
            </w:pPr>
            <w:r w:rsidRPr="008D619E">
              <w:rPr>
                <w:sz w:val="20"/>
              </w:rPr>
              <w:t>7.58e-4</w:t>
            </w:r>
          </w:p>
        </w:tc>
      </w:tr>
      <w:tr w:rsidR="00E662AE" w:rsidRPr="008D619E" w14:paraId="79D030CD" w14:textId="77777777" w:rsidTr="00450807">
        <w:trPr>
          <w:trHeight w:val="283"/>
          <w:jc w:val="center"/>
        </w:trPr>
        <w:tc>
          <w:tcPr>
            <w:cnfStyle w:val="001000000000" w:firstRow="0" w:lastRow="0" w:firstColumn="1" w:lastColumn="0" w:oddVBand="0" w:evenVBand="0" w:oddHBand="0" w:evenHBand="0" w:firstRowFirstColumn="0" w:firstRowLastColumn="0" w:lastRowFirstColumn="0" w:lastRowLastColumn="0"/>
            <w:tcW w:w="2898" w:type="dxa"/>
            <w:noWrap/>
            <w:vAlign w:val="center"/>
          </w:tcPr>
          <w:p w14:paraId="3C603005" w14:textId="77777777" w:rsidR="00E662AE" w:rsidRPr="008D619E" w:rsidRDefault="00E662AE" w:rsidP="006922B2">
            <w:pPr>
              <w:pStyle w:val="Table"/>
              <w:spacing w:line="240" w:lineRule="auto"/>
              <w:rPr>
                <w:b w:val="0"/>
                <w:bCs/>
                <w:sz w:val="20"/>
                <w:lang w:val="en-US"/>
              </w:rPr>
            </w:pPr>
            <w:r w:rsidRPr="008D619E">
              <w:rPr>
                <w:b w:val="0"/>
                <w:bCs/>
                <w:sz w:val="20"/>
                <w:lang w:val="en-US"/>
              </w:rPr>
              <w:t>Temperature</w:t>
            </w:r>
          </w:p>
        </w:tc>
        <w:tc>
          <w:tcPr>
            <w:tcW w:w="893" w:type="dxa"/>
            <w:vAlign w:val="center"/>
          </w:tcPr>
          <w:p w14:paraId="511EFC9E" w14:textId="77777777" w:rsidR="00E662AE" w:rsidRPr="008D619E" w:rsidRDefault="00E662AE" w:rsidP="006922B2">
            <w:pPr>
              <w:pStyle w:val="Table"/>
              <w:spacing w:line="240" w:lineRule="auto"/>
              <w:cnfStyle w:val="000000000000" w:firstRow="0" w:lastRow="0" w:firstColumn="0" w:lastColumn="0" w:oddVBand="0" w:evenVBand="0" w:oddHBand="0" w:evenHBand="0" w:firstRowFirstColumn="0" w:firstRowLastColumn="0" w:lastRowFirstColumn="0" w:lastRowLastColumn="0"/>
              <w:rPr>
                <w:sz w:val="20"/>
              </w:rPr>
            </w:pPr>
            <w:r w:rsidRPr="008D619E">
              <w:rPr>
                <w:sz w:val="20"/>
              </w:rPr>
              <w:t>°C</w:t>
            </w:r>
          </w:p>
        </w:tc>
        <w:tc>
          <w:tcPr>
            <w:tcW w:w="1134" w:type="dxa"/>
            <w:noWrap/>
            <w:vAlign w:val="center"/>
          </w:tcPr>
          <w:p w14:paraId="2CCE1A35" w14:textId="77777777" w:rsidR="00E662AE" w:rsidRPr="008D619E" w:rsidRDefault="00E662AE" w:rsidP="006922B2">
            <w:pPr>
              <w:pStyle w:val="Table"/>
              <w:spacing w:line="240" w:lineRule="auto"/>
              <w:cnfStyle w:val="000000000000" w:firstRow="0" w:lastRow="0" w:firstColumn="0" w:lastColumn="0" w:oddVBand="0" w:evenVBand="0" w:oddHBand="0" w:evenHBand="0" w:firstRowFirstColumn="0" w:firstRowLastColumn="0" w:lastRowFirstColumn="0" w:lastRowLastColumn="0"/>
              <w:rPr>
                <w:sz w:val="20"/>
              </w:rPr>
            </w:pPr>
            <w:r w:rsidRPr="008D619E">
              <w:rPr>
                <w:sz w:val="20"/>
              </w:rPr>
              <w:t>640</w:t>
            </w:r>
          </w:p>
        </w:tc>
      </w:tr>
      <w:tr w:rsidR="00E662AE" w:rsidRPr="008D619E" w14:paraId="686DB28E" w14:textId="77777777" w:rsidTr="00450807">
        <w:trPr>
          <w:cnfStyle w:val="000000100000" w:firstRow="0" w:lastRow="0" w:firstColumn="0" w:lastColumn="0" w:oddVBand="0" w:evenVBand="0" w:oddHBand="1"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2898" w:type="dxa"/>
            <w:noWrap/>
            <w:vAlign w:val="center"/>
          </w:tcPr>
          <w:p w14:paraId="42ED289A" w14:textId="77777777" w:rsidR="00E662AE" w:rsidRPr="008D619E" w:rsidRDefault="00E662AE" w:rsidP="006922B2">
            <w:pPr>
              <w:pStyle w:val="Table"/>
              <w:spacing w:line="240" w:lineRule="auto"/>
              <w:rPr>
                <w:bCs/>
                <w:i/>
                <w:sz w:val="20"/>
                <w:lang w:val="en-US"/>
              </w:rPr>
            </w:pPr>
            <w:r w:rsidRPr="008D619E">
              <w:rPr>
                <w:bCs/>
                <w:i/>
                <w:sz w:val="20"/>
                <w:lang w:val="en-US"/>
              </w:rPr>
              <w:t>Oxygen</w:t>
            </w:r>
          </w:p>
        </w:tc>
        <w:tc>
          <w:tcPr>
            <w:tcW w:w="893" w:type="dxa"/>
            <w:vAlign w:val="center"/>
          </w:tcPr>
          <w:p w14:paraId="1F3B66CD" w14:textId="77777777" w:rsidR="00E662AE" w:rsidRPr="008D619E" w:rsidRDefault="00E662AE" w:rsidP="006922B2">
            <w:pPr>
              <w:pStyle w:val="Table"/>
              <w:spacing w:line="240" w:lineRule="auto"/>
              <w:cnfStyle w:val="000000100000" w:firstRow="0" w:lastRow="0" w:firstColumn="0" w:lastColumn="0" w:oddVBand="0" w:evenVBand="0" w:oddHBand="1" w:evenHBand="0" w:firstRowFirstColumn="0" w:firstRowLastColumn="0" w:lastRowFirstColumn="0" w:lastRowLastColumn="0"/>
              <w:rPr>
                <w:sz w:val="20"/>
              </w:rPr>
            </w:pPr>
          </w:p>
        </w:tc>
        <w:tc>
          <w:tcPr>
            <w:tcW w:w="1134" w:type="dxa"/>
            <w:noWrap/>
            <w:vAlign w:val="center"/>
          </w:tcPr>
          <w:p w14:paraId="44E38B8E" w14:textId="77777777" w:rsidR="00E662AE" w:rsidRPr="008D619E" w:rsidRDefault="00E662AE" w:rsidP="006922B2">
            <w:pPr>
              <w:pStyle w:val="Table"/>
              <w:spacing w:line="240" w:lineRule="auto"/>
              <w:cnfStyle w:val="000000100000" w:firstRow="0" w:lastRow="0" w:firstColumn="0" w:lastColumn="0" w:oddVBand="0" w:evenVBand="0" w:oddHBand="1" w:evenHBand="0" w:firstRowFirstColumn="0" w:firstRowLastColumn="0" w:lastRowFirstColumn="0" w:lastRowLastColumn="0"/>
              <w:rPr>
                <w:sz w:val="20"/>
              </w:rPr>
            </w:pPr>
          </w:p>
        </w:tc>
      </w:tr>
      <w:tr w:rsidR="00E662AE" w:rsidRPr="008D619E" w14:paraId="3D8BB9FC" w14:textId="77777777" w:rsidTr="00450807">
        <w:trPr>
          <w:trHeight w:val="283"/>
          <w:jc w:val="center"/>
        </w:trPr>
        <w:tc>
          <w:tcPr>
            <w:cnfStyle w:val="001000000000" w:firstRow="0" w:lastRow="0" w:firstColumn="1" w:lastColumn="0" w:oddVBand="0" w:evenVBand="0" w:oddHBand="0" w:evenHBand="0" w:firstRowFirstColumn="0" w:firstRowLastColumn="0" w:lastRowFirstColumn="0" w:lastRowLastColumn="0"/>
            <w:tcW w:w="2898" w:type="dxa"/>
            <w:noWrap/>
            <w:vAlign w:val="center"/>
          </w:tcPr>
          <w:p w14:paraId="5367E7F9" w14:textId="77777777" w:rsidR="00E662AE" w:rsidRPr="008D619E" w:rsidRDefault="00E662AE" w:rsidP="006922B2">
            <w:pPr>
              <w:pStyle w:val="Table"/>
              <w:spacing w:line="240" w:lineRule="auto"/>
              <w:rPr>
                <w:b w:val="0"/>
                <w:bCs/>
                <w:sz w:val="20"/>
                <w:lang w:val="en-US"/>
              </w:rPr>
            </w:pPr>
            <w:r w:rsidRPr="008D619E">
              <w:rPr>
                <w:b w:val="0"/>
                <w:bCs/>
                <w:sz w:val="20"/>
                <w:lang w:val="en-US"/>
              </w:rPr>
              <w:t>Vol. flow rate</w:t>
            </w:r>
          </w:p>
        </w:tc>
        <w:tc>
          <w:tcPr>
            <w:tcW w:w="893" w:type="dxa"/>
            <w:vAlign w:val="center"/>
          </w:tcPr>
          <w:p w14:paraId="543B14FF" w14:textId="77777777" w:rsidR="00E662AE" w:rsidRPr="008D619E" w:rsidRDefault="00E662AE" w:rsidP="006922B2">
            <w:pPr>
              <w:pStyle w:val="Table"/>
              <w:spacing w:line="240" w:lineRule="auto"/>
              <w:cnfStyle w:val="000000000000" w:firstRow="0" w:lastRow="0" w:firstColumn="0" w:lastColumn="0" w:oddVBand="0" w:evenVBand="0" w:oddHBand="0" w:evenHBand="0" w:firstRowFirstColumn="0" w:firstRowLastColumn="0" w:lastRowFirstColumn="0" w:lastRowLastColumn="0"/>
              <w:rPr>
                <w:sz w:val="20"/>
              </w:rPr>
            </w:pPr>
            <w:r w:rsidRPr="008D619E">
              <w:rPr>
                <w:sz w:val="20"/>
              </w:rPr>
              <w:t>STL/h</w:t>
            </w:r>
          </w:p>
        </w:tc>
        <w:tc>
          <w:tcPr>
            <w:tcW w:w="1134" w:type="dxa"/>
            <w:noWrap/>
            <w:vAlign w:val="center"/>
          </w:tcPr>
          <w:p w14:paraId="79A156CC" w14:textId="77777777" w:rsidR="00E662AE" w:rsidRPr="008D619E" w:rsidRDefault="00E662AE" w:rsidP="006922B2">
            <w:pPr>
              <w:pStyle w:val="Table"/>
              <w:spacing w:line="240" w:lineRule="auto"/>
              <w:cnfStyle w:val="000000000000" w:firstRow="0" w:lastRow="0" w:firstColumn="0" w:lastColumn="0" w:oddVBand="0" w:evenVBand="0" w:oddHBand="0" w:evenHBand="0" w:firstRowFirstColumn="0" w:firstRowLastColumn="0" w:lastRowFirstColumn="0" w:lastRowLastColumn="0"/>
              <w:rPr>
                <w:sz w:val="20"/>
              </w:rPr>
            </w:pPr>
            <w:r w:rsidRPr="008D619E">
              <w:rPr>
                <w:sz w:val="20"/>
              </w:rPr>
              <w:t>201</w:t>
            </w:r>
          </w:p>
        </w:tc>
      </w:tr>
      <w:tr w:rsidR="00E662AE" w:rsidRPr="008D619E" w14:paraId="1E5B2C54" w14:textId="77777777" w:rsidTr="00450807">
        <w:trPr>
          <w:cnfStyle w:val="000000100000" w:firstRow="0" w:lastRow="0" w:firstColumn="0" w:lastColumn="0" w:oddVBand="0" w:evenVBand="0" w:oddHBand="1"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2898" w:type="dxa"/>
            <w:noWrap/>
            <w:vAlign w:val="center"/>
          </w:tcPr>
          <w:p w14:paraId="346AC559" w14:textId="77011DE9" w:rsidR="00E662AE" w:rsidRPr="008D619E" w:rsidRDefault="00E662AE" w:rsidP="006922B2">
            <w:pPr>
              <w:pStyle w:val="Table"/>
              <w:spacing w:line="240" w:lineRule="auto"/>
              <w:rPr>
                <w:b w:val="0"/>
                <w:bCs/>
                <w:sz w:val="20"/>
                <w:lang w:val="en-US"/>
              </w:rPr>
            </w:pPr>
            <w:r w:rsidRPr="008D619E">
              <w:rPr>
                <w:b w:val="0"/>
                <w:bCs/>
                <w:sz w:val="20"/>
                <w:lang w:val="en-US"/>
              </w:rPr>
              <w:t>Temperature</w:t>
            </w:r>
          </w:p>
        </w:tc>
        <w:tc>
          <w:tcPr>
            <w:tcW w:w="893" w:type="dxa"/>
            <w:vAlign w:val="center"/>
          </w:tcPr>
          <w:p w14:paraId="7F21C823" w14:textId="77777777" w:rsidR="00E662AE" w:rsidRPr="008D619E" w:rsidRDefault="00E662AE" w:rsidP="006922B2">
            <w:pPr>
              <w:pStyle w:val="Table"/>
              <w:spacing w:line="240" w:lineRule="auto"/>
              <w:cnfStyle w:val="000000100000" w:firstRow="0" w:lastRow="0" w:firstColumn="0" w:lastColumn="0" w:oddVBand="0" w:evenVBand="0" w:oddHBand="1" w:evenHBand="0" w:firstRowFirstColumn="0" w:firstRowLastColumn="0" w:lastRowFirstColumn="0" w:lastRowLastColumn="0"/>
              <w:rPr>
                <w:sz w:val="20"/>
              </w:rPr>
            </w:pPr>
            <w:r w:rsidRPr="008D619E">
              <w:rPr>
                <w:sz w:val="20"/>
              </w:rPr>
              <w:t>°C</w:t>
            </w:r>
          </w:p>
        </w:tc>
        <w:tc>
          <w:tcPr>
            <w:tcW w:w="1134" w:type="dxa"/>
            <w:noWrap/>
            <w:vAlign w:val="center"/>
          </w:tcPr>
          <w:p w14:paraId="4E07DAA1" w14:textId="77777777" w:rsidR="00E662AE" w:rsidRPr="008D619E" w:rsidRDefault="00E662AE" w:rsidP="006922B2">
            <w:pPr>
              <w:pStyle w:val="Table"/>
              <w:spacing w:line="240" w:lineRule="auto"/>
              <w:cnfStyle w:val="000000100000" w:firstRow="0" w:lastRow="0" w:firstColumn="0" w:lastColumn="0" w:oddVBand="0" w:evenVBand="0" w:oddHBand="1" w:evenHBand="0" w:firstRowFirstColumn="0" w:firstRowLastColumn="0" w:lastRowFirstColumn="0" w:lastRowLastColumn="0"/>
              <w:rPr>
                <w:sz w:val="20"/>
              </w:rPr>
            </w:pPr>
            <w:r w:rsidRPr="008D619E">
              <w:rPr>
                <w:sz w:val="20"/>
              </w:rPr>
              <w:t>20</w:t>
            </w:r>
          </w:p>
        </w:tc>
      </w:tr>
      <w:tr w:rsidR="00E662AE" w:rsidRPr="008D619E" w14:paraId="2C194B47" w14:textId="77777777" w:rsidTr="00450807">
        <w:trPr>
          <w:trHeight w:val="283"/>
          <w:jc w:val="center"/>
        </w:trPr>
        <w:tc>
          <w:tcPr>
            <w:cnfStyle w:val="001000000000" w:firstRow="0" w:lastRow="0" w:firstColumn="1" w:lastColumn="0" w:oddVBand="0" w:evenVBand="0" w:oddHBand="0" w:evenHBand="0" w:firstRowFirstColumn="0" w:firstRowLastColumn="0" w:lastRowFirstColumn="0" w:lastRowLastColumn="0"/>
            <w:tcW w:w="2898" w:type="dxa"/>
            <w:noWrap/>
            <w:vAlign w:val="center"/>
          </w:tcPr>
          <w:p w14:paraId="2AC06430" w14:textId="00E55AC0" w:rsidR="00E662AE" w:rsidRPr="008D619E" w:rsidRDefault="00E662AE" w:rsidP="006922B2">
            <w:pPr>
              <w:pStyle w:val="Table"/>
              <w:spacing w:line="240" w:lineRule="auto"/>
              <w:rPr>
                <w:b w:val="0"/>
                <w:bCs/>
                <w:sz w:val="20"/>
                <w:lang w:val="en-US"/>
              </w:rPr>
            </w:pPr>
            <w:r w:rsidRPr="008D619E">
              <w:rPr>
                <w:b w:val="0"/>
                <w:bCs/>
                <w:sz w:val="20"/>
                <w:lang w:val="en-US"/>
              </w:rPr>
              <w:t>Primary oxygen</w:t>
            </w:r>
          </w:p>
        </w:tc>
        <w:tc>
          <w:tcPr>
            <w:tcW w:w="893" w:type="dxa"/>
            <w:vAlign w:val="center"/>
          </w:tcPr>
          <w:p w14:paraId="31D05ED4" w14:textId="77777777" w:rsidR="00E662AE" w:rsidRPr="008D619E" w:rsidRDefault="00E662AE" w:rsidP="006922B2">
            <w:pPr>
              <w:pStyle w:val="Table"/>
              <w:spacing w:line="240" w:lineRule="auto"/>
              <w:cnfStyle w:val="000000000000" w:firstRow="0" w:lastRow="0" w:firstColumn="0" w:lastColumn="0" w:oddVBand="0" w:evenVBand="0" w:oddHBand="0" w:evenHBand="0" w:firstRowFirstColumn="0" w:firstRowLastColumn="0" w:lastRowFirstColumn="0" w:lastRowLastColumn="0"/>
              <w:rPr>
                <w:sz w:val="20"/>
              </w:rPr>
            </w:pPr>
            <w:r w:rsidRPr="008D619E">
              <w:rPr>
                <w:sz w:val="20"/>
              </w:rPr>
              <w:t>%</w:t>
            </w:r>
          </w:p>
        </w:tc>
        <w:tc>
          <w:tcPr>
            <w:tcW w:w="1134" w:type="dxa"/>
            <w:noWrap/>
            <w:vAlign w:val="center"/>
          </w:tcPr>
          <w:p w14:paraId="21D2B93E" w14:textId="77777777" w:rsidR="00E662AE" w:rsidRPr="008D619E" w:rsidRDefault="00E662AE" w:rsidP="006922B2">
            <w:pPr>
              <w:pStyle w:val="Table"/>
              <w:spacing w:line="240" w:lineRule="auto"/>
              <w:cnfStyle w:val="000000000000" w:firstRow="0" w:lastRow="0" w:firstColumn="0" w:lastColumn="0" w:oddVBand="0" w:evenVBand="0" w:oddHBand="0" w:evenHBand="0" w:firstRowFirstColumn="0" w:firstRowLastColumn="0" w:lastRowFirstColumn="0" w:lastRowLastColumn="0"/>
              <w:rPr>
                <w:sz w:val="20"/>
              </w:rPr>
            </w:pPr>
            <w:r w:rsidRPr="008D619E">
              <w:rPr>
                <w:sz w:val="20"/>
              </w:rPr>
              <w:t>34.0</w:t>
            </w:r>
          </w:p>
        </w:tc>
      </w:tr>
      <w:tr w:rsidR="00E662AE" w:rsidRPr="008D619E" w14:paraId="07FC8542" w14:textId="77777777" w:rsidTr="00450807">
        <w:trPr>
          <w:cnfStyle w:val="000000100000" w:firstRow="0" w:lastRow="0" w:firstColumn="0" w:lastColumn="0" w:oddVBand="0" w:evenVBand="0" w:oddHBand="1"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2898" w:type="dxa"/>
            <w:noWrap/>
            <w:vAlign w:val="center"/>
          </w:tcPr>
          <w:p w14:paraId="6169AEC5" w14:textId="4DF7E445" w:rsidR="00E662AE" w:rsidRPr="008D619E" w:rsidRDefault="00E662AE" w:rsidP="006922B2">
            <w:pPr>
              <w:pStyle w:val="Table"/>
              <w:spacing w:line="240" w:lineRule="auto"/>
              <w:rPr>
                <w:b w:val="0"/>
                <w:bCs/>
                <w:sz w:val="20"/>
                <w:lang w:val="en-US"/>
              </w:rPr>
            </w:pPr>
            <w:r w:rsidRPr="008D619E">
              <w:rPr>
                <w:b w:val="0"/>
                <w:bCs/>
                <w:sz w:val="20"/>
                <w:lang w:val="en-US"/>
              </w:rPr>
              <w:t>Secondary oxygen</w:t>
            </w:r>
          </w:p>
        </w:tc>
        <w:tc>
          <w:tcPr>
            <w:tcW w:w="893" w:type="dxa"/>
            <w:vAlign w:val="center"/>
          </w:tcPr>
          <w:p w14:paraId="2E629C73" w14:textId="77777777" w:rsidR="00E662AE" w:rsidRPr="008D619E" w:rsidRDefault="00E662AE" w:rsidP="006922B2">
            <w:pPr>
              <w:pStyle w:val="Table"/>
              <w:spacing w:line="240" w:lineRule="auto"/>
              <w:cnfStyle w:val="000000100000" w:firstRow="0" w:lastRow="0" w:firstColumn="0" w:lastColumn="0" w:oddVBand="0" w:evenVBand="0" w:oddHBand="1" w:evenHBand="0" w:firstRowFirstColumn="0" w:firstRowLastColumn="0" w:lastRowFirstColumn="0" w:lastRowLastColumn="0"/>
              <w:rPr>
                <w:sz w:val="20"/>
              </w:rPr>
            </w:pPr>
            <w:r w:rsidRPr="008D619E">
              <w:rPr>
                <w:sz w:val="20"/>
              </w:rPr>
              <w:t>%</w:t>
            </w:r>
          </w:p>
        </w:tc>
        <w:tc>
          <w:tcPr>
            <w:tcW w:w="1134" w:type="dxa"/>
            <w:noWrap/>
            <w:vAlign w:val="center"/>
          </w:tcPr>
          <w:p w14:paraId="1818BC4D" w14:textId="77777777" w:rsidR="00E662AE" w:rsidRPr="008D619E" w:rsidRDefault="00E662AE" w:rsidP="006922B2">
            <w:pPr>
              <w:pStyle w:val="Table"/>
              <w:spacing w:line="240" w:lineRule="auto"/>
              <w:cnfStyle w:val="000000100000" w:firstRow="0" w:lastRow="0" w:firstColumn="0" w:lastColumn="0" w:oddVBand="0" w:evenVBand="0" w:oddHBand="1" w:evenHBand="0" w:firstRowFirstColumn="0" w:firstRowLastColumn="0" w:lastRowFirstColumn="0" w:lastRowLastColumn="0"/>
              <w:rPr>
                <w:sz w:val="20"/>
              </w:rPr>
            </w:pPr>
            <w:r w:rsidRPr="008D619E">
              <w:rPr>
                <w:sz w:val="20"/>
              </w:rPr>
              <w:t>66.0</w:t>
            </w:r>
          </w:p>
        </w:tc>
      </w:tr>
      <w:tr w:rsidR="00E662AE" w:rsidRPr="008D619E" w14:paraId="7D818DCA" w14:textId="77777777" w:rsidTr="00450807">
        <w:trPr>
          <w:trHeight w:val="283"/>
          <w:jc w:val="center"/>
        </w:trPr>
        <w:tc>
          <w:tcPr>
            <w:cnfStyle w:val="001000000000" w:firstRow="0" w:lastRow="0" w:firstColumn="1" w:lastColumn="0" w:oddVBand="0" w:evenVBand="0" w:oddHBand="0" w:evenHBand="0" w:firstRowFirstColumn="0" w:firstRowLastColumn="0" w:lastRowFirstColumn="0" w:lastRowLastColumn="0"/>
            <w:tcW w:w="2898" w:type="dxa"/>
            <w:noWrap/>
            <w:vAlign w:val="center"/>
          </w:tcPr>
          <w:p w14:paraId="7D90D9B0" w14:textId="77777777" w:rsidR="00E662AE" w:rsidRPr="008D619E" w:rsidRDefault="00E662AE" w:rsidP="006922B2">
            <w:pPr>
              <w:pStyle w:val="Table"/>
              <w:spacing w:line="240" w:lineRule="auto"/>
              <w:rPr>
                <w:bCs/>
                <w:i/>
                <w:sz w:val="20"/>
                <w:lang w:val="en-US"/>
              </w:rPr>
            </w:pPr>
            <w:r w:rsidRPr="008D619E">
              <w:rPr>
                <w:bCs/>
                <w:i/>
                <w:sz w:val="20"/>
                <w:lang w:val="en-US"/>
              </w:rPr>
              <w:t>Cooling air</w:t>
            </w:r>
          </w:p>
        </w:tc>
        <w:tc>
          <w:tcPr>
            <w:tcW w:w="893" w:type="dxa"/>
            <w:vAlign w:val="center"/>
          </w:tcPr>
          <w:p w14:paraId="38FC354A" w14:textId="77777777" w:rsidR="00E662AE" w:rsidRPr="008D619E" w:rsidRDefault="00E662AE" w:rsidP="006922B2">
            <w:pPr>
              <w:pStyle w:val="Table"/>
              <w:spacing w:line="240" w:lineRule="auto"/>
              <w:cnfStyle w:val="000000000000" w:firstRow="0" w:lastRow="0" w:firstColumn="0" w:lastColumn="0" w:oddVBand="0" w:evenVBand="0" w:oddHBand="0" w:evenHBand="0" w:firstRowFirstColumn="0" w:firstRowLastColumn="0" w:lastRowFirstColumn="0" w:lastRowLastColumn="0"/>
              <w:rPr>
                <w:sz w:val="20"/>
              </w:rPr>
            </w:pPr>
          </w:p>
        </w:tc>
        <w:tc>
          <w:tcPr>
            <w:tcW w:w="1134" w:type="dxa"/>
            <w:noWrap/>
            <w:vAlign w:val="center"/>
          </w:tcPr>
          <w:p w14:paraId="3E953791" w14:textId="77777777" w:rsidR="00E662AE" w:rsidRPr="008D619E" w:rsidRDefault="00E662AE" w:rsidP="006922B2">
            <w:pPr>
              <w:pStyle w:val="Table"/>
              <w:spacing w:line="240" w:lineRule="auto"/>
              <w:cnfStyle w:val="000000000000" w:firstRow="0" w:lastRow="0" w:firstColumn="0" w:lastColumn="0" w:oddVBand="0" w:evenVBand="0" w:oddHBand="0" w:evenHBand="0" w:firstRowFirstColumn="0" w:firstRowLastColumn="0" w:lastRowFirstColumn="0" w:lastRowLastColumn="0"/>
              <w:rPr>
                <w:sz w:val="20"/>
              </w:rPr>
            </w:pPr>
          </w:p>
        </w:tc>
      </w:tr>
      <w:tr w:rsidR="00E662AE" w:rsidRPr="008D619E" w14:paraId="202E85BD" w14:textId="77777777" w:rsidTr="00450807">
        <w:trPr>
          <w:cnfStyle w:val="000000100000" w:firstRow="0" w:lastRow="0" w:firstColumn="0" w:lastColumn="0" w:oddVBand="0" w:evenVBand="0" w:oddHBand="1" w:evenHBand="0" w:firstRowFirstColumn="0" w:firstRowLastColumn="0" w:lastRowFirstColumn="0" w:lastRowLastColumn="0"/>
          <w:trHeight w:val="283"/>
          <w:jc w:val="center"/>
        </w:trPr>
        <w:tc>
          <w:tcPr>
            <w:cnfStyle w:val="001000000000" w:firstRow="0" w:lastRow="0" w:firstColumn="1" w:lastColumn="0" w:oddVBand="0" w:evenVBand="0" w:oddHBand="0" w:evenHBand="0" w:firstRowFirstColumn="0" w:firstRowLastColumn="0" w:lastRowFirstColumn="0" w:lastRowLastColumn="0"/>
            <w:tcW w:w="2898" w:type="dxa"/>
            <w:noWrap/>
            <w:vAlign w:val="center"/>
          </w:tcPr>
          <w:p w14:paraId="6E296F99" w14:textId="77777777" w:rsidR="00E662AE" w:rsidRPr="008D619E" w:rsidRDefault="00E662AE" w:rsidP="006922B2">
            <w:pPr>
              <w:pStyle w:val="Table"/>
              <w:spacing w:line="240" w:lineRule="auto"/>
              <w:rPr>
                <w:b w:val="0"/>
                <w:bCs/>
                <w:sz w:val="20"/>
                <w:lang w:val="en-US"/>
              </w:rPr>
            </w:pPr>
            <w:r w:rsidRPr="008D619E">
              <w:rPr>
                <w:b w:val="0"/>
                <w:bCs/>
                <w:sz w:val="20"/>
                <w:lang w:val="en-US"/>
              </w:rPr>
              <w:t>Vol. flow rate</w:t>
            </w:r>
          </w:p>
        </w:tc>
        <w:tc>
          <w:tcPr>
            <w:tcW w:w="893" w:type="dxa"/>
            <w:vAlign w:val="center"/>
          </w:tcPr>
          <w:p w14:paraId="46AB2C1B" w14:textId="77777777" w:rsidR="00E662AE" w:rsidRPr="008D619E" w:rsidRDefault="00E662AE" w:rsidP="006922B2">
            <w:pPr>
              <w:pStyle w:val="Table"/>
              <w:spacing w:line="240" w:lineRule="auto"/>
              <w:cnfStyle w:val="000000100000" w:firstRow="0" w:lastRow="0" w:firstColumn="0" w:lastColumn="0" w:oddVBand="0" w:evenVBand="0" w:oddHBand="1" w:evenHBand="0" w:firstRowFirstColumn="0" w:firstRowLastColumn="0" w:lastRowFirstColumn="0" w:lastRowLastColumn="0"/>
              <w:rPr>
                <w:sz w:val="20"/>
              </w:rPr>
            </w:pPr>
            <w:r w:rsidRPr="008D619E">
              <w:rPr>
                <w:sz w:val="20"/>
              </w:rPr>
              <w:t>m</w:t>
            </w:r>
            <w:r w:rsidRPr="008D619E">
              <w:rPr>
                <w:sz w:val="20"/>
                <w:vertAlign w:val="subscript"/>
              </w:rPr>
              <w:t>STD</w:t>
            </w:r>
            <w:r w:rsidRPr="008D619E">
              <w:rPr>
                <w:sz w:val="20"/>
                <w:vertAlign w:val="superscript"/>
              </w:rPr>
              <w:t>3</w:t>
            </w:r>
            <w:r w:rsidRPr="008D619E">
              <w:rPr>
                <w:sz w:val="20"/>
              </w:rPr>
              <w:t>/h</w:t>
            </w:r>
          </w:p>
        </w:tc>
        <w:tc>
          <w:tcPr>
            <w:tcW w:w="1134" w:type="dxa"/>
            <w:noWrap/>
            <w:vAlign w:val="center"/>
          </w:tcPr>
          <w:p w14:paraId="2FC7D476" w14:textId="77777777" w:rsidR="00E662AE" w:rsidRPr="008D619E" w:rsidRDefault="00E662AE" w:rsidP="006922B2">
            <w:pPr>
              <w:pStyle w:val="Table"/>
              <w:spacing w:line="240" w:lineRule="auto"/>
              <w:cnfStyle w:val="000000100000" w:firstRow="0" w:lastRow="0" w:firstColumn="0" w:lastColumn="0" w:oddVBand="0" w:evenVBand="0" w:oddHBand="1" w:evenHBand="0" w:firstRowFirstColumn="0" w:firstRowLastColumn="0" w:lastRowFirstColumn="0" w:lastRowLastColumn="0"/>
              <w:rPr>
                <w:sz w:val="20"/>
              </w:rPr>
            </w:pPr>
            <w:r w:rsidRPr="008D619E">
              <w:rPr>
                <w:sz w:val="20"/>
              </w:rPr>
              <w:t>3.5</w:t>
            </w:r>
          </w:p>
        </w:tc>
      </w:tr>
    </w:tbl>
    <w:p w14:paraId="76AFE7A5" w14:textId="77777777" w:rsidR="00450807" w:rsidRDefault="00450807" w:rsidP="00E662AE">
      <w:pPr>
        <w:rPr>
          <w:lang w:val="en-US"/>
        </w:rPr>
      </w:pPr>
    </w:p>
    <w:p w14:paraId="17794048" w14:textId="40F6E158" w:rsidR="00E662AE" w:rsidRDefault="00E662AE" w:rsidP="00E662AE">
      <w:pPr>
        <w:rPr>
          <w:lang w:val="en-US"/>
        </w:rPr>
      </w:pPr>
      <w:r w:rsidRPr="0011032F">
        <w:rPr>
          <w:lang w:val="en-US"/>
        </w:rPr>
        <w:t xml:space="preserve">The results of the experiment </w:t>
      </w:r>
      <w:r w:rsidRPr="00680ECD">
        <w:rPr>
          <w:noProof/>
          <w:lang w:val="en-US"/>
        </w:rPr>
        <w:t>are shown</w:t>
      </w:r>
      <w:r w:rsidRPr="00450807">
        <w:rPr>
          <w:lang w:val="en-US"/>
        </w:rPr>
        <w:t xml:space="preserve"> in</w:t>
      </w:r>
      <w:r w:rsidR="00450807" w:rsidRPr="00450807">
        <w:rPr>
          <w:lang w:val="en-US"/>
        </w:rPr>
        <w:t xml:space="preserve"> </w:t>
      </w:r>
      <w:r w:rsidR="00450807" w:rsidRPr="00450807">
        <w:rPr>
          <w:lang w:val="en-US"/>
        </w:rPr>
        <w:fldChar w:fldCharType="begin"/>
      </w:r>
      <w:r w:rsidR="00450807" w:rsidRPr="00450807">
        <w:rPr>
          <w:lang w:val="en-US"/>
        </w:rPr>
        <w:instrText xml:space="preserve"> REF _Ref469580187 \h  \* MERGEFORMAT </w:instrText>
      </w:r>
      <w:r w:rsidR="00450807" w:rsidRPr="00450807">
        <w:rPr>
          <w:lang w:val="en-US"/>
        </w:rPr>
      </w:r>
      <w:r w:rsidR="00450807" w:rsidRPr="00450807">
        <w:rPr>
          <w:lang w:val="en-US"/>
        </w:rPr>
        <w:fldChar w:fldCharType="separate"/>
      </w:r>
      <w:r w:rsidR="00450807" w:rsidRPr="00450807">
        <w:t xml:space="preserve">Figure </w:t>
      </w:r>
      <w:r w:rsidR="00450807" w:rsidRPr="00450807">
        <w:rPr>
          <w:noProof/>
        </w:rPr>
        <w:t>3</w:t>
      </w:r>
      <w:r w:rsidR="00450807" w:rsidRPr="00450807">
        <w:rPr>
          <w:lang w:val="en-US"/>
        </w:rPr>
        <w:fldChar w:fldCharType="end"/>
      </w:r>
      <w:r w:rsidRPr="00450807">
        <w:rPr>
          <w:lang w:val="en-US"/>
        </w:rPr>
        <w:t>.</w:t>
      </w:r>
      <w:r w:rsidRPr="0011032F">
        <w:rPr>
          <w:lang w:val="en-US"/>
        </w:rPr>
        <w:t xml:space="preserve"> The comparison between experimental and numeric</w:t>
      </w:r>
      <w:r w:rsidR="00450807">
        <w:rPr>
          <w:lang w:val="en-US"/>
        </w:rPr>
        <w:t xml:space="preserve">al data </w:t>
      </w:r>
      <w:r w:rsidR="00450807" w:rsidRPr="00680ECD">
        <w:rPr>
          <w:noProof/>
          <w:lang w:val="en-US"/>
        </w:rPr>
        <w:t>is summarized</w:t>
      </w:r>
      <w:r w:rsidR="00450807">
        <w:rPr>
          <w:lang w:val="en-US"/>
        </w:rPr>
        <w:t xml:space="preserve"> in </w:t>
      </w:r>
      <w:r w:rsidR="00450807">
        <w:rPr>
          <w:lang w:val="en-US"/>
        </w:rPr>
        <w:fldChar w:fldCharType="begin"/>
      </w:r>
      <w:r w:rsidR="00450807">
        <w:rPr>
          <w:lang w:val="en-US"/>
        </w:rPr>
        <w:instrText xml:space="preserve"> REF _Ref469580179 \h </w:instrText>
      </w:r>
      <w:r w:rsidR="00450807">
        <w:rPr>
          <w:lang w:val="en-US"/>
        </w:rPr>
      </w:r>
      <w:r w:rsidR="00450807">
        <w:rPr>
          <w:lang w:val="en-US"/>
        </w:rPr>
        <w:fldChar w:fldCharType="separate"/>
      </w:r>
      <w:r w:rsidR="00450807" w:rsidRPr="00450807">
        <w:t xml:space="preserve">Table </w:t>
      </w:r>
      <w:r w:rsidR="00450807" w:rsidRPr="00450807">
        <w:rPr>
          <w:noProof/>
        </w:rPr>
        <w:t>4</w:t>
      </w:r>
      <w:r w:rsidR="00450807">
        <w:rPr>
          <w:lang w:val="en-US"/>
        </w:rPr>
        <w:fldChar w:fldCharType="end"/>
      </w:r>
      <w:r w:rsidRPr="0011032F">
        <w:rPr>
          <w:lang w:val="en-US"/>
        </w:rPr>
        <w:t>.</w:t>
      </w:r>
      <w:r>
        <w:rPr>
          <w:lang w:val="en-US"/>
        </w:rPr>
        <w:t xml:space="preserve"> </w:t>
      </w:r>
    </w:p>
    <w:p w14:paraId="01723BBA" w14:textId="77777777" w:rsidR="00450807" w:rsidRDefault="00E662AE" w:rsidP="00450807">
      <w:pPr>
        <w:keepNext/>
        <w:spacing w:after="0"/>
        <w:jc w:val="center"/>
      </w:pPr>
      <w:r>
        <w:rPr>
          <w:noProof/>
          <w:lang w:val="it-IT" w:eastAsia="it-IT"/>
        </w:rPr>
        <w:lastRenderedPageBreak/>
        <w:drawing>
          <wp:inline distT="0" distB="0" distL="0" distR="0" wp14:anchorId="6E63257A" wp14:editId="7618E572">
            <wp:extent cx="5454015" cy="3376930"/>
            <wp:effectExtent l="0" t="0" r="0" b="0"/>
            <wp:docPr id="4" name="Obraz 3" descr="test-nominal_cas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st-nominal_case.png"/>
                    <pic:cNvPicPr/>
                  </pic:nvPicPr>
                  <pic:blipFill rotWithShape="1">
                    <a:blip r:embed="rId11" cstate="print"/>
                    <a:srcRect t="5508"/>
                    <a:stretch/>
                  </pic:blipFill>
                  <pic:spPr bwMode="auto">
                    <a:xfrm>
                      <a:off x="0" y="0"/>
                      <a:ext cx="5454015" cy="3376930"/>
                    </a:xfrm>
                    <a:prstGeom prst="rect">
                      <a:avLst/>
                    </a:prstGeom>
                    <a:ln>
                      <a:noFill/>
                    </a:ln>
                    <a:extLst>
                      <a:ext uri="{53640926-AAD7-44D8-BBD7-CCE9431645EC}">
                        <a14:shadowObscured xmlns:a14="http://schemas.microsoft.com/office/drawing/2010/main"/>
                      </a:ext>
                    </a:extLst>
                  </pic:spPr>
                </pic:pic>
              </a:graphicData>
            </a:graphic>
          </wp:inline>
        </w:drawing>
      </w:r>
    </w:p>
    <w:p w14:paraId="22ABB625" w14:textId="3CE2AE49" w:rsidR="00E662AE" w:rsidRPr="00450807" w:rsidRDefault="00450807" w:rsidP="00450807">
      <w:pPr>
        <w:pStyle w:val="Didascalia"/>
        <w:rPr>
          <w:lang w:val="en-US"/>
        </w:rPr>
      </w:pPr>
      <w:bookmarkStart w:id="6" w:name="_Ref469580187"/>
      <w:r w:rsidRPr="00450807">
        <w:t xml:space="preserve">Figure </w:t>
      </w:r>
      <w:r w:rsidRPr="00450807">
        <w:fldChar w:fldCharType="begin"/>
      </w:r>
      <w:r w:rsidRPr="00450807">
        <w:instrText xml:space="preserve"> SEQ Figure \* ARABIC </w:instrText>
      </w:r>
      <w:r w:rsidRPr="00450807">
        <w:fldChar w:fldCharType="separate"/>
      </w:r>
      <w:r w:rsidR="008D619E">
        <w:rPr>
          <w:noProof/>
        </w:rPr>
        <w:t>3</w:t>
      </w:r>
      <w:r w:rsidRPr="00450807">
        <w:fldChar w:fldCharType="end"/>
      </w:r>
      <w:bookmarkEnd w:id="6"/>
      <w:r w:rsidRPr="00450807">
        <w:t xml:space="preserve">. </w:t>
      </w:r>
      <w:r w:rsidR="00E662AE" w:rsidRPr="00450807">
        <w:rPr>
          <w:lang w:val="en-US"/>
        </w:rPr>
        <w:t xml:space="preserve">Parameters of </w:t>
      </w:r>
      <w:r w:rsidR="0033277B">
        <w:rPr>
          <w:lang w:val="en-US"/>
        </w:rPr>
        <w:t xml:space="preserve">the porous </w:t>
      </w:r>
      <w:r w:rsidR="00E662AE" w:rsidRPr="00450807">
        <w:rPr>
          <w:lang w:val="en-US"/>
        </w:rPr>
        <w:t>oxy-combustor during the test.</w:t>
      </w:r>
    </w:p>
    <w:p w14:paraId="22068D52" w14:textId="3E0BBDA5" w:rsidR="00450807" w:rsidRPr="00450807" w:rsidRDefault="00450807" w:rsidP="00450807">
      <w:pPr>
        <w:pStyle w:val="Didascalia"/>
        <w:keepNext/>
      </w:pPr>
      <w:bookmarkStart w:id="7" w:name="_Ref469580179"/>
      <w:r w:rsidRPr="00450807">
        <w:t xml:space="preserve">Table </w:t>
      </w:r>
      <w:r w:rsidRPr="00450807">
        <w:fldChar w:fldCharType="begin"/>
      </w:r>
      <w:r w:rsidRPr="00450807">
        <w:instrText xml:space="preserve"> SEQ Table \* ARABIC </w:instrText>
      </w:r>
      <w:r w:rsidRPr="00450807">
        <w:fldChar w:fldCharType="separate"/>
      </w:r>
      <w:r w:rsidR="008D619E">
        <w:rPr>
          <w:noProof/>
        </w:rPr>
        <w:t>4</w:t>
      </w:r>
      <w:r w:rsidRPr="00450807">
        <w:fldChar w:fldCharType="end"/>
      </w:r>
      <w:bookmarkEnd w:id="7"/>
      <w:r w:rsidRPr="00450807">
        <w:t xml:space="preserve">. </w:t>
      </w:r>
      <w:r w:rsidRPr="00450807">
        <w:rPr>
          <w:lang w:val="en-US"/>
        </w:rPr>
        <w:t xml:space="preserve">Comparison of the working conditions of oxy-combustor – </w:t>
      </w:r>
      <w:r w:rsidRPr="00680ECD">
        <w:rPr>
          <w:noProof/>
          <w:lang w:val="en-US"/>
        </w:rPr>
        <w:t>nominal</w:t>
      </w:r>
      <w:r w:rsidRPr="00450807">
        <w:rPr>
          <w:lang w:val="en-US"/>
        </w:rPr>
        <w:t xml:space="preserve"> case.</w:t>
      </w:r>
    </w:p>
    <w:tbl>
      <w:tblPr>
        <w:tblStyle w:val="ListTable3-Accent11"/>
        <w:tblW w:w="0" w:type="auto"/>
        <w:jc w:val="center"/>
        <w:tblLook w:val="04A0" w:firstRow="1" w:lastRow="0" w:firstColumn="1" w:lastColumn="0" w:noHBand="0" w:noVBand="1"/>
      </w:tblPr>
      <w:tblGrid>
        <w:gridCol w:w="1247"/>
        <w:gridCol w:w="1247"/>
        <w:gridCol w:w="1329"/>
        <w:gridCol w:w="1247"/>
      </w:tblGrid>
      <w:tr w:rsidR="006922B2" w:rsidRPr="00450807" w14:paraId="643FB926" w14:textId="77777777" w:rsidTr="00450807">
        <w:trPr>
          <w:cnfStyle w:val="100000000000" w:firstRow="1" w:lastRow="0" w:firstColumn="0" w:lastColumn="0" w:oddVBand="0" w:evenVBand="0" w:oddHBand="0" w:evenHBand="0" w:firstRowFirstColumn="0" w:firstRowLastColumn="0" w:lastRowFirstColumn="0" w:lastRowLastColumn="0"/>
          <w:trHeight w:val="397"/>
          <w:jc w:val="center"/>
        </w:trPr>
        <w:tc>
          <w:tcPr>
            <w:cnfStyle w:val="001000000100" w:firstRow="0" w:lastRow="0" w:firstColumn="1" w:lastColumn="0" w:oddVBand="0" w:evenVBand="0" w:oddHBand="0" w:evenHBand="0" w:firstRowFirstColumn="1" w:firstRowLastColumn="0" w:lastRowFirstColumn="0" w:lastRowLastColumn="0"/>
            <w:tcW w:w="1247" w:type="dxa"/>
            <w:noWrap/>
            <w:vAlign w:val="center"/>
            <w:hideMark/>
          </w:tcPr>
          <w:p w14:paraId="2A787BD3" w14:textId="77777777" w:rsidR="00E662AE" w:rsidRPr="00450807" w:rsidRDefault="00E662AE" w:rsidP="006922B2">
            <w:pPr>
              <w:pStyle w:val="Table"/>
              <w:spacing w:line="240" w:lineRule="auto"/>
              <w:rPr>
                <w:color w:val="FFFFFF" w:themeColor="background1"/>
                <w:sz w:val="20"/>
              </w:rPr>
            </w:pPr>
            <w:r w:rsidRPr="00450807">
              <w:rPr>
                <w:color w:val="FFFFFF" w:themeColor="background1"/>
                <w:sz w:val="20"/>
              </w:rPr>
              <w:t>Parameter</w:t>
            </w:r>
          </w:p>
        </w:tc>
        <w:tc>
          <w:tcPr>
            <w:tcW w:w="1247" w:type="dxa"/>
            <w:vAlign w:val="center"/>
          </w:tcPr>
          <w:p w14:paraId="6B331A9A" w14:textId="77777777" w:rsidR="00E662AE" w:rsidRPr="00450807" w:rsidRDefault="00E662AE" w:rsidP="006922B2">
            <w:pPr>
              <w:pStyle w:val="Table"/>
              <w:spacing w:line="240" w:lineRule="auto"/>
              <w:cnfStyle w:val="100000000000" w:firstRow="1" w:lastRow="0" w:firstColumn="0" w:lastColumn="0" w:oddVBand="0" w:evenVBand="0" w:oddHBand="0" w:evenHBand="0" w:firstRowFirstColumn="0" w:firstRowLastColumn="0" w:lastRowFirstColumn="0" w:lastRowLastColumn="0"/>
              <w:rPr>
                <w:color w:val="FFFFFF" w:themeColor="background1"/>
                <w:sz w:val="20"/>
              </w:rPr>
            </w:pPr>
            <w:r w:rsidRPr="00450807">
              <w:rPr>
                <w:color w:val="FFFFFF" w:themeColor="background1"/>
                <w:sz w:val="20"/>
              </w:rPr>
              <w:t>Unit</w:t>
            </w:r>
          </w:p>
        </w:tc>
        <w:tc>
          <w:tcPr>
            <w:tcW w:w="1329" w:type="dxa"/>
            <w:noWrap/>
            <w:vAlign w:val="center"/>
            <w:hideMark/>
          </w:tcPr>
          <w:p w14:paraId="1AD96FC3" w14:textId="08149914" w:rsidR="00E662AE" w:rsidRPr="00450807" w:rsidRDefault="00E662AE" w:rsidP="006922B2">
            <w:pPr>
              <w:pStyle w:val="Table"/>
              <w:spacing w:line="240" w:lineRule="auto"/>
              <w:cnfStyle w:val="100000000000" w:firstRow="1" w:lastRow="0" w:firstColumn="0" w:lastColumn="0" w:oddVBand="0" w:evenVBand="0" w:oddHBand="0" w:evenHBand="0" w:firstRowFirstColumn="0" w:firstRowLastColumn="0" w:lastRowFirstColumn="0" w:lastRowLastColumn="0"/>
              <w:rPr>
                <w:color w:val="FFFFFF" w:themeColor="background1"/>
                <w:sz w:val="20"/>
              </w:rPr>
            </w:pPr>
            <w:r w:rsidRPr="00450807">
              <w:rPr>
                <w:color w:val="FFFFFF" w:themeColor="background1"/>
                <w:sz w:val="20"/>
              </w:rPr>
              <w:t>Experiment</w:t>
            </w:r>
          </w:p>
        </w:tc>
        <w:tc>
          <w:tcPr>
            <w:tcW w:w="1247" w:type="dxa"/>
            <w:vAlign w:val="center"/>
          </w:tcPr>
          <w:p w14:paraId="21375EE2" w14:textId="77777777" w:rsidR="00E662AE" w:rsidRPr="00450807" w:rsidRDefault="00E662AE" w:rsidP="006922B2">
            <w:pPr>
              <w:pStyle w:val="Table"/>
              <w:spacing w:line="240" w:lineRule="auto"/>
              <w:cnfStyle w:val="100000000000" w:firstRow="1" w:lastRow="0" w:firstColumn="0" w:lastColumn="0" w:oddVBand="0" w:evenVBand="0" w:oddHBand="0" w:evenHBand="0" w:firstRowFirstColumn="0" w:firstRowLastColumn="0" w:lastRowFirstColumn="0" w:lastRowLastColumn="0"/>
              <w:rPr>
                <w:color w:val="FFFFFF" w:themeColor="background1"/>
                <w:sz w:val="20"/>
              </w:rPr>
            </w:pPr>
            <w:r w:rsidRPr="00450807">
              <w:rPr>
                <w:color w:val="FFFFFF" w:themeColor="background1"/>
                <w:sz w:val="20"/>
              </w:rPr>
              <w:t>Model</w:t>
            </w:r>
          </w:p>
        </w:tc>
      </w:tr>
      <w:tr w:rsidR="006922B2" w:rsidRPr="00450807" w14:paraId="1EB4C9B6" w14:textId="77777777" w:rsidTr="00450807">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1247" w:type="dxa"/>
            <w:noWrap/>
            <w:vAlign w:val="center"/>
            <w:hideMark/>
          </w:tcPr>
          <w:p w14:paraId="7BAED7B8" w14:textId="03310506" w:rsidR="00E662AE" w:rsidRPr="00450807" w:rsidRDefault="006A17F1" w:rsidP="006922B2">
            <w:pPr>
              <w:pStyle w:val="Table"/>
              <w:spacing w:line="240" w:lineRule="auto"/>
              <w:rPr>
                <w:b w:val="0"/>
                <w:sz w:val="20"/>
              </w:rPr>
            </w:pPr>
            <m:oMathPara>
              <m:oMath>
                <m:sSub>
                  <m:sSubPr>
                    <m:ctrlPr>
                      <w:rPr>
                        <w:rFonts w:ascii="Cambria Math" w:eastAsia="Times New Roman" w:hAnsi="Cambria Math"/>
                        <w:b w:val="0"/>
                        <w:bCs/>
                        <w:i/>
                        <w:sz w:val="20"/>
                        <w:lang w:val="en-US"/>
                      </w:rPr>
                    </m:ctrlPr>
                  </m:sSubPr>
                  <m:e>
                    <m:r>
                      <m:rPr>
                        <m:sty m:val="bi"/>
                      </m:rPr>
                      <w:rPr>
                        <w:rFonts w:ascii="Cambria Math" w:hAnsi="Cambria Math"/>
                        <w:sz w:val="20"/>
                        <w:lang w:val="en-US"/>
                      </w:rPr>
                      <m:t>T</m:t>
                    </m:r>
                  </m:e>
                  <m:sub>
                    <m:r>
                      <m:rPr>
                        <m:sty m:val="bi"/>
                      </m:rPr>
                      <w:rPr>
                        <w:rFonts w:ascii="Cambria Math" w:hAnsi="Cambria Math"/>
                        <w:sz w:val="20"/>
                        <w:lang w:val="en-US"/>
                      </w:rPr>
                      <m:t>1</m:t>
                    </m:r>
                  </m:sub>
                </m:sSub>
              </m:oMath>
            </m:oMathPara>
          </w:p>
        </w:tc>
        <w:tc>
          <w:tcPr>
            <w:tcW w:w="1247" w:type="dxa"/>
            <w:vAlign w:val="center"/>
          </w:tcPr>
          <w:p w14:paraId="7D96A3C7" w14:textId="77777777" w:rsidR="00E662AE" w:rsidRPr="00450807" w:rsidRDefault="00E662AE" w:rsidP="006922B2">
            <w:pPr>
              <w:pStyle w:val="Table"/>
              <w:spacing w:line="240" w:lineRule="auto"/>
              <w:cnfStyle w:val="000000100000" w:firstRow="0" w:lastRow="0" w:firstColumn="0" w:lastColumn="0" w:oddVBand="0" w:evenVBand="0" w:oddHBand="1" w:evenHBand="0" w:firstRowFirstColumn="0" w:firstRowLastColumn="0" w:lastRowFirstColumn="0" w:lastRowLastColumn="0"/>
              <w:rPr>
                <w:sz w:val="20"/>
              </w:rPr>
            </w:pPr>
            <w:r w:rsidRPr="00450807">
              <w:rPr>
                <w:sz w:val="20"/>
                <w:lang w:val="en-US"/>
              </w:rPr>
              <w:t>°C</w:t>
            </w:r>
          </w:p>
        </w:tc>
        <w:tc>
          <w:tcPr>
            <w:tcW w:w="1329" w:type="dxa"/>
            <w:noWrap/>
            <w:vAlign w:val="center"/>
            <w:hideMark/>
          </w:tcPr>
          <w:p w14:paraId="171605E7" w14:textId="77777777" w:rsidR="00E662AE" w:rsidRPr="00450807" w:rsidRDefault="00E662AE" w:rsidP="006922B2">
            <w:pPr>
              <w:pStyle w:val="Table"/>
              <w:spacing w:line="240" w:lineRule="auto"/>
              <w:cnfStyle w:val="000000100000" w:firstRow="0" w:lastRow="0" w:firstColumn="0" w:lastColumn="0" w:oddVBand="0" w:evenVBand="0" w:oddHBand="1" w:evenHBand="0" w:firstRowFirstColumn="0" w:firstRowLastColumn="0" w:lastRowFirstColumn="0" w:lastRowLastColumn="0"/>
              <w:rPr>
                <w:sz w:val="20"/>
              </w:rPr>
            </w:pPr>
            <w:r w:rsidRPr="00450807">
              <w:rPr>
                <w:sz w:val="20"/>
              </w:rPr>
              <w:t>775</w:t>
            </w:r>
          </w:p>
        </w:tc>
        <w:tc>
          <w:tcPr>
            <w:tcW w:w="1247" w:type="dxa"/>
            <w:vAlign w:val="center"/>
          </w:tcPr>
          <w:p w14:paraId="42ED2517" w14:textId="77777777" w:rsidR="00E662AE" w:rsidRPr="00450807" w:rsidRDefault="00E662AE" w:rsidP="006922B2">
            <w:pPr>
              <w:pStyle w:val="Table"/>
              <w:spacing w:line="240" w:lineRule="auto"/>
              <w:cnfStyle w:val="000000100000" w:firstRow="0" w:lastRow="0" w:firstColumn="0" w:lastColumn="0" w:oddVBand="0" w:evenVBand="0" w:oddHBand="1" w:evenHBand="0" w:firstRowFirstColumn="0" w:firstRowLastColumn="0" w:lastRowFirstColumn="0" w:lastRowLastColumn="0"/>
              <w:rPr>
                <w:sz w:val="20"/>
              </w:rPr>
            </w:pPr>
            <w:r w:rsidRPr="00450807">
              <w:rPr>
                <w:sz w:val="20"/>
              </w:rPr>
              <w:t>810</w:t>
            </w:r>
          </w:p>
        </w:tc>
      </w:tr>
      <w:tr w:rsidR="006922B2" w:rsidRPr="00450807" w14:paraId="0A54598B" w14:textId="77777777" w:rsidTr="00450807">
        <w:trPr>
          <w:trHeight w:val="397"/>
          <w:jc w:val="center"/>
        </w:trPr>
        <w:tc>
          <w:tcPr>
            <w:cnfStyle w:val="001000000000" w:firstRow="0" w:lastRow="0" w:firstColumn="1" w:lastColumn="0" w:oddVBand="0" w:evenVBand="0" w:oddHBand="0" w:evenHBand="0" w:firstRowFirstColumn="0" w:firstRowLastColumn="0" w:lastRowFirstColumn="0" w:lastRowLastColumn="0"/>
            <w:tcW w:w="1247" w:type="dxa"/>
            <w:noWrap/>
            <w:vAlign w:val="center"/>
            <w:hideMark/>
          </w:tcPr>
          <w:p w14:paraId="18AB033E" w14:textId="75167C93" w:rsidR="00E662AE" w:rsidRPr="00450807" w:rsidRDefault="006A17F1" w:rsidP="006922B2">
            <w:pPr>
              <w:pStyle w:val="Table"/>
              <w:spacing w:line="240" w:lineRule="auto"/>
              <w:rPr>
                <w:b w:val="0"/>
                <w:sz w:val="20"/>
              </w:rPr>
            </w:pPr>
            <m:oMathPara>
              <m:oMath>
                <m:sSub>
                  <m:sSubPr>
                    <m:ctrlPr>
                      <w:rPr>
                        <w:rFonts w:ascii="Cambria Math" w:eastAsia="Times New Roman" w:hAnsi="Cambria Math"/>
                        <w:b w:val="0"/>
                        <w:bCs/>
                        <w:i/>
                        <w:sz w:val="20"/>
                        <w:lang w:val="en-US"/>
                      </w:rPr>
                    </m:ctrlPr>
                  </m:sSubPr>
                  <m:e>
                    <m:r>
                      <m:rPr>
                        <m:sty m:val="bi"/>
                      </m:rPr>
                      <w:rPr>
                        <w:rFonts w:ascii="Cambria Math" w:hAnsi="Cambria Math"/>
                        <w:sz w:val="20"/>
                        <w:lang w:val="en-US"/>
                      </w:rPr>
                      <m:t>T</m:t>
                    </m:r>
                  </m:e>
                  <m:sub>
                    <m:r>
                      <m:rPr>
                        <m:sty m:val="bi"/>
                      </m:rPr>
                      <w:rPr>
                        <w:rFonts w:ascii="Cambria Math" w:hAnsi="Cambria Math"/>
                        <w:sz w:val="20"/>
                        <w:lang w:val="en-US"/>
                      </w:rPr>
                      <m:t>2</m:t>
                    </m:r>
                  </m:sub>
                </m:sSub>
              </m:oMath>
            </m:oMathPara>
          </w:p>
        </w:tc>
        <w:tc>
          <w:tcPr>
            <w:tcW w:w="1247" w:type="dxa"/>
            <w:vAlign w:val="center"/>
          </w:tcPr>
          <w:p w14:paraId="73A816DF" w14:textId="77777777" w:rsidR="00E662AE" w:rsidRPr="00450807" w:rsidRDefault="00E662AE" w:rsidP="006922B2">
            <w:pPr>
              <w:pStyle w:val="Table"/>
              <w:spacing w:line="240" w:lineRule="auto"/>
              <w:cnfStyle w:val="000000000000" w:firstRow="0" w:lastRow="0" w:firstColumn="0" w:lastColumn="0" w:oddVBand="0" w:evenVBand="0" w:oddHBand="0" w:evenHBand="0" w:firstRowFirstColumn="0" w:firstRowLastColumn="0" w:lastRowFirstColumn="0" w:lastRowLastColumn="0"/>
              <w:rPr>
                <w:sz w:val="20"/>
              </w:rPr>
            </w:pPr>
            <w:r w:rsidRPr="00450807">
              <w:rPr>
                <w:sz w:val="20"/>
                <w:lang w:val="en-US"/>
              </w:rPr>
              <w:t>°C</w:t>
            </w:r>
          </w:p>
        </w:tc>
        <w:tc>
          <w:tcPr>
            <w:tcW w:w="1329" w:type="dxa"/>
            <w:noWrap/>
            <w:vAlign w:val="center"/>
            <w:hideMark/>
          </w:tcPr>
          <w:p w14:paraId="12824F71" w14:textId="77777777" w:rsidR="00E662AE" w:rsidRPr="00450807" w:rsidRDefault="00E662AE" w:rsidP="006922B2">
            <w:pPr>
              <w:pStyle w:val="Table"/>
              <w:spacing w:line="240" w:lineRule="auto"/>
              <w:cnfStyle w:val="000000000000" w:firstRow="0" w:lastRow="0" w:firstColumn="0" w:lastColumn="0" w:oddVBand="0" w:evenVBand="0" w:oddHBand="0" w:evenHBand="0" w:firstRowFirstColumn="0" w:firstRowLastColumn="0" w:lastRowFirstColumn="0" w:lastRowLastColumn="0"/>
              <w:rPr>
                <w:sz w:val="20"/>
              </w:rPr>
            </w:pPr>
            <w:r w:rsidRPr="00450807">
              <w:rPr>
                <w:sz w:val="20"/>
              </w:rPr>
              <w:t>960</w:t>
            </w:r>
          </w:p>
        </w:tc>
        <w:tc>
          <w:tcPr>
            <w:tcW w:w="1247" w:type="dxa"/>
            <w:vAlign w:val="center"/>
          </w:tcPr>
          <w:p w14:paraId="2C2E6138" w14:textId="77777777" w:rsidR="00E662AE" w:rsidRPr="00450807" w:rsidRDefault="00E662AE" w:rsidP="006922B2">
            <w:pPr>
              <w:pStyle w:val="Table"/>
              <w:spacing w:line="240" w:lineRule="auto"/>
              <w:cnfStyle w:val="000000000000" w:firstRow="0" w:lastRow="0" w:firstColumn="0" w:lastColumn="0" w:oddVBand="0" w:evenVBand="0" w:oddHBand="0" w:evenHBand="0" w:firstRowFirstColumn="0" w:firstRowLastColumn="0" w:lastRowFirstColumn="0" w:lastRowLastColumn="0"/>
              <w:rPr>
                <w:sz w:val="20"/>
              </w:rPr>
            </w:pPr>
            <w:r w:rsidRPr="00450807">
              <w:rPr>
                <w:sz w:val="20"/>
              </w:rPr>
              <w:t>910</w:t>
            </w:r>
          </w:p>
        </w:tc>
      </w:tr>
      <w:tr w:rsidR="006922B2" w:rsidRPr="00450807" w14:paraId="259F2AAD" w14:textId="77777777" w:rsidTr="00450807">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1247" w:type="dxa"/>
            <w:noWrap/>
            <w:vAlign w:val="center"/>
            <w:hideMark/>
          </w:tcPr>
          <w:p w14:paraId="60FBE5D0" w14:textId="47D4F225" w:rsidR="00E662AE" w:rsidRPr="00450807" w:rsidRDefault="006A17F1" w:rsidP="006922B2">
            <w:pPr>
              <w:pStyle w:val="Table"/>
              <w:spacing w:line="240" w:lineRule="auto"/>
              <w:rPr>
                <w:b w:val="0"/>
                <w:bCs/>
                <w:sz w:val="20"/>
                <w:lang w:val="en-US"/>
              </w:rPr>
            </w:pPr>
            <m:oMathPara>
              <m:oMath>
                <m:sSub>
                  <m:sSubPr>
                    <m:ctrlPr>
                      <w:rPr>
                        <w:rFonts w:ascii="Cambria Math" w:eastAsia="Times New Roman" w:hAnsi="Cambria Math"/>
                        <w:b w:val="0"/>
                        <w:bCs/>
                        <w:i/>
                        <w:sz w:val="20"/>
                        <w:lang w:val="en-US"/>
                      </w:rPr>
                    </m:ctrlPr>
                  </m:sSubPr>
                  <m:e>
                    <m:r>
                      <m:rPr>
                        <m:sty m:val="bi"/>
                      </m:rPr>
                      <w:rPr>
                        <w:rFonts w:ascii="Cambria Math" w:hAnsi="Cambria Math"/>
                        <w:sz w:val="20"/>
                        <w:lang w:val="en-US"/>
                      </w:rPr>
                      <m:t>T</m:t>
                    </m:r>
                  </m:e>
                  <m:sub>
                    <m:r>
                      <m:rPr>
                        <m:sty m:val="bi"/>
                      </m:rPr>
                      <w:rPr>
                        <w:rFonts w:ascii="Cambria Math" w:hAnsi="Cambria Math"/>
                        <w:sz w:val="20"/>
                        <w:lang w:val="en-US"/>
                      </w:rPr>
                      <m:t>3</m:t>
                    </m:r>
                  </m:sub>
                </m:sSub>
              </m:oMath>
            </m:oMathPara>
          </w:p>
        </w:tc>
        <w:tc>
          <w:tcPr>
            <w:tcW w:w="1247" w:type="dxa"/>
            <w:vAlign w:val="center"/>
          </w:tcPr>
          <w:p w14:paraId="3AAC3EDE" w14:textId="77777777" w:rsidR="00E662AE" w:rsidRPr="00450807" w:rsidRDefault="00E662AE" w:rsidP="006922B2">
            <w:pPr>
              <w:pStyle w:val="Table"/>
              <w:spacing w:line="240" w:lineRule="auto"/>
              <w:cnfStyle w:val="000000100000" w:firstRow="0" w:lastRow="0" w:firstColumn="0" w:lastColumn="0" w:oddVBand="0" w:evenVBand="0" w:oddHBand="1" w:evenHBand="0" w:firstRowFirstColumn="0" w:firstRowLastColumn="0" w:lastRowFirstColumn="0" w:lastRowLastColumn="0"/>
              <w:rPr>
                <w:sz w:val="20"/>
                <w:lang w:val="en-US"/>
              </w:rPr>
            </w:pPr>
            <w:r w:rsidRPr="00450807">
              <w:rPr>
                <w:sz w:val="20"/>
                <w:lang w:val="en-US"/>
              </w:rPr>
              <w:t>°C</w:t>
            </w:r>
          </w:p>
        </w:tc>
        <w:tc>
          <w:tcPr>
            <w:tcW w:w="1329" w:type="dxa"/>
            <w:noWrap/>
            <w:vAlign w:val="center"/>
            <w:hideMark/>
          </w:tcPr>
          <w:p w14:paraId="7CF4B079" w14:textId="77777777" w:rsidR="00E662AE" w:rsidRPr="00450807" w:rsidRDefault="00E662AE" w:rsidP="006922B2">
            <w:pPr>
              <w:pStyle w:val="Table"/>
              <w:spacing w:line="240" w:lineRule="auto"/>
              <w:cnfStyle w:val="000000100000" w:firstRow="0" w:lastRow="0" w:firstColumn="0" w:lastColumn="0" w:oddVBand="0" w:evenVBand="0" w:oddHBand="1" w:evenHBand="0" w:firstRowFirstColumn="0" w:firstRowLastColumn="0" w:lastRowFirstColumn="0" w:lastRowLastColumn="0"/>
              <w:rPr>
                <w:sz w:val="20"/>
              </w:rPr>
            </w:pPr>
            <w:r w:rsidRPr="00450807">
              <w:rPr>
                <w:sz w:val="20"/>
              </w:rPr>
              <w:t>830</w:t>
            </w:r>
          </w:p>
        </w:tc>
        <w:tc>
          <w:tcPr>
            <w:tcW w:w="1247" w:type="dxa"/>
            <w:vAlign w:val="center"/>
          </w:tcPr>
          <w:p w14:paraId="52230C64" w14:textId="77777777" w:rsidR="00E662AE" w:rsidRPr="00450807" w:rsidRDefault="00E662AE" w:rsidP="006922B2">
            <w:pPr>
              <w:pStyle w:val="Table"/>
              <w:spacing w:line="240" w:lineRule="auto"/>
              <w:cnfStyle w:val="000000100000" w:firstRow="0" w:lastRow="0" w:firstColumn="0" w:lastColumn="0" w:oddVBand="0" w:evenVBand="0" w:oddHBand="1" w:evenHBand="0" w:firstRowFirstColumn="0" w:firstRowLastColumn="0" w:lastRowFirstColumn="0" w:lastRowLastColumn="0"/>
              <w:rPr>
                <w:sz w:val="20"/>
              </w:rPr>
            </w:pPr>
            <w:r w:rsidRPr="00450807">
              <w:rPr>
                <w:sz w:val="20"/>
              </w:rPr>
              <w:t>890</w:t>
            </w:r>
          </w:p>
        </w:tc>
      </w:tr>
      <w:tr w:rsidR="006922B2" w:rsidRPr="00450807" w14:paraId="715DCEFF" w14:textId="77777777" w:rsidTr="00450807">
        <w:trPr>
          <w:trHeight w:val="397"/>
          <w:jc w:val="center"/>
        </w:trPr>
        <w:tc>
          <w:tcPr>
            <w:cnfStyle w:val="001000000000" w:firstRow="0" w:lastRow="0" w:firstColumn="1" w:lastColumn="0" w:oddVBand="0" w:evenVBand="0" w:oddHBand="0" w:evenHBand="0" w:firstRowFirstColumn="0" w:firstRowLastColumn="0" w:lastRowFirstColumn="0" w:lastRowLastColumn="0"/>
            <w:tcW w:w="1247" w:type="dxa"/>
            <w:noWrap/>
            <w:vAlign w:val="center"/>
          </w:tcPr>
          <w:p w14:paraId="6634FA39" w14:textId="58217D7F" w:rsidR="00E662AE" w:rsidRPr="00450807" w:rsidRDefault="0026261D" w:rsidP="006922B2">
            <w:pPr>
              <w:pStyle w:val="Table"/>
              <w:spacing w:line="240" w:lineRule="auto"/>
              <w:rPr>
                <w:b w:val="0"/>
                <w:sz w:val="20"/>
                <w:lang w:val="en-US"/>
              </w:rPr>
            </w:pPr>
            <m:oMathPara>
              <m:oMath>
                <m:r>
                  <m:rPr>
                    <m:sty m:val="bi"/>
                  </m:rPr>
                  <w:rPr>
                    <w:rFonts w:ascii="Cambria Math" w:eastAsia="Times New Roman" w:hAnsi="Cambria Math"/>
                    <w:sz w:val="20"/>
                    <w:lang w:val="en-US"/>
                  </w:rPr>
                  <m:t>CO</m:t>
                </m:r>
              </m:oMath>
            </m:oMathPara>
          </w:p>
        </w:tc>
        <w:tc>
          <w:tcPr>
            <w:tcW w:w="1247" w:type="dxa"/>
            <w:vAlign w:val="center"/>
          </w:tcPr>
          <w:p w14:paraId="19705292" w14:textId="77777777" w:rsidR="00E662AE" w:rsidRPr="00450807" w:rsidRDefault="00E662AE" w:rsidP="006922B2">
            <w:pPr>
              <w:pStyle w:val="Table"/>
              <w:spacing w:line="240" w:lineRule="auto"/>
              <w:cnfStyle w:val="000000000000" w:firstRow="0" w:lastRow="0" w:firstColumn="0" w:lastColumn="0" w:oddVBand="0" w:evenVBand="0" w:oddHBand="0" w:evenHBand="0" w:firstRowFirstColumn="0" w:firstRowLastColumn="0" w:lastRowFirstColumn="0" w:lastRowLastColumn="0"/>
              <w:rPr>
                <w:sz w:val="20"/>
              </w:rPr>
            </w:pPr>
            <w:r w:rsidRPr="00450807">
              <w:rPr>
                <w:sz w:val="20"/>
              </w:rPr>
              <w:t>%</w:t>
            </w:r>
          </w:p>
        </w:tc>
        <w:tc>
          <w:tcPr>
            <w:tcW w:w="1329" w:type="dxa"/>
            <w:noWrap/>
            <w:vAlign w:val="center"/>
          </w:tcPr>
          <w:p w14:paraId="051C7A2B" w14:textId="77777777" w:rsidR="00E662AE" w:rsidRPr="00450807" w:rsidRDefault="00E662AE" w:rsidP="006922B2">
            <w:pPr>
              <w:pStyle w:val="Table"/>
              <w:spacing w:line="240" w:lineRule="auto"/>
              <w:cnfStyle w:val="000000000000" w:firstRow="0" w:lastRow="0" w:firstColumn="0" w:lastColumn="0" w:oddVBand="0" w:evenVBand="0" w:oddHBand="0" w:evenHBand="0" w:firstRowFirstColumn="0" w:firstRowLastColumn="0" w:lastRowFirstColumn="0" w:lastRowLastColumn="0"/>
              <w:rPr>
                <w:sz w:val="20"/>
              </w:rPr>
            </w:pPr>
            <w:r w:rsidRPr="00450807">
              <w:rPr>
                <w:sz w:val="20"/>
              </w:rPr>
              <w:t>0.29</w:t>
            </w:r>
          </w:p>
        </w:tc>
        <w:tc>
          <w:tcPr>
            <w:tcW w:w="1247" w:type="dxa"/>
            <w:vAlign w:val="center"/>
          </w:tcPr>
          <w:p w14:paraId="30876FE8" w14:textId="19414E30" w:rsidR="00E662AE" w:rsidRPr="00450807" w:rsidRDefault="00E662AE" w:rsidP="006922B2">
            <w:pPr>
              <w:pStyle w:val="Table"/>
              <w:spacing w:line="240" w:lineRule="auto"/>
              <w:cnfStyle w:val="000000000000" w:firstRow="0" w:lastRow="0" w:firstColumn="0" w:lastColumn="0" w:oddVBand="0" w:evenVBand="0" w:oddHBand="0" w:evenHBand="0" w:firstRowFirstColumn="0" w:firstRowLastColumn="0" w:lastRowFirstColumn="0" w:lastRowLastColumn="0"/>
              <w:rPr>
                <w:sz w:val="20"/>
              </w:rPr>
            </w:pPr>
            <w:r w:rsidRPr="00450807">
              <w:rPr>
                <w:sz w:val="20"/>
              </w:rPr>
              <w:t>mean 0.16</w:t>
            </w:r>
          </w:p>
          <w:p w14:paraId="56DCD82B" w14:textId="77777777" w:rsidR="00E662AE" w:rsidRPr="00450807" w:rsidRDefault="00E662AE" w:rsidP="006922B2">
            <w:pPr>
              <w:pStyle w:val="Table"/>
              <w:spacing w:line="240" w:lineRule="auto"/>
              <w:cnfStyle w:val="000000000000" w:firstRow="0" w:lastRow="0" w:firstColumn="0" w:lastColumn="0" w:oddVBand="0" w:evenVBand="0" w:oddHBand="0" w:evenHBand="0" w:firstRowFirstColumn="0" w:firstRowLastColumn="0" w:lastRowFirstColumn="0" w:lastRowLastColumn="0"/>
              <w:rPr>
                <w:sz w:val="20"/>
              </w:rPr>
            </w:pPr>
            <w:r w:rsidRPr="00450807">
              <w:rPr>
                <w:sz w:val="20"/>
              </w:rPr>
              <w:t>max 0.53</w:t>
            </w:r>
          </w:p>
        </w:tc>
      </w:tr>
      <w:tr w:rsidR="006922B2" w:rsidRPr="00450807" w14:paraId="0B97766E" w14:textId="77777777" w:rsidTr="00450807">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1247" w:type="dxa"/>
            <w:noWrap/>
            <w:vAlign w:val="center"/>
          </w:tcPr>
          <w:p w14:paraId="36DB03A0" w14:textId="36A74020" w:rsidR="00E662AE" w:rsidRPr="00450807" w:rsidRDefault="006A17F1" w:rsidP="006922B2">
            <w:pPr>
              <w:pStyle w:val="Table"/>
              <w:spacing w:line="240" w:lineRule="auto"/>
              <w:rPr>
                <w:b w:val="0"/>
                <w:bCs/>
                <w:sz w:val="20"/>
                <w:lang w:val="en-US"/>
              </w:rPr>
            </w:pPr>
            <m:oMathPara>
              <m:oMath>
                <m:sSub>
                  <m:sSubPr>
                    <m:ctrlPr>
                      <w:rPr>
                        <w:rFonts w:ascii="Cambria Math" w:eastAsia="Times New Roman" w:hAnsi="Cambria Math"/>
                        <w:b w:val="0"/>
                        <w:bCs/>
                        <w:i/>
                        <w:sz w:val="20"/>
                        <w:lang w:val="en-US"/>
                      </w:rPr>
                    </m:ctrlPr>
                  </m:sSubPr>
                  <m:e>
                    <m:r>
                      <m:rPr>
                        <m:sty m:val="bi"/>
                      </m:rPr>
                      <w:rPr>
                        <w:rFonts w:ascii="Cambria Math" w:eastAsia="Times New Roman" w:hAnsi="Cambria Math"/>
                        <w:sz w:val="20"/>
                        <w:lang w:val="en-US"/>
                      </w:rPr>
                      <m:t>H</m:t>
                    </m:r>
                  </m:e>
                  <m:sub>
                    <m:r>
                      <m:rPr>
                        <m:sty m:val="bi"/>
                      </m:rPr>
                      <w:rPr>
                        <w:rFonts w:ascii="Cambria Math" w:eastAsia="Times New Roman" w:hAnsi="Cambria Math"/>
                        <w:sz w:val="20"/>
                        <w:lang w:val="en-US"/>
                      </w:rPr>
                      <m:t>2</m:t>
                    </m:r>
                  </m:sub>
                </m:sSub>
              </m:oMath>
            </m:oMathPara>
          </w:p>
        </w:tc>
        <w:tc>
          <w:tcPr>
            <w:tcW w:w="1247" w:type="dxa"/>
            <w:vAlign w:val="center"/>
          </w:tcPr>
          <w:p w14:paraId="0B26D5B0" w14:textId="77777777" w:rsidR="00E662AE" w:rsidRPr="00450807" w:rsidRDefault="00E662AE" w:rsidP="006922B2">
            <w:pPr>
              <w:pStyle w:val="Table"/>
              <w:spacing w:line="240" w:lineRule="auto"/>
              <w:cnfStyle w:val="000000100000" w:firstRow="0" w:lastRow="0" w:firstColumn="0" w:lastColumn="0" w:oddVBand="0" w:evenVBand="0" w:oddHBand="1" w:evenHBand="0" w:firstRowFirstColumn="0" w:firstRowLastColumn="0" w:lastRowFirstColumn="0" w:lastRowLastColumn="0"/>
              <w:rPr>
                <w:sz w:val="20"/>
              </w:rPr>
            </w:pPr>
            <w:r w:rsidRPr="00450807">
              <w:rPr>
                <w:sz w:val="20"/>
              </w:rPr>
              <w:t>%</w:t>
            </w:r>
          </w:p>
        </w:tc>
        <w:tc>
          <w:tcPr>
            <w:tcW w:w="1329" w:type="dxa"/>
            <w:noWrap/>
            <w:vAlign w:val="center"/>
          </w:tcPr>
          <w:p w14:paraId="6BE07C21" w14:textId="77777777" w:rsidR="00E662AE" w:rsidRPr="00450807" w:rsidRDefault="00E662AE" w:rsidP="006922B2">
            <w:pPr>
              <w:pStyle w:val="Table"/>
              <w:spacing w:line="240" w:lineRule="auto"/>
              <w:cnfStyle w:val="000000100000" w:firstRow="0" w:lastRow="0" w:firstColumn="0" w:lastColumn="0" w:oddVBand="0" w:evenVBand="0" w:oddHBand="1" w:evenHBand="0" w:firstRowFirstColumn="0" w:firstRowLastColumn="0" w:lastRowFirstColumn="0" w:lastRowLastColumn="0"/>
              <w:rPr>
                <w:sz w:val="20"/>
              </w:rPr>
            </w:pPr>
            <w:r w:rsidRPr="00450807">
              <w:rPr>
                <w:sz w:val="20"/>
              </w:rPr>
              <w:t>0.52</w:t>
            </w:r>
          </w:p>
        </w:tc>
        <w:tc>
          <w:tcPr>
            <w:tcW w:w="1247" w:type="dxa"/>
            <w:vAlign w:val="center"/>
          </w:tcPr>
          <w:p w14:paraId="1E06EADD" w14:textId="77777777" w:rsidR="00E662AE" w:rsidRPr="00450807" w:rsidRDefault="00E662AE" w:rsidP="006922B2">
            <w:pPr>
              <w:pStyle w:val="Table"/>
              <w:spacing w:line="240" w:lineRule="auto"/>
              <w:cnfStyle w:val="000000100000" w:firstRow="0" w:lastRow="0" w:firstColumn="0" w:lastColumn="0" w:oddVBand="0" w:evenVBand="0" w:oddHBand="1" w:evenHBand="0" w:firstRowFirstColumn="0" w:firstRowLastColumn="0" w:lastRowFirstColumn="0" w:lastRowLastColumn="0"/>
              <w:rPr>
                <w:sz w:val="20"/>
              </w:rPr>
            </w:pPr>
            <w:r w:rsidRPr="00450807">
              <w:rPr>
                <w:sz w:val="20"/>
              </w:rPr>
              <w:t>mean 0.10</w:t>
            </w:r>
          </w:p>
          <w:p w14:paraId="0A6CD0EB" w14:textId="77777777" w:rsidR="00E662AE" w:rsidRPr="00450807" w:rsidRDefault="00E662AE" w:rsidP="006922B2">
            <w:pPr>
              <w:pStyle w:val="Table"/>
              <w:spacing w:line="240" w:lineRule="auto"/>
              <w:cnfStyle w:val="000000100000" w:firstRow="0" w:lastRow="0" w:firstColumn="0" w:lastColumn="0" w:oddVBand="0" w:evenVBand="0" w:oddHBand="1" w:evenHBand="0" w:firstRowFirstColumn="0" w:firstRowLastColumn="0" w:lastRowFirstColumn="0" w:lastRowLastColumn="0"/>
              <w:rPr>
                <w:sz w:val="20"/>
              </w:rPr>
            </w:pPr>
            <w:r w:rsidRPr="00450807">
              <w:rPr>
                <w:sz w:val="20"/>
              </w:rPr>
              <w:t>max 0.34</w:t>
            </w:r>
          </w:p>
        </w:tc>
      </w:tr>
      <w:tr w:rsidR="006922B2" w:rsidRPr="00450807" w14:paraId="3FBCA06B" w14:textId="77777777" w:rsidTr="00450807">
        <w:trPr>
          <w:trHeight w:val="397"/>
          <w:jc w:val="center"/>
        </w:trPr>
        <w:tc>
          <w:tcPr>
            <w:cnfStyle w:val="001000000000" w:firstRow="0" w:lastRow="0" w:firstColumn="1" w:lastColumn="0" w:oddVBand="0" w:evenVBand="0" w:oddHBand="0" w:evenHBand="0" w:firstRowFirstColumn="0" w:firstRowLastColumn="0" w:lastRowFirstColumn="0" w:lastRowLastColumn="0"/>
            <w:tcW w:w="1247" w:type="dxa"/>
            <w:noWrap/>
            <w:vAlign w:val="center"/>
          </w:tcPr>
          <w:p w14:paraId="4CA71022" w14:textId="376ED28A" w:rsidR="00E662AE" w:rsidRPr="00450807" w:rsidRDefault="006A17F1" w:rsidP="006922B2">
            <w:pPr>
              <w:pStyle w:val="Table"/>
              <w:spacing w:line="240" w:lineRule="auto"/>
              <w:rPr>
                <w:b w:val="0"/>
                <w:bCs/>
                <w:sz w:val="20"/>
                <w:lang w:val="en-US"/>
              </w:rPr>
            </w:pPr>
            <m:oMathPara>
              <m:oMath>
                <m:sSub>
                  <m:sSubPr>
                    <m:ctrlPr>
                      <w:rPr>
                        <w:rFonts w:ascii="Cambria Math" w:eastAsia="Times New Roman" w:hAnsi="Cambria Math"/>
                        <w:b w:val="0"/>
                        <w:bCs/>
                        <w:i/>
                        <w:sz w:val="20"/>
                        <w:lang w:val="en-US"/>
                      </w:rPr>
                    </m:ctrlPr>
                  </m:sSubPr>
                  <m:e>
                    <m:r>
                      <m:rPr>
                        <m:sty m:val="bi"/>
                      </m:rPr>
                      <w:rPr>
                        <w:rFonts w:ascii="Cambria Math" w:eastAsia="Times New Roman" w:hAnsi="Cambria Math"/>
                        <w:sz w:val="20"/>
                        <w:lang w:val="en-US"/>
                      </w:rPr>
                      <m:t>F</m:t>
                    </m:r>
                  </m:e>
                  <m:sub>
                    <m:r>
                      <m:rPr>
                        <m:sty m:val="bi"/>
                      </m:rPr>
                      <w:rPr>
                        <w:rFonts w:ascii="Cambria Math" w:eastAsia="Times New Roman" w:hAnsi="Cambria Math"/>
                        <w:sz w:val="20"/>
                        <w:lang w:val="en-US"/>
                      </w:rPr>
                      <m:t>O</m:t>
                    </m:r>
                    <m:r>
                      <m:rPr>
                        <m:sty m:val="bi"/>
                      </m:rPr>
                      <w:rPr>
                        <w:rFonts w:ascii="Cambria Math" w:eastAsia="Times New Roman" w:hAnsi="Cambria Math"/>
                        <w:sz w:val="20"/>
                        <w:lang w:val="en-US"/>
                      </w:rPr>
                      <m:t>2</m:t>
                    </m:r>
                  </m:sub>
                </m:sSub>
              </m:oMath>
            </m:oMathPara>
          </w:p>
        </w:tc>
        <w:tc>
          <w:tcPr>
            <w:tcW w:w="1247" w:type="dxa"/>
            <w:vAlign w:val="center"/>
          </w:tcPr>
          <w:p w14:paraId="4022CEB4" w14:textId="77777777" w:rsidR="00E662AE" w:rsidRPr="00450807" w:rsidRDefault="00E662AE" w:rsidP="006922B2">
            <w:pPr>
              <w:pStyle w:val="Table"/>
              <w:spacing w:line="240" w:lineRule="auto"/>
              <w:cnfStyle w:val="000000000000" w:firstRow="0" w:lastRow="0" w:firstColumn="0" w:lastColumn="0" w:oddVBand="0" w:evenVBand="0" w:oddHBand="0" w:evenHBand="0" w:firstRowFirstColumn="0" w:firstRowLastColumn="0" w:lastRowFirstColumn="0" w:lastRowLastColumn="0"/>
              <w:rPr>
                <w:sz w:val="20"/>
              </w:rPr>
            </w:pPr>
            <w:r w:rsidRPr="00450807">
              <w:rPr>
                <w:sz w:val="20"/>
              </w:rPr>
              <w:t>l/h</w:t>
            </w:r>
          </w:p>
        </w:tc>
        <w:tc>
          <w:tcPr>
            <w:tcW w:w="1329" w:type="dxa"/>
            <w:noWrap/>
            <w:vAlign w:val="center"/>
          </w:tcPr>
          <w:p w14:paraId="1260ADE1" w14:textId="77777777" w:rsidR="00E662AE" w:rsidRPr="00450807" w:rsidRDefault="00E662AE" w:rsidP="006922B2">
            <w:pPr>
              <w:pStyle w:val="Table"/>
              <w:spacing w:line="240" w:lineRule="auto"/>
              <w:cnfStyle w:val="000000000000" w:firstRow="0" w:lastRow="0" w:firstColumn="0" w:lastColumn="0" w:oddVBand="0" w:evenVBand="0" w:oddHBand="0" w:evenHBand="0" w:firstRowFirstColumn="0" w:firstRowLastColumn="0" w:lastRowFirstColumn="0" w:lastRowLastColumn="0"/>
              <w:rPr>
                <w:sz w:val="20"/>
              </w:rPr>
            </w:pPr>
            <w:r w:rsidRPr="00450807">
              <w:rPr>
                <w:sz w:val="20"/>
              </w:rPr>
              <w:t>201</w:t>
            </w:r>
          </w:p>
        </w:tc>
        <w:tc>
          <w:tcPr>
            <w:tcW w:w="1247" w:type="dxa"/>
            <w:vAlign w:val="center"/>
          </w:tcPr>
          <w:p w14:paraId="21FB4617" w14:textId="77777777" w:rsidR="00E662AE" w:rsidRPr="00450807" w:rsidRDefault="00E662AE" w:rsidP="006922B2">
            <w:pPr>
              <w:pStyle w:val="Table"/>
              <w:spacing w:line="240" w:lineRule="auto"/>
              <w:cnfStyle w:val="000000000000" w:firstRow="0" w:lastRow="0" w:firstColumn="0" w:lastColumn="0" w:oddVBand="0" w:evenVBand="0" w:oddHBand="0" w:evenHBand="0" w:firstRowFirstColumn="0" w:firstRowLastColumn="0" w:lastRowFirstColumn="0" w:lastRowLastColumn="0"/>
              <w:rPr>
                <w:sz w:val="20"/>
              </w:rPr>
            </w:pPr>
            <w:r w:rsidRPr="00450807">
              <w:rPr>
                <w:sz w:val="20"/>
              </w:rPr>
              <w:t>199</w:t>
            </w:r>
          </w:p>
        </w:tc>
      </w:tr>
    </w:tbl>
    <w:p w14:paraId="42630E53" w14:textId="77777777" w:rsidR="00E662AE" w:rsidRDefault="00E662AE" w:rsidP="00E662AE">
      <w:pPr>
        <w:rPr>
          <w:lang w:val="en-US"/>
        </w:rPr>
      </w:pPr>
    </w:p>
    <w:p w14:paraId="66FE28D3" w14:textId="0E5E1FDC" w:rsidR="00E662AE" w:rsidRDefault="00E662AE" w:rsidP="00E662AE">
      <w:pPr>
        <w:rPr>
          <w:lang w:val="en-US"/>
        </w:rPr>
      </w:pPr>
      <w:r>
        <w:rPr>
          <w:lang w:val="en-US"/>
        </w:rPr>
        <w:t xml:space="preserve">The temperature predictions obtained by the numerical model differ no more than 8% </w:t>
      </w:r>
      <w:r w:rsidR="00680ECD">
        <w:rPr>
          <w:noProof/>
          <w:lang w:val="en-US"/>
        </w:rPr>
        <w:t>on</w:t>
      </w:r>
      <w:r>
        <w:rPr>
          <w:lang w:val="en-US"/>
        </w:rPr>
        <w:t xml:space="preserve"> the values measured by thermocouples T1, T2, T3. The biggest difference between the model and the experiment </w:t>
      </w:r>
      <w:r w:rsidRPr="00680ECD">
        <w:rPr>
          <w:noProof/>
          <w:lang w:val="en-US"/>
        </w:rPr>
        <w:t>is reported</w:t>
      </w:r>
      <w:r>
        <w:rPr>
          <w:lang w:val="en-US"/>
        </w:rPr>
        <w:t xml:space="preserve"> at the outlet (T3). It can </w:t>
      </w:r>
      <w:r w:rsidRPr="00680ECD">
        <w:rPr>
          <w:noProof/>
          <w:lang w:val="en-US"/>
        </w:rPr>
        <w:t>be explained</w:t>
      </w:r>
      <w:r>
        <w:rPr>
          <w:lang w:val="en-US"/>
        </w:rPr>
        <w:t xml:space="preserve"> by the fact that the domain of the numerical model does</w:t>
      </w:r>
      <w:r w:rsidR="00917793">
        <w:rPr>
          <w:lang w:val="en-US"/>
        </w:rPr>
        <w:t xml:space="preserve"> not</w:t>
      </w:r>
      <w:r>
        <w:rPr>
          <w:lang w:val="en-US"/>
        </w:rPr>
        <w:t xml:space="preserve"> extend much into the outlet duct, but ends at</w:t>
      </w:r>
      <w:r w:rsidR="00680ECD">
        <w:rPr>
          <w:lang w:val="en-US"/>
        </w:rPr>
        <w:t xml:space="preserve"> a</w:t>
      </w:r>
      <w:r>
        <w:rPr>
          <w:lang w:val="en-US"/>
        </w:rPr>
        <w:t xml:space="preserve"> </w:t>
      </w:r>
      <w:r w:rsidRPr="00680ECD">
        <w:rPr>
          <w:noProof/>
          <w:lang w:val="en-US"/>
        </w:rPr>
        <w:t>short</w:t>
      </w:r>
      <w:r>
        <w:rPr>
          <w:lang w:val="en-US"/>
        </w:rPr>
        <w:t xml:space="preserve"> distance downstream the burner. Thus</w:t>
      </w:r>
      <w:r w:rsidR="0026261D">
        <w:rPr>
          <w:lang w:val="en-US"/>
        </w:rPr>
        <w:t>,</w:t>
      </w:r>
      <w:r>
        <w:rPr>
          <w:lang w:val="en-US"/>
        </w:rPr>
        <w:t xml:space="preserve"> the temperature assumed at the outlet of the model can differ from reality. Secondly, the measured temperature at the outlet (T3) was not constant during the </w:t>
      </w:r>
      <w:r w:rsidRPr="00680ECD">
        <w:rPr>
          <w:noProof/>
          <w:lang w:val="en-US"/>
        </w:rPr>
        <w:t>experiment</w:t>
      </w:r>
      <w:r w:rsidR="00680ECD">
        <w:rPr>
          <w:noProof/>
          <w:lang w:val="en-US"/>
        </w:rPr>
        <w:t>,</w:t>
      </w:r>
      <w:r>
        <w:rPr>
          <w:lang w:val="en-US"/>
        </w:rPr>
        <w:t xml:space="preserve"> and it tended to be higher with time. This fact can indicate that the heating-up process of the </w:t>
      </w:r>
      <w:r w:rsidRPr="00680ECD">
        <w:rPr>
          <w:noProof/>
          <w:lang w:val="en-US"/>
        </w:rPr>
        <w:t>experimental</w:t>
      </w:r>
      <w:r>
        <w:rPr>
          <w:lang w:val="en-US"/>
        </w:rPr>
        <w:t xml:space="preserve"> stand </w:t>
      </w:r>
      <w:r w:rsidRPr="00680ECD">
        <w:rPr>
          <w:noProof/>
          <w:lang w:val="en-US"/>
        </w:rPr>
        <w:t>was not fully completed</w:t>
      </w:r>
      <w:r>
        <w:rPr>
          <w:lang w:val="en-US"/>
        </w:rPr>
        <w:t>.</w:t>
      </w:r>
    </w:p>
    <w:p w14:paraId="3F710895" w14:textId="1F4DA1DE" w:rsidR="00E662AE" w:rsidRDefault="00E662AE" w:rsidP="00E662AE">
      <w:pPr>
        <w:rPr>
          <w:lang w:val="en-US"/>
        </w:rPr>
      </w:pPr>
      <w:r w:rsidRPr="00A00B8F">
        <w:rPr>
          <w:lang w:val="en-US"/>
        </w:rPr>
        <w:t>The emissions of H</w:t>
      </w:r>
      <w:r w:rsidRPr="00A00B8F">
        <w:rPr>
          <w:vertAlign w:val="subscript"/>
          <w:lang w:val="en-US"/>
        </w:rPr>
        <w:t>2</w:t>
      </w:r>
      <w:r w:rsidRPr="00A00B8F">
        <w:rPr>
          <w:lang w:val="en-US"/>
        </w:rPr>
        <w:t xml:space="preserve"> and CO predicted by the model </w:t>
      </w:r>
      <w:r w:rsidRPr="00680ECD">
        <w:rPr>
          <w:noProof/>
          <w:lang w:val="en-US"/>
        </w:rPr>
        <w:t>are shown</w:t>
      </w:r>
      <w:r w:rsidRPr="00A00B8F">
        <w:rPr>
          <w:lang w:val="en-US"/>
        </w:rPr>
        <w:t xml:space="preserve"> in </w:t>
      </w:r>
      <w:r w:rsidR="00450807">
        <w:rPr>
          <w:lang w:val="en-US"/>
        </w:rPr>
        <w:fldChar w:fldCharType="begin"/>
      </w:r>
      <w:r w:rsidR="00450807">
        <w:rPr>
          <w:lang w:val="en-US"/>
        </w:rPr>
        <w:instrText xml:space="preserve"> REF _Ref469580179 \h </w:instrText>
      </w:r>
      <w:r w:rsidR="00450807">
        <w:rPr>
          <w:lang w:val="en-US"/>
        </w:rPr>
      </w:r>
      <w:r w:rsidR="00450807">
        <w:rPr>
          <w:lang w:val="en-US"/>
        </w:rPr>
        <w:fldChar w:fldCharType="separate"/>
      </w:r>
      <w:r w:rsidR="00450807" w:rsidRPr="00450807">
        <w:t xml:space="preserve">Table </w:t>
      </w:r>
      <w:r w:rsidR="00450807" w:rsidRPr="00450807">
        <w:rPr>
          <w:noProof/>
        </w:rPr>
        <w:t>4</w:t>
      </w:r>
      <w:r w:rsidR="00450807">
        <w:rPr>
          <w:lang w:val="en-US"/>
        </w:rPr>
        <w:fldChar w:fldCharType="end"/>
      </w:r>
      <w:r w:rsidR="00450807">
        <w:rPr>
          <w:lang w:val="en-US"/>
        </w:rPr>
        <w:t xml:space="preserve"> </w:t>
      </w:r>
      <w:r w:rsidRPr="00A00B8F">
        <w:rPr>
          <w:lang w:val="en-US"/>
        </w:rPr>
        <w:t xml:space="preserve">in the form of </w:t>
      </w:r>
      <w:r w:rsidRPr="00680ECD">
        <w:rPr>
          <w:noProof/>
          <w:lang w:val="en-US"/>
        </w:rPr>
        <w:t>area</w:t>
      </w:r>
      <w:r w:rsidR="00680ECD">
        <w:rPr>
          <w:noProof/>
          <w:lang w:val="en-US"/>
        </w:rPr>
        <w:t xml:space="preserve"> </w:t>
      </w:r>
      <w:r w:rsidRPr="00680ECD">
        <w:rPr>
          <w:noProof/>
          <w:lang w:val="en-US"/>
        </w:rPr>
        <w:t>mean</w:t>
      </w:r>
      <w:r>
        <w:rPr>
          <w:lang w:val="en-US"/>
        </w:rPr>
        <w:t xml:space="preserve"> value and maximum value in the cross-section area of the outlet. Although the mean emission values differ significantly from the experimental data, this is not the case for the maximum values, which are close to the measurements. The measurements of H</w:t>
      </w:r>
      <w:r w:rsidRPr="002B3FEB">
        <w:rPr>
          <w:vertAlign w:val="subscript"/>
          <w:lang w:val="en-US"/>
        </w:rPr>
        <w:t>2</w:t>
      </w:r>
      <w:r>
        <w:rPr>
          <w:lang w:val="en-US"/>
        </w:rPr>
        <w:t xml:space="preserve"> and CO concentrations are done probing the </w:t>
      </w:r>
      <w:r w:rsidRPr="00680ECD">
        <w:rPr>
          <w:noProof/>
          <w:lang w:val="en-US"/>
        </w:rPr>
        <w:t>gases</w:t>
      </w:r>
      <w:r>
        <w:rPr>
          <w:lang w:val="en-US"/>
        </w:rPr>
        <w:t xml:space="preserve"> in the symmetry </w:t>
      </w:r>
      <w:r>
        <w:rPr>
          <w:lang w:val="en-US"/>
        </w:rPr>
        <w:lastRenderedPageBreak/>
        <w:t>axis of the duct. In the case of</w:t>
      </w:r>
      <w:r w:rsidR="00680ECD">
        <w:rPr>
          <w:lang w:val="en-US"/>
        </w:rPr>
        <w:t xml:space="preserve"> the</w:t>
      </w:r>
      <w:r>
        <w:rPr>
          <w:lang w:val="en-US"/>
        </w:rPr>
        <w:t xml:space="preserve"> </w:t>
      </w:r>
      <w:r w:rsidRPr="00680ECD">
        <w:rPr>
          <w:noProof/>
          <w:lang w:val="en-US"/>
        </w:rPr>
        <w:t>numerical</w:t>
      </w:r>
      <w:r>
        <w:rPr>
          <w:lang w:val="en-US"/>
        </w:rPr>
        <w:t xml:space="preserve"> model, the </w:t>
      </w:r>
      <w:r w:rsidR="0026261D">
        <w:rPr>
          <w:lang w:val="en-US"/>
        </w:rPr>
        <w:t>highest values</w:t>
      </w:r>
      <w:r>
        <w:rPr>
          <w:lang w:val="en-US"/>
        </w:rPr>
        <w:t xml:space="preserve"> of H</w:t>
      </w:r>
      <w:r w:rsidRPr="002B3FEB">
        <w:rPr>
          <w:vertAlign w:val="subscript"/>
          <w:lang w:val="en-US"/>
        </w:rPr>
        <w:t>2</w:t>
      </w:r>
      <w:r>
        <w:rPr>
          <w:lang w:val="en-US"/>
        </w:rPr>
        <w:t xml:space="preserve"> and CO </w:t>
      </w:r>
      <w:r w:rsidRPr="00680ECD">
        <w:rPr>
          <w:noProof/>
          <w:lang w:val="en-US"/>
        </w:rPr>
        <w:t>are reported</w:t>
      </w:r>
      <w:r>
        <w:rPr>
          <w:lang w:val="en-US"/>
        </w:rPr>
        <w:t xml:space="preserve"> in the axis of symmetry of the duct. Therefore, the numerical model predictions </w:t>
      </w:r>
      <w:r w:rsidRPr="00680ECD">
        <w:rPr>
          <w:noProof/>
          <w:lang w:val="en-US"/>
        </w:rPr>
        <w:t>are accepted</w:t>
      </w:r>
      <w:r>
        <w:rPr>
          <w:lang w:val="en-US"/>
        </w:rPr>
        <w:t xml:space="preserve"> at this stage. </w:t>
      </w:r>
      <w:r w:rsidR="00917793">
        <w:rPr>
          <w:lang w:val="en-US"/>
        </w:rPr>
        <w:t>It</w:t>
      </w:r>
      <w:r>
        <w:rPr>
          <w:lang w:val="en-US"/>
        </w:rPr>
        <w:t xml:space="preserve"> should </w:t>
      </w:r>
      <w:r w:rsidRPr="00680ECD">
        <w:rPr>
          <w:noProof/>
          <w:lang w:val="en-US"/>
        </w:rPr>
        <w:t>be emphasized</w:t>
      </w:r>
      <w:r>
        <w:rPr>
          <w:lang w:val="en-US"/>
        </w:rPr>
        <w:t xml:space="preserve"> that the experiment </w:t>
      </w:r>
      <w:r w:rsidRPr="00680ECD">
        <w:rPr>
          <w:noProof/>
          <w:lang w:val="en-US"/>
        </w:rPr>
        <w:t>show</w:t>
      </w:r>
      <w:r>
        <w:rPr>
          <w:lang w:val="en-US"/>
        </w:rPr>
        <w:t xml:space="preserve"> that H</w:t>
      </w:r>
      <w:r w:rsidRPr="002B3FEB">
        <w:rPr>
          <w:vertAlign w:val="subscript"/>
          <w:lang w:val="en-US"/>
        </w:rPr>
        <w:t>2</w:t>
      </w:r>
      <w:r>
        <w:rPr>
          <w:lang w:val="en-US"/>
        </w:rPr>
        <w:t xml:space="preserve"> emission was greater than CO, whereas the numerical model show</w:t>
      </w:r>
      <w:r w:rsidR="00917793">
        <w:rPr>
          <w:lang w:val="en-US"/>
        </w:rPr>
        <w:t>ed</w:t>
      </w:r>
      <w:r>
        <w:rPr>
          <w:lang w:val="en-US"/>
        </w:rPr>
        <w:t xml:space="preserve"> the opposite. </w:t>
      </w:r>
      <w:r w:rsidRPr="00680ECD">
        <w:rPr>
          <w:noProof/>
          <w:lang w:val="en-US"/>
        </w:rPr>
        <w:t>This can</w:t>
      </w:r>
      <w:r>
        <w:rPr>
          <w:lang w:val="en-US"/>
        </w:rPr>
        <w:t xml:space="preserve"> </w:t>
      </w:r>
      <w:r w:rsidRPr="00680ECD">
        <w:rPr>
          <w:noProof/>
          <w:lang w:val="en-US"/>
        </w:rPr>
        <w:t>be explained</w:t>
      </w:r>
      <w:r>
        <w:rPr>
          <w:lang w:val="en-US"/>
        </w:rPr>
        <w:t xml:space="preserve"> by the fact that slightly inaccurate kinetics parameters of the combustion reactions for H</w:t>
      </w:r>
      <w:r w:rsidRPr="002B3FEB">
        <w:rPr>
          <w:vertAlign w:val="subscript"/>
          <w:lang w:val="en-US"/>
        </w:rPr>
        <w:t>2</w:t>
      </w:r>
      <w:r>
        <w:rPr>
          <w:lang w:val="en-US"/>
        </w:rPr>
        <w:t xml:space="preserve"> and CO species </w:t>
      </w:r>
      <w:r w:rsidRPr="00680ECD">
        <w:rPr>
          <w:noProof/>
          <w:lang w:val="en-US"/>
        </w:rPr>
        <w:t>were chosen</w:t>
      </w:r>
      <w:r>
        <w:rPr>
          <w:lang w:val="en-US"/>
        </w:rPr>
        <w:t>.</w:t>
      </w:r>
    </w:p>
    <w:p w14:paraId="659073E9" w14:textId="133F71E6" w:rsidR="00BC09A2" w:rsidRDefault="00BC09A2" w:rsidP="00BC09A2">
      <w:pPr>
        <w:pStyle w:val="Titolo2"/>
        <w:rPr>
          <w:lang w:val="en-US"/>
        </w:rPr>
      </w:pPr>
      <w:r>
        <w:rPr>
          <w:lang w:val="en-US"/>
        </w:rPr>
        <w:t>Separation of H</w:t>
      </w:r>
      <w:r w:rsidRPr="003F09C8">
        <w:rPr>
          <w:vertAlign w:val="subscript"/>
          <w:lang w:val="en-US"/>
        </w:rPr>
        <w:t>2</w:t>
      </w:r>
      <w:r>
        <w:rPr>
          <w:lang w:val="en-US"/>
        </w:rPr>
        <w:t>O and CO</w:t>
      </w:r>
      <w:r w:rsidRPr="003F09C8">
        <w:rPr>
          <w:vertAlign w:val="subscript"/>
          <w:lang w:val="en-US"/>
        </w:rPr>
        <w:t>2</w:t>
      </w:r>
    </w:p>
    <w:p w14:paraId="5E6084F4" w14:textId="335C07CF" w:rsidR="003F018B" w:rsidRDefault="003F018B" w:rsidP="003F018B">
      <w:pPr>
        <w:rPr>
          <w:lang w:val="en-US"/>
        </w:rPr>
      </w:pPr>
      <w:r>
        <w:rPr>
          <w:lang w:val="en-US"/>
        </w:rPr>
        <w:t>The following section describes the development and lab testing of the unit used to constantly dry the CO</w:t>
      </w:r>
      <w:r w:rsidRPr="008C09C7">
        <w:rPr>
          <w:vertAlign w:val="subscript"/>
          <w:lang w:val="en-US"/>
        </w:rPr>
        <w:t>2</w:t>
      </w:r>
      <w:r>
        <w:rPr>
          <w:lang w:val="en-US"/>
        </w:rPr>
        <w:t xml:space="preserve"> stream resulting from oxy-combustion of the SOFC anode exhaust to a value below 500</w:t>
      </w:r>
      <w:r w:rsidR="0026261D">
        <w:rPr>
          <w:lang w:val="en-US"/>
        </w:rPr>
        <w:t xml:space="preserve"> </w:t>
      </w:r>
      <w:r>
        <w:rPr>
          <w:lang w:val="en-US"/>
        </w:rPr>
        <w:t xml:space="preserve">ppm, which has </w:t>
      </w:r>
      <w:r w:rsidRPr="00680ECD">
        <w:rPr>
          <w:noProof/>
          <w:lang w:val="en-US"/>
        </w:rPr>
        <w:t>been defined</w:t>
      </w:r>
      <w:r>
        <w:rPr>
          <w:lang w:val="en-US"/>
        </w:rPr>
        <w:t xml:space="preserve"> as the upper limit of H</w:t>
      </w:r>
      <w:r w:rsidRPr="008C09C7">
        <w:rPr>
          <w:vertAlign w:val="subscript"/>
          <w:lang w:val="en-US"/>
        </w:rPr>
        <w:t>2</w:t>
      </w:r>
      <w:r>
        <w:rPr>
          <w:lang w:val="en-US"/>
        </w:rPr>
        <w:t>O tolerable for pipeline transport in the EU project DYNAMIS</w:t>
      </w:r>
      <w:r w:rsidR="005A1C74">
        <w:rPr>
          <w:lang w:val="en-US"/>
        </w:rPr>
        <w:t xml:space="preserve"> </w:t>
      </w:r>
      <w:r w:rsidR="005A1C74">
        <w:rPr>
          <w:lang w:val="en-US"/>
        </w:rPr>
        <w:fldChar w:fldCharType="begin" w:fldLock="1"/>
      </w:r>
      <w:r w:rsidR="005A1C74">
        <w:rPr>
          <w:lang w:val="en-US"/>
        </w:rPr>
        <w:instrText>ADDIN CSL_CITATION { "citationItems" : [ { "id" : "ITEM-1", "itemData" : { "abstract" : " In the carbon capture and storage chain, capture, transport and storage set different requirements to the composition of the gas stream mainly containing CO 2 . This study investigates maximum allowable concentrations of impurities in the CO 2 in order to safely transport and store it underground. Recommendations on the quality of CO 2 are given from a transport perspective mainly. Among the issues addressed are safety and toxicity limits, hydrate formation, corrosion, cross-effect of H 2 S and H 2 O, cross-effect of H 2 O and CH 4 and free water formation. Limits set by the storage part are touched upon briefly.", "author" : [ { "dropping-particle" : "", "family" : "Visser", "given" : "Erika", "non-dropping-particle" : "de", "parse-names" : false, "suffix" : "" }, { "dropping-particle" : "", "family" : "Hendriks", "given" : "Chris", "non-dropping-particle" : "", "parse-names" : false, "suffix" : "" }, { "dropping-particle" : "", "family" : "Koeijer", "given" : "Gelein", "non-dropping-particle" : "de", "parse-names" : false, "suffix" : "" }, { "dropping-particle" : "", "family" : "Barrio", "given" : "Maria", "non-dropping-particle" : "", "parse-names" : false, "suffix" : "" }, { "dropping-particle" : "", "family" : "Liljemark", "given" : "Stefan", "non-dropping-particle" : "", "parse-names" : false, "suffix" : "" }, { "dropping-particle" : "", "family" : "Austegard", "given" : "Anders", "non-dropping-particle" : "", "parse-names" : false, "suffix" : "" }, { "dropping-particle" : "", "family" : "Brown", "given" : "Andy", "non-dropping-particle" : "", "parse-names" : false, "suffix" : "" } ], "id" : "ITEM-1", "issued" : { "date-parts" : [ [ "2007" ] ] }, "title" : "DYNAMIS CO2 quality recommendations - D 3.1.3 of Project &amp;quot;Towards Hydrogen and Electricity Production with Carbon Dioxide Capture and Storage&amp;quot;", "type" : "report" }, "uris" : [ "http://www.mendeley.com/documents/?uuid=9e716de0-7caa-3c87-af07-1ea0743a8d43" ] } ], "mendeley" : { "formattedCitation" : "[3]", "plainTextFormattedCitation" : "[3]", "previouslyFormattedCitation" : "[3]" }, "properties" : { "noteIndex" : 0 }, "schema" : "https://github.com/citation-style-language/schema/raw/master/csl-citation.json" }</w:instrText>
      </w:r>
      <w:r w:rsidR="005A1C74">
        <w:rPr>
          <w:lang w:val="en-US"/>
        </w:rPr>
        <w:fldChar w:fldCharType="separate"/>
      </w:r>
      <w:r w:rsidR="005A1C74" w:rsidRPr="005A1C74">
        <w:rPr>
          <w:noProof/>
          <w:lang w:val="en-US"/>
        </w:rPr>
        <w:t>[3]</w:t>
      </w:r>
      <w:r w:rsidR="005A1C74">
        <w:rPr>
          <w:lang w:val="en-US"/>
        </w:rPr>
        <w:fldChar w:fldCharType="end"/>
      </w:r>
      <w:r>
        <w:rPr>
          <w:lang w:val="en-US"/>
        </w:rPr>
        <w:t>.</w:t>
      </w:r>
    </w:p>
    <w:p w14:paraId="37D964C6" w14:textId="77ED6331" w:rsidR="003F018B" w:rsidRDefault="00680295" w:rsidP="003F018B">
      <w:pPr>
        <w:rPr>
          <w:lang w:val="en-US"/>
        </w:rPr>
      </w:pPr>
      <w:r>
        <w:rPr>
          <w:lang w:val="en-US"/>
        </w:rPr>
        <w:t xml:space="preserve">In </w:t>
      </w:r>
      <w:r>
        <w:rPr>
          <w:lang w:val="en-US"/>
        </w:rPr>
        <w:fldChar w:fldCharType="begin"/>
      </w:r>
      <w:r>
        <w:rPr>
          <w:lang w:val="en-US"/>
        </w:rPr>
        <w:instrText xml:space="preserve"> REF _Ref469580571 \h </w:instrText>
      </w:r>
      <w:r>
        <w:rPr>
          <w:lang w:val="en-US"/>
        </w:rPr>
      </w:r>
      <w:r>
        <w:rPr>
          <w:lang w:val="en-US"/>
        </w:rPr>
        <w:fldChar w:fldCharType="separate"/>
      </w:r>
      <w:r w:rsidR="008D619E">
        <w:t xml:space="preserve">Table </w:t>
      </w:r>
      <w:r w:rsidR="008D619E">
        <w:rPr>
          <w:noProof/>
        </w:rPr>
        <w:t>5</w:t>
      </w:r>
      <w:r>
        <w:rPr>
          <w:lang w:val="en-US"/>
        </w:rPr>
        <w:fldChar w:fldCharType="end"/>
      </w:r>
      <w:r w:rsidR="0026261D">
        <w:rPr>
          <w:lang w:val="en-US"/>
        </w:rPr>
        <w:t>,</w:t>
      </w:r>
      <w:r w:rsidR="003F018B" w:rsidRPr="00802745">
        <w:rPr>
          <w:lang w:val="en-US"/>
        </w:rPr>
        <w:t xml:space="preserve"> the </w:t>
      </w:r>
      <w:r w:rsidR="003F018B" w:rsidRPr="00680ECD">
        <w:rPr>
          <w:noProof/>
          <w:lang w:val="en-US"/>
        </w:rPr>
        <w:t>nominal</w:t>
      </w:r>
      <w:r w:rsidR="003F018B" w:rsidRPr="00802745">
        <w:rPr>
          <w:lang w:val="en-US"/>
        </w:rPr>
        <w:t xml:space="preserve"> gas composition after the oxy-combustor </w:t>
      </w:r>
      <w:r w:rsidR="003F018B" w:rsidRPr="00680ECD">
        <w:rPr>
          <w:noProof/>
          <w:lang w:val="en-US"/>
        </w:rPr>
        <w:t>is given</w:t>
      </w:r>
      <w:r w:rsidR="003F018B" w:rsidRPr="00802745">
        <w:rPr>
          <w:lang w:val="en-US"/>
        </w:rPr>
        <w:t>. The gas inlet temperature was assumed to be up to 400</w:t>
      </w:r>
      <w:r w:rsidR="0026261D">
        <w:rPr>
          <w:lang w:val="en-US"/>
        </w:rPr>
        <w:t xml:space="preserve"> </w:t>
      </w:r>
      <w:r w:rsidR="003F018B" w:rsidRPr="00802745">
        <w:rPr>
          <w:lang w:val="en-US"/>
        </w:rPr>
        <w:t>°C at approximately atmospheric pressure.</w:t>
      </w:r>
    </w:p>
    <w:p w14:paraId="690350CD" w14:textId="36DACD68" w:rsidR="006923B5" w:rsidRPr="005A3CEF" w:rsidRDefault="006923B5" w:rsidP="003F018B">
      <w:pPr>
        <w:rPr>
          <w:lang w:val="en-US"/>
        </w:rPr>
      </w:pPr>
      <w:r w:rsidRPr="005A3CEF">
        <w:rPr>
          <w:lang w:val="en-US"/>
        </w:rPr>
        <w:t>The description of the condenser unit model is shown in section 2 of the Appendix, while experimental results and performance are available in paragraph 4.1.</w:t>
      </w:r>
    </w:p>
    <w:p w14:paraId="7C997D06" w14:textId="4BA7DC7D" w:rsidR="00680295" w:rsidRPr="00582BD3" w:rsidRDefault="00680295" w:rsidP="00680295">
      <w:pPr>
        <w:pStyle w:val="Didascalia"/>
      </w:pPr>
      <w:bookmarkStart w:id="8" w:name="_Ref469580571"/>
      <w:r>
        <w:t xml:space="preserve">Table </w:t>
      </w:r>
      <w:r>
        <w:fldChar w:fldCharType="begin"/>
      </w:r>
      <w:r>
        <w:instrText xml:space="preserve"> SEQ Table \* ARABIC </w:instrText>
      </w:r>
      <w:r>
        <w:fldChar w:fldCharType="separate"/>
      </w:r>
      <w:r w:rsidR="008D619E">
        <w:rPr>
          <w:noProof/>
        </w:rPr>
        <w:t>5</w:t>
      </w:r>
      <w:r>
        <w:fldChar w:fldCharType="end"/>
      </w:r>
      <w:bookmarkEnd w:id="8"/>
      <w:r>
        <w:t xml:space="preserve">. </w:t>
      </w:r>
      <w:r w:rsidRPr="00802745">
        <w:t>Nominal gas composition after oxy-combustor</w:t>
      </w:r>
      <w:r>
        <w:t>.</w:t>
      </w:r>
      <w:r w:rsidRPr="00802745">
        <w:t xml:space="preserve"> </w:t>
      </w:r>
      <w:r w:rsidR="005A1C74">
        <w:fldChar w:fldCharType="begin" w:fldLock="1"/>
      </w:r>
      <w:r w:rsidR="005A1C74">
        <w:instrText>ADDIN CSL_CITATION { "citationItems" : [ { "id" : "ITEM-1", "itemData" : { "author" : [ { "dropping-particle" : "", "family" : "Lanzini", "given" : "Andrea", "non-dropping-particle" : "", "parse-names" : false, "suffix" : "" }, { "dropping-particle" : "", "family" : "Santarelli", "given" : "Massimo", "non-dropping-particle" : "", "parse-names" : false, "suffix" : "" }, { "dropping-particle" : "", "family" : "Leone", "given" : "Pierluigi", "non-dropping-particle" : "", "parse-names" : false, "suffix" : "" } ], "id" : "ITEM-1", "issued" : { "date-parts" : [ [ "2012" ] ] }, "title" : "Nominal operating condition for the AlphaSFC-5 Siemens SOFC unit with WWTU biogas fuel for Demonstration in Torino - Deliverable of Project SOFCOM", "type" : "report" }, "uris" : [ "http://www.mendeley.com/documents/?uuid=43741212-bd37-4696-b50e-81de8afa2370" ] } ], "mendeley" : { "formattedCitation" : "[4]", "plainTextFormattedCitation" : "[4]", "previouslyFormattedCitation" : "[4]" }, "properties" : { "noteIndex" : 0 }, "schema" : "https://github.com/citation-style-language/schema/raw/master/csl-citation.json" }</w:instrText>
      </w:r>
      <w:r w:rsidR="005A1C74">
        <w:fldChar w:fldCharType="separate"/>
      </w:r>
      <w:r w:rsidR="005A1C74" w:rsidRPr="005A1C74">
        <w:rPr>
          <w:i w:val="0"/>
          <w:noProof/>
        </w:rPr>
        <w:t>[4]</w:t>
      </w:r>
      <w:r w:rsidR="005A1C74">
        <w:fldChar w:fldCharType="end"/>
      </w:r>
    </w:p>
    <w:tbl>
      <w:tblPr>
        <w:tblStyle w:val="ListTable3-Accent11"/>
        <w:tblW w:w="0" w:type="auto"/>
        <w:jc w:val="center"/>
        <w:tblLook w:val="04A0" w:firstRow="1" w:lastRow="0" w:firstColumn="1" w:lastColumn="0" w:noHBand="0" w:noVBand="1"/>
      </w:tblPr>
      <w:tblGrid>
        <w:gridCol w:w="882"/>
        <w:gridCol w:w="918"/>
        <w:gridCol w:w="909"/>
        <w:gridCol w:w="882"/>
        <w:gridCol w:w="906"/>
        <w:gridCol w:w="906"/>
      </w:tblGrid>
      <w:tr w:rsidR="003F018B" w:rsidRPr="00582BD3" w14:paraId="234818E5" w14:textId="77777777" w:rsidTr="003F09C8">
        <w:trPr>
          <w:cnfStyle w:val="100000000000" w:firstRow="1" w:lastRow="0" w:firstColumn="0" w:lastColumn="0" w:oddVBand="0" w:evenVBand="0" w:oddHBand="0" w:evenHBand="0" w:firstRowFirstColumn="0" w:firstRowLastColumn="0" w:lastRowFirstColumn="0" w:lastRowLastColumn="0"/>
          <w:trHeight w:val="395"/>
          <w:jc w:val="center"/>
        </w:trPr>
        <w:tc>
          <w:tcPr>
            <w:cnfStyle w:val="001000000100" w:firstRow="0" w:lastRow="0" w:firstColumn="1" w:lastColumn="0" w:oddVBand="0" w:evenVBand="0" w:oddHBand="0" w:evenHBand="0" w:firstRowFirstColumn="1" w:firstRowLastColumn="0" w:lastRowFirstColumn="0" w:lastRowLastColumn="0"/>
            <w:tcW w:w="882" w:type="dxa"/>
            <w:vAlign w:val="center"/>
          </w:tcPr>
          <w:p w14:paraId="3E204944" w14:textId="77777777" w:rsidR="003F018B" w:rsidRPr="003F09C8" w:rsidRDefault="003F018B" w:rsidP="003F09C8">
            <w:pPr>
              <w:pStyle w:val="Table"/>
              <w:spacing w:line="240" w:lineRule="auto"/>
              <w:rPr>
                <w:color w:val="FFFFFF" w:themeColor="background1"/>
                <w:sz w:val="20"/>
              </w:rPr>
            </w:pPr>
            <w:r w:rsidRPr="003F09C8">
              <w:rPr>
                <w:color w:val="FFFFFF" w:themeColor="background1"/>
                <w:sz w:val="20"/>
              </w:rPr>
              <w:t>Gas</w:t>
            </w:r>
          </w:p>
        </w:tc>
        <w:tc>
          <w:tcPr>
            <w:tcW w:w="918" w:type="dxa"/>
            <w:vAlign w:val="center"/>
          </w:tcPr>
          <w:p w14:paraId="77A77D08" w14:textId="7BEE4F0C" w:rsidR="003F018B" w:rsidRPr="003F09C8" w:rsidRDefault="0026261D" w:rsidP="003F09C8">
            <w:pPr>
              <w:pStyle w:val="Table"/>
              <w:spacing w:line="240" w:lineRule="auto"/>
              <w:cnfStyle w:val="100000000000" w:firstRow="1" w:lastRow="0" w:firstColumn="0" w:lastColumn="0" w:oddVBand="0" w:evenVBand="0" w:oddHBand="0" w:evenHBand="0" w:firstRowFirstColumn="0" w:firstRowLastColumn="0" w:lastRowFirstColumn="0" w:lastRowLastColumn="0"/>
              <w:rPr>
                <w:color w:val="FFFFFF" w:themeColor="background1"/>
                <w:sz w:val="20"/>
              </w:rPr>
            </w:pPr>
            <m:oMathPara>
              <m:oMath>
                <m:r>
                  <m:rPr>
                    <m:sty m:val="b"/>
                  </m:rPr>
                  <w:rPr>
                    <w:rFonts w:ascii="Cambria Math" w:hAnsi="Cambria Math"/>
                    <w:color w:val="FFFFFF" w:themeColor="background1"/>
                    <w:sz w:val="20"/>
                  </w:rPr>
                  <m:t>C</m:t>
                </m:r>
                <m:sSub>
                  <m:sSubPr>
                    <m:ctrlPr>
                      <w:rPr>
                        <w:rFonts w:ascii="Cambria Math" w:hAnsi="Cambria Math"/>
                        <w:color w:val="FFFFFF" w:themeColor="background1"/>
                        <w:sz w:val="20"/>
                      </w:rPr>
                    </m:ctrlPr>
                  </m:sSubPr>
                  <m:e>
                    <m:r>
                      <m:rPr>
                        <m:sty m:val="b"/>
                      </m:rPr>
                      <w:rPr>
                        <w:rFonts w:ascii="Cambria Math" w:hAnsi="Cambria Math"/>
                        <w:color w:val="FFFFFF" w:themeColor="background1"/>
                        <w:sz w:val="20"/>
                      </w:rPr>
                      <m:t>O</m:t>
                    </m:r>
                  </m:e>
                  <m:sub>
                    <m:r>
                      <m:rPr>
                        <m:sty m:val="b"/>
                      </m:rPr>
                      <w:rPr>
                        <w:rFonts w:ascii="Cambria Math" w:hAnsi="Cambria Math"/>
                        <w:color w:val="FFFFFF" w:themeColor="background1"/>
                        <w:sz w:val="20"/>
                      </w:rPr>
                      <m:t>2</m:t>
                    </m:r>
                  </m:sub>
                </m:sSub>
              </m:oMath>
            </m:oMathPara>
          </w:p>
        </w:tc>
        <w:tc>
          <w:tcPr>
            <w:tcW w:w="909" w:type="dxa"/>
            <w:vAlign w:val="center"/>
          </w:tcPr>
          <w:p w14:paraId="6F74991C" w14:textId="50819156" w:rsidR="003F018B" w:rsidRPr="003F09C8" w:rsidRDefault="0026261D" w:rsidP="003F09C8">
            <w:pPr>
              <w:pStyle w:val="Table"/>
              <w:spacing w:line="240" w:lineRule="auto"/>
              <w:cnfStyle w:val="100000000000" w:firstRow="1" w:lastRow="0" w:firstColumn="0" w:lastColumn="0" w:oddVBand="0" w:evenVBand="0" w:oddHBand="0" w:evenHBand="0" w:firstRowFirstColumn="0" w:firstRowLastColumn="0" w:lastRowFirstColumn="0" w:lastRowLastColumn="0"/>
              <w:rPr>
                <w:color w:val="FFFFFF" w:themeColor="background1"/>
                <w:sz w:val="20"/>
              </w:rPr>
            </w:pPr>
            <m:oMathPara>
              <m:oMath>
                <m:r>
                  <m:rPr>
                    <m:sty m:val="b"/>
                  </m:rPr>
                  <w:rPr>
                    <w:rFonts w:ascii="Cambria Math" w:hAnsi="Cambria Math"/>
                    <w:color w:val="FFFFFF" w:themeColor="background1"/>
                    <w:sz w:val="20"/>
                  </w:rPr>
                  <m:t>CO</m:t>
                </m:r>
              </m:oMath>
            </m:oMathPara>
          </w:p>
        </w:tc>
        <w:tc>
          <w:tcPr>
            <w:tcW w:w="882" w:type="dxa"/>
            <w:vAlign w:val="center"/>
          </w:tcPr>
          <w:p w14:paraId="6722B517" w14:textId="497E55AE" w:rsidR="003F018B" w:rsidRPr="003F09C8" w:rsidRDefault="006A17F1" w:rsidP="003F09C8">
            <w:pPr>
              <w:pStyle w:val="Table"/>
              <w:spacing w:line="240" w:lineRule="auto"/>
              <w:cnfStyle w:val="100000000000" w:firstRow="1" w:lastRow="0" w:firstColumn="0" w:lastColumn="0" w:oddVBand="0" w:evenVBand="0" w:oddHBand="0" w:evenHBand="0" w:firstRowFirstColumn="0" w:firstRowLastColumn="0" w:lastRowFirstColumn="0" w:lastRowLastColumn="0"/>
              <w:rPr>
                <w:color w:val="FFFFFF" w:themeColor="background1"/>
                <w:sz w:val="20"/>
              </w:rPr>
            </w:pPr>
            <m:oMathPara>
              <m:oMath>
                <m:sSub>
                  <m:sSubPr>
                    <m:ctrlPr>
                      <w:rPr>
                        <w:rFonts w:ascii="Cambria Math" w:hAnsi="Cambria Math"/>
                        <w:color w:val="FFFFFF" w:themeColor="background1"/>
                        <w:sz w:val="20"/>
                      </w:rPr>
                    </m:ctrlPr>
                  </m:sSubPr>
                  <m:e>
                    <m:r>
                      <m:rPr>
                        <m:sty m:val="b"/>
                      </m:rPr>
                      <w:rPr>
                        <w:rFonts w:ascii="Cambria Math" w:hAnsi="Cambria Math"/>
                        <w:color w:val="FFFFFF" w:themeColor="background1"/>
                        <w:sz w:val="20"/>
                      </w:rPr>
                      <m:t>H</m:t>
                    </m:r>
                  </m:e>
                  <m:sub>
                    <m:r>
                      <m:rPr>
                        <m:sty m:val="b"/>
                      </m:rPr>
                      <w:rPr>
                        <w:rFonts w:ascii="Cambria Math" w:hAnsi="Cambria Math"/>
                        <w:color w:val="FFFFFF" w:themeColor="background1"/>
                        <w:sz w:val="20"/>
                      </w:rPr>
                      <m:t>2</m:t>
                    </m:r>
                  </m:sub>
                </m:sSub>
              </m:oMath>
            </m:oMathPara>
          </w:p>
        </w:tc>
        <w:tc>
          <w:tcPr>
            <w:tcW w:w="906" w:type="dxa"/>
            <w:vAlign w:val="center"/>
          </w:tcPr>
          <w:p w14:paraId="398A1F2E" w14:textId="66CE510C" w:rsidR="003F018B" w:rsidRPr="003F09C8" w:rsidRDefault="006A17F1" w:rsidP="003F09C8">
            <w:pPr>
              <w:pStyle w:val="Table"/>
              <w:spacing w:line="240" w:lineRule="auto"/>
              <w:cnfStyle w:val="100000000000" w:firstRow="1" w:lastRow="0" w:firstColumn="0" w:lastColumn="0" w:oddVBand="0" w:evenVBand="0" w:oddHBand="0" w:evenHBand="0" w:firstRowFirstColumn="0" w:firstRowLastColumn="0" w:lastRowFirstColumn="0" w:lastRowLastColumn="0"/>
              <w:rPr>
                <w:color w:val="FFFFFF" w:themeColor="background1"/>
                <w:sz w:val="20"/>
              </w:rPr>
            </w:pPr>
            <m:oMathPara>
              <m:oMath>
                <m:sSub>
                  <m:sSubPr>
                    <m:ctrlPr>
                      <w:rPr>
                        <w:rFonts w:ascii="Cambria Math" w:hAnsi="Cambria Math"/>
                        <w:color w:val="FFFFFF" w:themeColor="background1"/>
                        <w:sz w:val="20"/>
                      </w:rPr>
                    </m:ctrlPr>
                  </m:sSubPr>
                  <m:e>
                    <m:r>
                      <m:rPr>
                        <m:sty m:val="b"/>
                      </m:rPr>
                      <w:rPr>
                        <w:rFonts w:ascii="Cambria Math" w:hAnsi="Cambria Math"/>
                        <w:color w:val="FFFFFF" w:themeColor="background1"/>
                        <w:sz w:val="20"/>
                      </w:rPr>
                      <m:t>H</m:t>
                    </m:r>
                  </m:e>
                  <m:sub>
                    <m:r>
                      <m:rPr>
                        <m:sty m:val="b"/>
                      </m:rPr>
                      <w:rPr>
                        <w:rFonts w:ascii="Cambria Math" w:hAnsi="Cambria Math"/>
                        <w:color w:val="FFFFFF" w:themeColor="background1"/>
                        <w:sz w:val="20"/>
                      </w:rPr>
                      <m:t>2</m:t>
                    </m:r>
                  </m:sub>
                </m:sSub>
                <m:r>
                  <m:rPr>
                    <m:sty m:val="b"/>
                  </m:rPr>
                  <w:rPr>
                    <w:rFonts w:ascii="Cambria Math" w:hAnsi="Cambria Math"/>
                    <w:color w:val="FFFFFF" w:themeColor="background1"/>
                    <w:sz w:val="20"/>
                  </w:rPr>
                  <m:t>O</m:t>
                </m:r>
              </m:oMath>
            </m:oMathPara>
          </w:p>
        </w:tc>
        <w:tc>
          <w:tcPr>
            <w:tcW w:w="906" w:type="dxa"/>
            <w:vAlign w:val="center"/>
          </w:tcPr>
          <w:p w14:paraId="02DAE9CD" w14:textId="61F9CD88" w:rsidR="003F018B" w:rsidRPr="003F09C8" w:rsidRDefault="006A17F1" w:rsidP="003F09C8">
            <w:pPr>
              <w:pStyle w:val="Table"/>
              <w:spacing w:line="240" w:lineRule="auto"/>
              <w:cnfStyle w:val="100000000000" w:firstRow="1" w:lastRow="0" w:firstColumn="0" w:lastColumn="0" w:oddVBand="0" w:evenVBand="0" w:oddHBand="0" w:evenHBand="0" w:firstRowFirstColumn="0" w:firstRowLastColumn="0" w:lastRowFirstColumn="0" w:lastRowLastColumn="0"/>
              <w:rPr>
                <w:color w:val="FFFFFF" w:themeColor="background1"/>
                <w:sz w:val="20"/>
              </w:rPr>
            </w:pPr>
            <m:oMathPara>
              <m:oMath>
                <m:sSub>
                  <m:sSubPr>
                    <m:ctrlPr>
                      <w:rPr>
                        <w:rFonts w:ascii="Cambria Math" w:hAnsi="Cambria Math"/>
                        <w:color w:val="FFFFFF" w:themeColor="background1"/>
                        <w:sz w:val="20"/>
                      </w:rPr>
                    </m:ctrlPr>
                  </m:sSubPr>
                  <m:e>
                    <m:r>
                      <m:rPr>
                        <m:sty m:val="b"/>
                      </m:rPr>
                      <w:rPr>
                        <w:rFonts w:ascii="Cambria Math" w:hAnsi="Cambria Math"/>
                        <w:color w:val="FFFFFF" w:themeColor="background1"/>
                        <w:sz w:val="20"/>
                      </w:rPr>
                      <m:t>O</m:t>
                    </m:r>
                  </m:e>
                  <m:sub>
                    <m:r>
                      <m:rPr>
                        <m:sty m:val="b"/>
                      </m:rPr>
                      <w:rPr>
                        <w:rFonts w:ascii="Cambria Math" w:hAnsi="Cambria Math"/>
                        <w:color w:val="FFFFFF" w:themeColor="background1"/>
                        <w:sz w:val="20"/>
                      </w:rPr>
                      <m:t>2</m:t>
                    </m:r>
                  </m:sub>
                </m:sSub>
              </m:oMath>
            </m:oMathPara>
          </w:p>
        </w:tc>
      </w:tr>
      <w:tr w:rsidR="003F018B" w:rsidRPr="00582BD3" w14:paraId="47B46477" w14:textId="77777777" w:rsidTr="003F09C8">
        <w:trPr>
          <w:cnfStyle w:val="000000100000" w:firstRow="0" w:lastRow="0" w:firstColumn="0" w:lastColumn="0" w:oddVBand="0" w:evenVBand="0" w:oddHBand="1" w:evenHBand="0" w:firstRowFirstColumn="0" w:firstRowLastColumn="0" w:lastRowFirstColumn="0" w:lastRowLastColumn="0"/>
          <w:trHeight w:val="367"/>
          <w:jc w:val="center"/>
        </w:trPr>
        <w:tc>
          <w:tcPr>
            <w:cnfStyle w:val="001000000000" w:firstRow="0" w:lastRow="0" w:firstColumn="1" w:lastColumn="0" w:oddVBand="0" w:evenVBand="0" w:oddHBand="0" w:evenHBand="0" w:firstRowFirstColumn="0" w:firstRowLastColumn="0" w:lastRowFirstColumn="0" w:lastRowLastColumn="0"/>
            <w:tcW w:w="882" w:type="dxa"/>
            <w:vAlign w:val="center"/>
          </w:tcPr>
          <w:p w14:paraId="1FEFBE3F" w14:textId="571CDEE8" w:rsidR="003F018B" w:rsidRPr="003F09C8" w:rsidRDefault="0026261D" w:rsidP="003F09C8">
            <w:pPr>
              <w:pStyle w:val="Table"/>
              <w:spacing w:line="240" w:lineRule="auto"/>
              <w:rPr>
                <w:sz w:val="20"/>
              </w:rPr>
            </w:pPr>
            <w:r w:rsidRPr="003F09C8">
              <w:rPr>
                <w:sz w:val="20"/>
              </w:rPr>
              <w:t xml:space="preserve">Vol. </w:t>
            </w:r>
            <w:r w:rsidR="003F018B" w:rsidRPr="003F09C8">
              <w:rPr>
                <w:sz w:val="20"/>
              </w:rPr>
              <w:t>%</w:t>
            </w:r>
          </w:p>
        </w:tc>
        <w:tc>
          <w:tcPr>
            <w:tcW w:w="918" w:type="dxa"/>
            <w:vAlign w:val="center"/>
          </w:tcPr>
          <w:p w14:paraId="4B623214" w14:textId="5DD1AE7A" w:rsidR="003F018B" w:rsidRPr="003F09C8" w:rsidRDefault="003F018B" w:rsidP="003F09C8">
            <w:pPr>
              <w:pStyle w:val="Table"/>
              <w:spacing w:line="240" w:lineRule="auto"/>
              <w:cnfStyle w:val="000000100000" w:firstRow="0" w:lastRow="0" w:firstColumn="0" w:lastColumn="0" w:oddVBand="0" w:evenVBand="0" w:oddHBand="1" w:evenHBand="0" w:firstRowFirstColumn="0" w:firstRowLastColumn="0" w:lastRowFirstColumn="0" w:lastRowLastColumn="0"/>
              <w:rPr>
                <w:sz w:val="20"/>
              </w:rPr>
            </w:pPr>
            <w:r w:rsidRPr="003F09C8">
              <w:rPr>
                <w:sz w:val="20"/>
              </w:rPr>
              <w:t>43</w:t>
            </w:r>
            <w:r w:rsidR="003F09C8">
              <w:rPr>
                <w:sz w:val="20"/>
              </w:rPr>
              <w:t>.</w:t>
            </w:r>
            <w:r w:rsidRPr="003F09C8">
              <w:rPr>
                <w:sz w:val="20"/>
              </w:rPr>
              <w:t>2</w:t>
            </w:r>
          </w:p>
        </w:tc>
        <w:tc>
          <w:tcPr>
            <w:tcW w:w="909" w:type="dxa"/>
            <w:vAlign w:val="center"/>
          </w:tcPr>
          <w:p w14:paraId="11281624" w14:textId="4E1F6760" w:rsidR="003F018B" w:rsidRPr="003F09C8" w:rsidRDefault="003F09C8" w:rsidP="003F09C8">
            <w:pPr>
              <w:pStyle w:val="Table"/>
              <w:spacing w:line="240" w:lineRule="auto"/>
              <w:cnfStyle w:val="000000100000" w:firstRow="0" w:lastRow="0" w:firstColumn="0" w:lastColumn="0" w:oddVBand="0" w:evenVBand="0" w:oddHBand="1" w:evenHBand="0" w:firstRowFirstColumn="0" w:firstRowLastColumn="0" w:lastRowFirstColumn="0" w:lastRowLastColumn="0"/>
              <w:rPr>
                <w:sz w:val="20"/>
              </w:rPr>
            </w:pPr>
            <w:r>
              <w:rPr>
                <w:sz w:val="20"/>
              </w:rPr>
              <w:t>1.</w:t>
            </w:r>
            <w:r w:rsidR="003F018B" w:rsidRPr="003F09C8">
              <w:rPr>
                <w:sz w:val="20"/>
              </w:rPr>
              <w:t>71</w:t>
            </w:r>
          </w:p>
        </w:tc>
        <w:tc>
          <w:tcPr>
            <w:tcW w:w="882" w:type="dxa"/>
            <w:vAlign w:val="center"/>
          </w:tcPr>
          <w:p w14:paraId="49E613A2" w14:textId="3822756D" w:rsidR="003F018B" w:rsidRPr="003F09C8" w:rsidRDefault="003F09C8" w:rsidP="003F09C8">
            <w:pPr>
              <w:pStyle w:val="Table"/>
              <w:spacing w:line="240" w:lineRule="auto"/>
              <w:cnfStyle w:val="000000100000" w:firstRow="0" w:lastRow="0" w:firstColumn="0" w:lastColumn="0" w:oddVBand="0" w:evenVBand="0" w:oddHBand="1" w:evenHBand="0" w:firstRowFirstColumn="0" w:firstRowLastColumn="0" w:lastRowFirstColumn="0" w:lastRowLastColumn="0"/>
              <w:rPr>
                <w:sz w:val="20"/>
              </w:rPr>
            </w:pPr>
            <w:r>
              <w:rPr>
                <w:sz w:val="20"/>
              </w:rPr>
              <w:t>0.</w:t>
            </w:r>
            <w:r w:rsidR="003F018B" w:rsidRPr="003F09C8">
              <w:rPr>
                <w:sz w:val="20"/>
              </w:rPr>
              <w:t>42</w:t>
            </w:r>
          </w:p>
        </w:tc>
        <w:tc>
          <w:tcPr>
            <w:tcW w:w="906" w:type="dxa"/>
            <w:vAlign w:val="center"/>
          </w:tcPr>
          <w:p w14:paraId="1A8BFC4E" w14:textId="6DFDC6E0" w:rsidR="003F018B" w:rsidRPr="003F09C8" w:rsidRDefault="003F018B" w:rsidP="003F09C8">
            <w:pPr>
              <w:pStyle w:val="Table"/>
              <w:spacing w:line="240" w:lineRule="auto"/>
              <w:cnfStyle w:val="000000100000" w:firstRow="0" w:lastRow="0" w:firstColumn="0" w:lastColumn="0" w:oddVBand="0" w:evenVBand="0" w:oddHBand="1" w:evenHBand="0" w:firstRowFirstColumn="0" w:firstRowLastColumn="0" w:lastRowFirstColumn="0" w:lastRowLastColumn="0"/>
              <w:rPr>
                <w:sz w:val="20"/>
              </w:rPr>
            </w:pPr>
            <w:r w:rsidRPr="003F09C8">
              <w:rPr>
                <w:sz w:val="20"/>
              </w:rPr>
              <w:t>53</w:t>
            </w:r>
            <w:r w:rsidR="003F09C8">
              <w:rPr>
                <w:sz w:val="20"/>
              </w:rPr>
              <w:t>.</w:t>
            </w:r>
            <w:r w:rsidRPr="003F09C8">
              <w:rPr>
                <w:sz w:val="20"/>
              </w:rPr>
              <w:t>5</w:t>
            </w:r>
          </w:p>
        </w:tc>
        <w:tc>
          <w:tcPr>
            <w:tcW w:w="906" w:type="dxa"/>
            <w:vAlign w:val="center"/>
          </w:tcPr>
          <w:p w14:paraId="075AF6A2" w14:textId="29F2228C" w:rsidR="003F018B" w:rsidRPr="003F09C8" w:rsidRDefault="003F09C8" w:rsidP="003F09C8">
            <w:pPr>
              <w:pStyle w:val="Table"/>
              <w:spacing w:line="240" w:lineRule="auto"/>
              <w:cnfStyle w:val="000000100000" w:firstRow="0" w:lastRow="0" w:firstColumn="0" w:lastColumn="0" w:oddVBand="0" w:evenVBand="0" w:oddHBand="1" w:evenHBand="0" w:firstRowFirstColumn="0" w:firstRowLastColumn="0" w:lastRowFirstColumn="0" w:lastRowLastColumn="0"/>
              <w:rPr>
                <w:sz w:val="20"/>
              </w:rPr>
            </w:pPr>
            <w:r>
              <w:rPr>
                <w:sz w:val="20"/>
              </w:rPr>
              <w:t>1.</w:t>
            </w:r>
            <w:r w:rsidR="003F018B" w:rsidRPr="003F09C8">
              <w:rPr>
                <w:sz w:val="20"/>
              </w:rPr>
              <w:t>2</w:t>
            </w:r>
          </w:p>
        </w:tc>
      </w:tr>
    </w:tbl>
    <w:p w14:paraId="540F04BC" w14:textId="77777777" w:rsidR="003F09C8" w:rsidRDefault="003F09C8" w:rsidP="003F09C8">
      <w:pPr>
        <w:rPr>
          <w:lang w:val="en-US"/>
        </w:rPr>
      </w:pPr>
    </w:p>
    <w:p w14:paraId="527B0D13" w14:textId="77777777" w:rsidR="00BC09A2" w:rsidRPr="006922B2" w:rsidRDefault="00BC09A2" w:rsidP="00BC09A2">
      <w:pPr>
        <w:pStyle w:val="Titolo3"/>
        <w:numPr>
          <w:ilvl w:val="1"/>
          <w:numId w:val="2"/>
        </w:numPr>
        <w:rPr>
          <w:color w:val="4F81BD" w:themeColor="accent1"/>
          <w:lang w:val="en-US"/>
        </w:rPr>
      </w:pPr>
      <w:r w:rsidRPr="006922B2">
        <w:rPr>
          <w:color w:val="4F81BD" w:themeColor="accent1"/>
          <w:lang w:val="en-US"/>
        </w:rPr>
        <w:t>Lab characterization</w:t>
      </w:r>
    </w:p>
    <w:p w14:paraId="7E468E82" w14:textId="58B2EEA3" w:rsidR="003F018B" w:rsidRDefault="003F018B" w:rsidP="003F018B">
      <w:pPr>
        <w:rPr>
          <w:lang w:val="en-US"/>
        </w:rPr>
      </w:pPr>
      <w:r>
        <w:rPr>
          <w:lang w:val="en-US"/>
        </w:rPr>
        <w:t xml:space="preserve">A </w:t>
      </w:r>
      <w:r w:rsidRPr="00680ECD">
        <w:rPr>
          <w:noProof/>
          <w:lang w:val="en-US"/>
        </w:rPr>
        <w:t>compact</w:t>
      </w:r>
      <w:r>
        <w:rPr>
          <w:lang w:val="en-US"/>
        </w:rPr>
        <w:t xml:space="preserve"> test rig has been built consisting of the condenser followed by a downstream membrane stage. The system </w:t>
      </w:r>
      <w:r w:rsidRPr="00680ECD">
        <w:rPr>
          <w:noProof/>
          <w:lang w:val="en-US"/>
        </w:rPr>
        <w:t>is built</w:t>
      </w:r>
      <w:r>
        <w:rPr>
          <w:lang w:val="en-US"/>
        </w:rPr>
        <w:t xml:space="preserve"> for autonomous operation. An implemented </w:t>
      </w:r>
      <w:r w:rsidRPr="00680ECD">
        <w:rPr>
          <w:noProof/>
          <w:lang w:val="en-US"/>
        </w:rPr>
        <w:t>self-regulating</w:t>
      </w:r>
      <w:r>
        <w:rPr>
          <w:lang w:val="en-US"/>
        </w:rPr>
        <w:t xml:space="preserve"> control system has been designed allowing compensation of variations in the gas composition from the </w:t>
      </w:r>
      <w:r w:rsidR="00CF3CCB" w:rsidRPr="00680ECD">
        <w:rPr>
          <w:noProof/>
          <w:lang w:val="en-US"/>
        </w:rPr>
        <w:t>oxy</w:t>
      </w:r>
      <w:r w:rsidR="00680ECD">
        <w:rPr>
          <w:noProof/>
          <w:lang w:val="en-US"/>
        </w:rPr>
        <w:t>-</w:t>
      </w:r>
      <w:r w:rsidR="00CF3CCB" w:rsidRPr="00680ECD">
        <w:rPr>
          <w:noProof/>
          <w:lang w:val="en-US"/>
        </w:rPr>
        <w:t>combustor</w:t>
      </w:r>
      <w:r w:rsidR="00CF3CCB">
        <w:rPr>
          <w:lang w:val="en-US"/>
        </w:rPr>
        <w:t xml:space="preserve">. For this purpose, </w:t>
      </w:r>
      <w:r>
        <w:rPr>
          <w:lang w:val="en-US"/>
        </w:rPr>
        <w:t>the pressure inside the condenser is measured and used as</w:t>
      </w:r>
      <w:r w:rsidR="00680ECD">
        <w:rPr>
          <w:lang w:val="en-US"/>
        </w:rPr>
        <w:t xml:space="preserve"> a</w:t>
      </w:r>
      <w:r>
        <w:rPr>
          <w:lang w:val="en-US"/>
        </w:rPr>
        <w:t xml:space="preserve"> </w:t>
      </w:r>
      <w:r w:rsidRPr="00680ECD">
        <w:rPr>
          <w:noProof/>
          <w:lang w:val="en-US"/>
        </w:rPr>
        <w:t>control</w:t>
      </w:r>
      <w:r>
        <w:rPr>
          <w:lang w:val="en-US"/>
        </w:rPr>
        <w:t xml:space="preserve"> variable for the compressor </w:t>
      </w:r>
      <w:r w:rsidRPr="00802745">
        <w:rPr>
          <w:lang w:val="en-US"/>
        </w:rPr>
        <w:t xml:space="preserve">speed control. The system </w:t>
      </w:r>
      <w:r w:rsidRPr="00680ECD">
        <w:rPr>
          <w:noProof/>
          <w:lang w:val="en-US"/>
        </w:rPr>
        <w:t>is supplied</w:t>
      </w:r>
      <w:r w:rsidRPr="00802745">
        <w:rPr>
          <w:lang w:val="en-US"/>
        </w:rPr>
        <w:t xml:space="preserve"> with a gas-steam mixture described in </w:t>
      </w:r>
      <w:r w:rsidR="00680295">
        <w:rPr>
          <w:lang w:val="en-US"/>
        </w:rPr>
        <w:fldChar w:fldCharType="begin"/>
      </w:r>
      <w:r w:rsidR="00680295">
        <w:rPr>
          <w:lang w:val="en-US"/>
        </w:rPr>
        <w:instrText xml:space="preserve"> REF _Ref469580571 \h </w:instrText>
      </w:r>
      <w:r w:rsidR="00680295">
        <w:rPr>
          <w:lang w:val="en-US"/>
        </w:rPr>
      </w:r>
      <w:r w:rsidR="00680295">
        <w:rPr>
          <w:lang w:val="en-US"/>
        </w:rPr>
        <w:fldChar w:fldCharType="separate"/>
      </w:r>
      <w:r w:rsidR="00680295">
        <w:t xml:space="preserve">Table </w:t>
      </w:r>
      <w:r w:rsidR="00680295">
        <w:rPr>
          <w:noProof/>
        </w:rPr>
        <w:t>5</w:t>
      </w:r>
      <w:r w:rsidR="00680295">
        <w:rPr>
          <w:lang w:val="en-US"/>
        </w:rPr>
        <w:fldChar w:fldCharType="end"/>
      </w:r>
      <w:r w:rsidRPr="00802745">
        <w:rPr>
          <w:lang w:val="en-US"/>
        </w:rPr>
        <w:t xml:space="preserve">. As inert </w:t>
      </w:r>
      <w:r w:rsidRPr="00680ECD">
        <w:rPr>
          <w:noProof/>
          <w:lang w:val="en-US"/>
        </w:rPr>
        <w:t>gas</w:t>
      </w:r>
      <w:r w:rsidR="00680ECD">
        <w:rPr>
          <w:noProof/>
          <w:lang w:val="en-US"/>
        </w:rPr>
        <w:t>,</w:t>
      </w:r>
      <w:r w:rsidRPr="00802745">
        <w:rPr>
          <w:lang w:val="en-US"/>
        </w:rPr>
        <w:t xml:space="preserve"> either compressed air or CO</w:t>
      </w:r>
      <w:r w:rsidRPr="00802745">
        <w:rPr>
          <w:vertAlign w:val="subscript"/>
          <w:lang w:val="en-US"/>
        </w:rPr>
        <w:t>2</w:t>
      </w:r>
      <w:r w:rsidRPr="00802745">
        <w:rPr>
          <w:lang w:val="en-US"/>
        </w:rPr>
        <w:t xml:space="preserve"> can be used. Condensate </w:t>
      </w:r>
      <w:r w:rsidRPr="00680ECD">
        <w:rPr>
          <w:noProof/>
          <w:lang w:val="en-US"/>
        </w:rPr>
        <w:t>is automatically drained</w:t>
      </w:r>
      <w:r w:rsidRPr="00802745">
        <w:rPr>
          <w:lang w:val="en-US"/>
        </w:rPr>
        <w:t xml:space="preserve"> from the condenser and the fog separator. The membrane pressure can be adjusted as well as the purge gas stream. After the membrane stage</w:t>
      </w:r>
      <w:r w:rsidR="00CF3CCB">
        <w:rPr>
          <w:lang w:val="en-US"/>
        </w:rPr>
        <w:t>,</w:t>
      </w:r>
      <w:r w:rsidRPr="00802745">
        <w:rPr>
          <w:lang w:val="en-US"/>
        </w:rPr>
        <w:t xml:space="preserve"> the humidity is measured using a </w:t>
      </w:r>
      <w:bookmarkStart w:id="9" w:name="OLE_LINK99"/>
      <w:bookmarkStart w:id="10" w:name="OLE_LINK100"/>
      <w:r w:rsidRPr="00802745">
        <w:rPr>
          <w:lang w:val="en-US"/>
        </w:rPr>
        <w:t>capacitive dew point transmitter</w:t>
      </w:r>
      <w:bookmarkEnd w:id="9"/>
      <w:bookmarkEnd w:id="10"/>
      <w:r w:rsidRPr="00802745">
        <w:rPr>
          <w:lang w:val="en-US"/>
        </w:rPr>
        <w:t xml:space="preserve">. </w:t>
      </w:r>
      <w:r w:rsidR="00680295">
        <w:rPr>
          <w:lang w:val="en-US"/>
        </w:rPr>
        <w:fldChar w:fldCharType="begin"/>
      </w:r>
      <w:r w:rsidR="00680295">
        <w:rPr>
          <w:lang w:val="en-US"/>
        </w:rPr>
        <w:instrText xml:space="preserve"> REF _Ref469580635 \h </w:instrText>
      </w:r>
      <w:r w:rsidR="00680295">
        <w:rPr>
          <w:lang w:val="en-US"/>
        </w:rPr>
      </w:r>
      <w:r w:rsidR="00680295">
        <w:rPr>
          <w:lang w:val="en-US"/>
        </w:rPr>
        <w:fldChar w:fldCharType="separate"/>
      </w:r>
      <w:r w:rsidR="00680295">
        <w:t xml:space="preserve">Figure </w:t>
      </w:r>
      <w:r w:rsidR="00680295">
        <w:rPr>
          <w:noProof/>
        </w:rPr>
        <w:t>4</w:t>
      </w:r>
      <w:r w:rsidR="00680295">
        <w:rPr>
          <w:lang w:val="en-US"/>
        </w:rPr>
        <w:fldChar w:fldCharType="end"/>
      </w:r>
      <w:r w:rsidR="00680295">
        <w:rPr>
          <w:lang w:val="en-US"/>
        </w:rPr>
        <w:t xml:space="preserve"> </w:t>
      </w:r>
      <w:r w:rsidRPr="00802745">
        <w:rPr>
          <w:lang w:val="en-US"/>
        </w:rPr>
        <w:t>shows a scheme of the</w:t>
      </w:r>
      <w:r>
        <w:rPr>
          <w:lang w:val="en-US"/>
        </w:rPr>
        <w:t xml:space="preserve"> water separation unit and the test rig in the lab.</w:t>
      </w:r>
    </w:p>
    <w:p w14:paraId="6A7BFAF8" w14:textId="77777777" w:rsidR="00680295" w:rsidRDefault="003F018B" w:rsidP="00680295">
      <w:pPr>
        <w:pStyle w:val="Table"/>
        <w:keepNext/>
      </w:pPr>
      <w:r>
        <w:rPr>
          <w:noProof/>
          <w:lang w:val="it-IT"/>
        </w:rPr>
        <w:lastRenderedPageBreak/>
        <w:drawing>
          <wp:inline distT="0" distB="0" distL="0" distR="0" wp14:anchorId="4F29035C" wp14:editId="558B83E7">
            <wp:extent cx="3934444" cy="2207895"/>
            <wp:effectExtent l="0" t="0" r="9525" b="1905"/>
            <wp:docPr id="12295" name="Grafik 12295" descr="K:\Herrmann\CO2-Entwässerung Paper\Abbildungen_Paper\P&amp;ID_Test_Rig_reduced.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K:\Herrmann\CO2-Entwässerung Paper\Abbildungen_Paper\P&amp;ID_Test_Rig_reduced.emf"/>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957770" cy="2220985"/>
                    </a:xfrm>
                    <a:prstGeom prst="rect">
                      <a:avLst/>
                    </a:prstGeom>
                    <a:noFill/>
                    <a:ln>
                      <a:noFill/>
                    </a:ln>
                  </pic:spPr>
                </pic:pic>
              </a:graphicData>
            </a:graphic>
          </wp:inline>
        </w:drawing>
      </w:r>
    </w:p>
    <w:p w14:paraId="74313442" w14:textId="63235A88" w:rsidR="003F018B" w:rsidRPr="00D548E3" w:rsidRDefault="00680295" w:rsidP="003F018B">
      <w:pPr>
        <w:pStyle w:val="Didascalia"/>
        <w:rPr>
          <w:lang w:val="en-US"/>
        </w:rPr>
      </w:pPr>
      <w:bookmarkStart w:id="11" w:name="_Ref469580635"/>
      <w:r>
        <w:t xml:space="preserve">Figure </w:t>
      </w:r>
      <w:r>
        <w:fldChar w:fldCharType="begin"/>
      </w:r>
      <w:r>
        <w:instrText xml:space="preserve"> SEQ Figure \* ARABIC </w:instrText>
      </w:r>
      <w:r>
        <w:fldChar w:fldCharType="separate"/>
      </w:r>
      <w:r w:rsidR="008D619E">
        <w:rPr>
          <w:noProof/>
        </w:rPr>
        <w:t>4</w:t>
      </w:r>
      <w:r>
        <w:fldChar w:fldCharType="end"/>
      </w:r>
      <w:bookmarkEnd w:id="11"/>
      <w:r>
        <w:t xml:space="preserve">. </w:t>
      </w:r>
      <w:r w:rsidR="003F018B" w:rsidRPr="00D548E3">
        <w:rPr>
          <w:lang w:val="en-US"/>
        </w:rPr>
        <w:t xml:space="preserve">Scheme of the </w:t>
      </w:r>
      <w:r w:rsidR="003F018B" w:rsidRPr="00680ECD">
        <w:rPr>
          <w:noProof/>
          <w:lang w:val="en-US"/>
        </w:rPr>
        <w:t>test</w:t>
      </w:r>
      <w:r w:rsidR="003F018B" w:rsidRPr="00D548E3">
        <w:rPr>
          <w:lang w:val="en-US"/>
        </w:rPr>
        <w:t xml:space="preserve"> setup: 1. Steam generator 2. </w:t>
      </w:r>
      <w:bookmarkStart w:id="12" w:name="OLE_LINK4"/>
      <w:r w:rsidR="003F018B" w:rsidRPr="00D548E3">
        <w:rPr>
          <w:lang w:val="en-US"/>
        </w:rPr>
        <w:t xml:space="preserve">Condenser </w:t>
      </w:r>
      <w:bookmarkEnd w:id="12"/>
      <w:r w:rsidR="003F018B" w:rsidRPr="00D548E3">
        <w:rPr>
          <w:lang w:val="en-US"/>
        </w:rPr>
        <w:t>3. Condensate drain 4. Compressor unit 5. Gas cooler 6. Fog/Water separator 7. Membrane 8. Purge gas split control 9. Membrane pressure regulation</w:t>
      </w:r>
      <w:r w:rsidR="00D548E3">
        <w:rPr>
          <w:lang w:val="en-US"/>
        </w:rPr>
        <w:t>.</w:t>
      </w:r>
    </w:p>
    <w:p w14:paraId="62F7F9FA" w14:textId="63F9C3FF" w:rsidR="003F018B" w:rsidRDefault="003F018B" w:rsidP="003F018B">
      <w:pPr>
        <w:rPr>
          <w:lang w:val="en-US"/>
        </w:rPr>
      </w:pPr>
      <w:r>
        <w:rPr>
          <w:lang w:val="en-US"/>
        </w:rPr>
        <w:t xml:space="preserve">The system has </w:t>
      </w:r>
      <w:r w:rsidRPr="00680ECD">
        <w:rPr>
          <w:noProof/>
          <w:lang w:val="en-US"/>
        </w:rPr>
        <w:t>been tested</w:t>
      </w:r>
      <w:r>
        <w:rPr>
          <w:lang w:val="en-US"/>
        </w:rPr>
        <w:t xml:space="preserve"> </w:t>
      </w:r>
      <w:r w:rsidR="00CF3CCB">
        <w:rPr>
          <w:lang w:val="en-US"/>
        </w:rPr>
        <w:t>concerning</w:t>
      </w:r>
      <w:r>
        <w:rPr>
          <w:lang w:val="en-US"/>
        </w:rPr>
        <w:t xml:space="preserve"> its performance at different operating parameters. To investigate the influences </w:t>
      </w:r>
      <w:r w:rsidRPr="00680ECD">
        <w:rPr>
          <w:noProof/>
          <w:lang w:val="en-US"/>
        </w:rPr>
        <w:t>separately</w:t>
      </w:r>
      <w:r w:rsidR="00680ECD">
        <w:rPr>
          <w:noProof/>
          <w:lang w:val="en-US"/>
        </w:rPr>
        <w:t>,</w:t>
      </w:r>
      <w:r>
        <w:rPr>
          <w:lang w:val="en-US"/>
        </w:rPr>
        <w:t xml:space="preserve"> </w:t>
      </w:r>
      <w:r w:rsidRPr="00680ECD">
        <w:rPr>
          <w:noProof/>
          <w:lang w:val="en-US"/>
        </w:rPr>
        <w:t>standard</w:t>
      </w:r>
      <w:r>
        <w:rPr>
          <w:lang w:val="en-US"/>
        </w:rPr>
        <w:t xml:space="preserve"> conditions are defined. At </w:t>
      </w:r>
      <w:r w:rsidRPr="00680ECD">
        <w:rPr>
          <w:noProof/>
          <w:lang w:val="en-US"/>
        </w:rPr>
        <w:t>standard</w:t>
      </w:r>
      <w:r>
        <w:rPr>
          <w:lang w:val="en-US"/>
        </w:rPr>
        <w:t xml:space="preserve"> conditions </w:t>
      </w:r>
      <w:r w:rsidRPr="007F780A">
        <w:rPr>
          <w:lang w:val="en-US"/>
        </w:rPr>
        <w:t xml:space="preserve">air </w:t>
      </w:r>
      <w:r>
        <w:rPr>
          <w:lang w:val="en-US"/>
        </w:rPr>
        <w:t>is used</w:t>
      </w:r>
      <w:r w:rsidRPr="007F780A">
        <w:rPr>
          <w:lang w:val="en-US"/>
        </w:rPr>
        <w:t xml:space="preserve"> as</w:t>
      </w:r>
      <w:r w:rsidR="00680ECD">
        <w:rPr>
          <w:lang w:val="en-US"/>
        </w:rPr>
        <w:t xml:space="preserve"> an</w:t>
      </w:r>
      <w:r w:rsidRPr="007F780A">
        <w:rPr>
          <w:lang w:val="en-US"/>
        </w:rPr>
        <w:t xml:space="preserve"> </w:t>
      </w:r>
      <w:r w:rsidRPr="00680ECD">
        <w:rPr>
          <w:noProof/>
          <w:lang w:val="en-US"/>
        </w:rPr>
        <w:t>inert</w:t>
      </w:r>
      <w:r w:rsidRPr="007F780A">
        <w:rPr>
          <w:lang w:val="en-US"/>
        </w:rPr>
        <w:t xml:space="preserve"> gas </w:t>
      </w:r>
      <w:r>
        <w:rPr>
          <w:lang w:val="en-US"/>
        </w:rPr>
        <w:t xml:space="preserve">with </w:t>
      </w:r>
      <w:r w:rsidRPr="008D619E">
        <w:rPr>
          <w:i/>
          <w:lang w:val="en-US"/>
        </w:rPr>
        <w:t>Π</w:t>
      </w:r>
      <w:r w:rsidRPr="007F780A">
        <w:rPr>
          <w:lang w:val="en-US"/>
        </w:rPr>
        <w:t xml:space="preserve">=0.25 and </w:t>
      </w:r>
      <w:r>
        <w:rPr>
          <w:lang w:val="en-US"/>
        </w:rPr>
        <w:t xml:space="preserve">a </w:t>
      </w:r>
      <w:r w:rsidRPr="007F780A">
        <w:rPr>
          <w:lang w:val="en-US"/>
        </w:rPr>
        <w:t xml:space="preserve">membrane pressure of 6.5 </w:t>
      </w:r>
      <w:r w:rsidRPr="00680ECD">
        <w:rPr>
          <w:noProof/>
          <w:lang w:val="en-US"/>
        </w:rPr>
        <w:t>bar</w:t>
      </w:r>
      <w:r w:rsidR="00680ECD">
        <w:rPr>
          <w:noProof/>
          <w:lang w:val="en-US"/>
        </w:rPr>
        <w:t>s</w:t>
      </w:r>
      <w:r>
        <w:rPr>
          <w:lang w:val="en-US"/>
        </w:rPr>
        <w:t xml:space="preserve">. In </w:t>
      </w:r>
      <w:r w:rsidR="00680295">
        <w:rPr>
          <w:lang w:val="en-US"/>
        </w:rPr>
        <w:fldChar w:fldCharType="begin"/>
      </w:r>
      <w:r w:rsidR="00680295">
        <w:rPr>
          <w:lang w:val="en-US"/>
        </w:rPr>
        <w:instrText xml:space="preserve"> REF _Ref469580654 \h </w:instrText>
      </w:r>
      <w:r w:rsidR="00680295">
        <w:rPr>
          <w:lang w:val="en-US"/>
        </w:rPr>
      </w:r>
      <w:r w:rsidR="00680295">
        <w:rPr>
          <w:lang w:val="en-US"/>
        </w:rPr>
        <w:fldChar w:fldCharType="separate"/>
      </w:r>
      <w:r w:rsidR="00680295">
        <w:t xml:space="preserve">Figure </w:t>
      </w:r>
      <w:r w:rsidR="00680295">
        <w:rPr>
          <w:noProof/>
        </w:rPr>
        <w:t>5</w:t>
      </w:r>
      <w:r w:rsidR="00680295">
        <w:rPr>
          <w:lang w:val="en-US"/>
        </w:rPr>
        <w:fldChar w:fldCharType="end"/>
      </w:r>
      <w:r>
        <w:rPr>
          <w:lang w:val="en-US"/>
        </w:rPr>
        <w:t xml:space="preserve"> the influence of the membrane pressure on the humidity is shown. </w:t>
      </w:r>
      <w:r w:rsidRPr="00475432">
        <w:rPr>
          <w:lang w:val="en-US"/>
        </w:rPr>
        <w:t xml:space="preserve">A higher membrane pressure leads to a lower </w:t>
      </w:r>
      <w:r>
        <w:rPr>
          <w:lang w:val="en-US"/>
        </w:rPr>
        <w:t>water</w:t>
      </w:r>
      <w:r w:rsidRPr="00475432">
        <w:rPr>
          <w:lang w:val="en-US"/>
        </w:rPr>
        <w:t xml:space="preserve"> content, since the partial pressure difference over the membrane increases.</w:t>
      </w:r>
      <w:r>
        <w:rPr>
          <w:lang w:val="en-US"/>
        </w:rPr>
        <w:t xml:space="preserve"> Residual H</w:t>
      </w:r>
      <w:r w:rsidRPr="003B790B">
        <w:rPr>
          <w:vertAlign w:val="subscript"/>
          <w:lang w:val="en-US"/>
        </w:rPr>
        <w:t>2</w:t>
      </w:r>
      <w:r>
        <w:rPr>
          <w:lang w:val="en-US"/>
        </w:rPr>
        <w:t>O fractions of below 500</w:t>
      </w:r>
      <w:r w:rsidR="006923B5">
        <w:rPr>
          <w:lang w:val="en-US"/>
        </w:rPr>
        <w:t xml:space="preserve"> </w:t>
      </w:r>
      <w:r>
        <w:rPr>
          <w:lang w:val="en-US"/>
        </w:rPr>
        <w:t xml:space="preserve">ppm can </w:t>
      </w:r>
      <w:r w:rsidRPr="00680ECD">
        <w:rPr>
          <w:noProof/>
          <w:lang w:val="en-US"/>
        </w:rPr>
        <w:t>be reached</w:t>
      </w:r>
      <w:r>
        <w:rPr>
          <w:lang w:val="en-US"/>
        </w:rPr>
        <w:t xml:space="preserve"> for pressures above 6.5 bar. Depending on the utilization of the CO</w:t>
      </w:r>
      <w:r w:rsidRPr="003B790B">
        <w:rPr>
          <w:vertAlign w:val="subscript"/>
          <w:lang w:val="en-US"/>
        </w:rPr>
        <w:t>2</w:t>
      </w:r>
      <w:r>
        <w:rPr>
          <w:lang w:val="en-US"/>
        </w:rPr>
        <w:t xml:space="preserve"> the membrane pressure can be optimized either for minimizing the H</w:t>
      </w:r>
      <w:r w:rsidRPr="003B790B">
        <w:rPr>
          <w:vertAlign w:val="subscript"/>
          <w:lang w:val="en-US"/>
        </w:rPr>
        <w:t>2</w:t>
      </w:r>
      <w:r>
        <w:rPr>
          <w:lang w:val="en-US"/>
        </w:rPr>
        <w:t xml:space="preserve">O content or the power consumption of the compressor, which increases with higher membrane pressure </w:t>
      </w:r>
      <w:r w:rsidRPr="00680ECD">
        <w:rPr>
          <w:noProof/>
          <w:lang w:val="en-US"/>
        </w:rPr>
        <w:t>and/or</w:t>
      </w:r>
      <w:r>
        <w:rPr>
          <w:lang w:val="en-US"/>
        </w:rPr>
        <w:t xml:space="preserve"> rising recirculation rates.</w:t>
      </w:r>
    </w:p>
    <w:p w14:paraId="724A5884" w14:textId="77777777" w:rsidR="00680295" w:rsidRDefault="003F018B" w:rsidP="00680295">
      <w:pPr>
        <w:keepNext/>
        <w:jc w:val="center"/>
      </w:pPr>
      <w:r w:rsidRPr="00D51BC7">
        <w:rPr>
          <w:noProof/>
          <w:lang w:val="it-IT" w:eastAsia="it-IT"/>
        </w:rPr>
        <w:drawing>
          <wp:inline distT="0" distB="0" distL="0" distR="0" wp14:anchorId="14E47C8E" wp14:editId="1A2C6E3C">
            <wp:extent cx="3560455" cy="2342233"/>
            <wp:effectExtent l="0" t="0" r="1905" b="1270"/>
            <wp:docPr id="12292" name="Grafik 12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586958" cy="2359668"/>
                    </a:xfrm>
                    <a:prstGeom prst="rect">
                      <a:avLst/>
                    </a:prstGeom>
                    <a:noFill/>
                  </pic:spPr>
                </pic:pic>
              </a:graphicData>
            </a:graphic>
          </wp:inline>
        </w:drawing>
      </w:r>
    </w:p>
    <w:p w14:paraId="03CBEAF3" w14:textId="1C4AC470" w:rsidR="003F018B" w:rsidRPr="00D548E3" w:rsidRDefault="00680295" w:rsidP="003F018B">
      <w:pPr>
        <w:pStyle w:val="Didascalia"/>
        <w:rPr>
          <w:lang w:val="en-US"/>
        </w:rPr>
      </w:pPr>
      <w:bookmarkStart w:id="13" w:name="_Ref469580654"/>
      <w:r>
        <w:t xml:space="preserve">Figure </w:t>
      </w:r>
      <w:r>
        <w:fldChar w:fldCharType="begin"/>
      </w:r>
      <w:r>
        <w:instrText xml:space="preserve"> SEQ Figure \* ARABIC </w:instrText>
      </w:r>
      <w:r>
        <w:fldChar w:fldCharType="separate"/>
      </w:r>
      <w:r w:rsidR="008D619E">
        <w:rPr>
          <w:noProof/>
        </w:rPr>
        <w:t>5</w:t>
      </w:r>
      <w:r>
        <w:fldChar w:fldCharType="end"/>
      </w:r>
      <w:bookmarkEnd w:id="13"/>
      <w:r>
        <w:t xml:space="preserve">. </w:t>
      </w:r>
      <w:r w:rsidR="003F018B" w:rsidRPr="00D548E3">
        <w:t>Influence of the membrane pressure on the system. Abrupt signal steps of the humidity signal are due to a self-calibration of the sensor.</w:t>
      </w:r>
    </w:p>
    <w:p w14:paraId="4101162A" w14:textId="651845C4" w:rsidR="003F018B" w:rsidRPr="00984F03" w:rsidRDefault="003F018B" w:rsidP="003F018B">
      <w:pPr>
        <w:rPr>
          <w:lang w:val="en-US"/>
        </w:rPr>
      </w:pPr>
      <w:r>
        <w:rPr>
          <w:lang w:val="en-US"/>
        </w:rPr>
        <w:t xml:space="preserve">In </w:t>
      </w:r>
      <w:r w:rsidR="00680295">
        <w:rPr>
          <w:lang w:val="en-US"/>
        </w:rPr>
        <w:fldChar w:fldCharType="begin"/>
      </w:r>
      <w:r w:rsidR="00680295">
        <w:rPr>
          <w:lang w:val="en-US"/>
        </w:rPr>
        <w:instrText xml:space="preserve"> REF _Ref469580672 \h </w:instrText>
      </w:r>
      <w:r w:rsidR="00680295">
        <w:rPr>
          <w:lang w:val="en-US"/>
        </w:rPr>
      </w:r>
      <w:r w:rsidR="00680295">
        <w:rPr>
          <w:lang w:val="en-US"/>
        </w:rPr>
        <w:fldChar w:fldCharType="separate"/>
      </w:r>
      <w:r w:rsidR="00680295">
        <w:t xml:space="preserve">Figure </w:t>
      </w:r>
      <w:r w:rsidR="00680295">
        <w:rPr>
          <w:noProof/>
        </w:rPr>
        <w:t>6</w:t>
      </w:r>
      <w:r w:rsidR="00680295">
        <w:rPr>
          <w:lang w:val="en-US"/>
        </w:rPr>
        <w:fldChar w:fldCharType="end"/>
      </w:r>
      <w:r>
        <w:rPr>
          <w:lang w:val="en-US"/>
        </w:rPr>
        <w:t xml:space="preserve"> the dynamic behavior and stability of the control system </w:t>
      </w:r>
      <w:r w:rsidRPr="00680ECD">
        <w:rPr>
          <w:noProof/>
          <w:lang w:val="en-US"/>
        </w:rPr>
        <w:t>is</w:t>
      </w:r>
      <w:r>
        <w:rPr>
          <w:lang w:val="en-US"/>
        </w:rPr>
        <w:t xml:space="preserve"> investigated. At </w:t>
      </w:r>
      <w:r w:rsidRPr="00680ECD">
        <w:rPr>
          <w:noProof/>
          <w:lang w:val="en-US"/>
        </w:rPr>
        <w:t>constant</w:t>
      </w:r>
      <w:r>
        <w:rPr>
          <w:lang w:val="en-US"/>
        </w:rPr>
        <w:t xml:space="preserve"> operation the process gas flow is reduced by 30%</w:t>
      </w:r>
      <w:r w:rsidR="005453C1">
        <w:rPr>
          <w:lang w:val="en-US"/>
        </w:rPr>
        <w:t>,</w:t>
      </w:r>
      <w:r>
        <w:rPr>
          <w:lang w:val="en-US"/>
        </w:rPr>
        <w:t xml:space="preserve"> resulting in a pressure drop inside the condenser. The system responds by decreasing the compressor speed, and thus flow rate, and stable operation is reached </w:t>
      </w:r>
      <w:r>
        <w:rPr>
          <w:lang w:val="en-US"/>
        </w:rPr>
        <w:lastRenderedPageBreak/>
        <w:t xml:space="preserve">again within seconds. </w:t>
      </w:r>
      <w:r w:rsidRPr="00680ECD">
        <w:rPr>
          <w:noProof/>
          <w:lang w:val="en-US"/>
        </w:rPr>
        <w:t>A following</w:t>
      </w:r>
      <w:r>
        <w:rPr>
          <w:lang w:val="en-US"/>
        </w:rPr>
        <w:t xml:space="preserve"> increase of the process gas flow causes </w:t>
      </w:r>
      <w:r w:rsidRPr="00680ECD">
        <w:rPr>
          <w:noProof/>
          <w:lang w:val="en-US"/>
        </w:rPr>
        <w:t>an inverse</w:t>
      </w:r>
      <w:r>
        <w:rPr>
          <w:lang w:val="en-US"/>
        </w:rPr>
        <w:t xml:space="preserve"> reaction and the system stabilizes likewise.</w:t>
      </w:r>
    </w:p>
    <w:p w14:paraId="5E880025" w14:textId="77777777" w:rsidR="00680295" w:rsidRDefault="003F018B" w:rsidP="00680295">
      <w:pPr>
        <w:pStyle w:val="Table"/>
        <w:keepNext/>
      </w:pPr>
      <w:r>
        <w:rPr>
          <w:noProof/>
          <w:lang w:val="it-IT"/>
        </w:rPr>
        <w:drawing>
          <wp:inline distT="0" distB="0" distL="0" distR="0" wp14:anchorId="1F696228" wp14:editId="6EC3F900">
            <wp:extent cx="4160520" cy="2353229"/>
            <wp:effectExtent l="0" t="0" r="0" b="9525"/>
            <wp:docPr id="12318" name="Grafik 12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216374" cy="2384820"/>
                    </a:xfrm>
                    <a:prstGeom prst="rect">
                      <a:avLst/>
                    </a:prstGeom>
                    <a:noFill/>
                  </pic:spPr>
                </pic:pic>
              </a:graphicData>
            </a:graphic>
          </wp:inline>
        </w:drawing>
      </w:r>
    </w:p>
    <w:p w14:paraId="06F20668" w14:textId="003D331C" w:rsidR="003F018B" w:rsidRPr="00D548E3" w:rsidRDefault="00680295" w:rsidP="003F018B">
      <w:pPr>
        <w:pStyle w:val="Didascalia"/>
      </w:pPr>
      <w:bookmarkStart w:id="14" w:name="_Ref469580672"/>
      <w:r>
        <w:t xml:space="preserve">Figure </w:t>
      </w:r>
      <w:r>
        <w:fldChar w:fldCharType="begin"/>
      </w:r>
      <w:r>
        <w:instrText xml:space="preserve"> SEQ Figure \* ARABIC </w:instrText>
      </w:r>
      <w:r>
        <w:fldChar w:fldCharType="separate"/>
      </w:r>
      <w:r w:rsidR="008D619E">
        <w:rPr>
          <w:noProof/>
        </w:rPr>
        <w:t>6</w:t>
      </w:r>
      <w:r>
        <w:fldChar w:fldCharType="end"/>
      </w:r>
      <w:bookmarkEnd w:id="14"/>
      <w:r w:rsidR="00802745" w:rsidRPr="00D548E3">
        <w:t xml:space="preserve">. </w:t>
      </w:r>
      <w:r w:rsidR="003F018B" w:rsidRPr="00D548E3">
        <w:t xml:space="preserve">Dynamic </w:t>
      </w:r>
      <w:r w:rsidR="003F018B" w:rsidRPr="00680ECD">
        <w:rPr>
          <w:noProof/>
        </w:rPr>
        <w:t>behavior</w:t>
      </w:r>
      <w:r w:rsidR="003F018B" w:rsidRPr="00D548E3">
        <w:t xml:space="preserve"> of the condenser pressure control system on a variation of the process gas flow</w:t>
      </w:r>
      <w:bookmarkStart w:id="15" w:name="OLE_LINK113"/>
      <w:bookmarkStart w:id="16" w:name="OLE_LINK114"/>
      <w:r w:rsidR="003F018B" w:rsidRPr="00D548E3">
        <w:t>.</w:t>
      </w:r>
    </w:p>
    <w:p w14:paraId="0DEC886B" w14:textId="48C6F466" w:rsidR="003F018B" w:rsidRPr="007E4CAC" w:rsidRDefault="003F018B" w:rsidP="003F018B">
      <w:r>
        <w:t xml:space="preserve">Since the unit has </w:t>
      </w:r>
      <w:r w:rsidRPr="00680ECD">
        <w:rPr>
          <w:noProof/>
        </w:rPr>
        <w:t>been designed</w:t>
      </w:r>
      <w:r>
        <w:t xml:space="preserve"> for long-term operation</w:t>
      </w:r>
      <w:r w:rsidR="005453C1">
        <w:t>,</w:t>
      </w:r>
      <w:r>
        <w:t xml:space="preserve"> a stable operating scheme </w:t>
      </w:r>
      <w:r w:rsidRPr="00680ECD">
        <w:rPr>
          <w:noProof/>
        </w:rPr>
        <w:t>is also investigated</w:t>
      </w:r>
      <w:r>
        <w:t xml:space="preserve"> over a period of several hours at constant operating parameters. Although </w:t>
      </w:r>
      <w:r w:rsidRPr="00680ECD">
        <w:rPr>
          <w:noProof/>
        </w:rPr>
        <w:t>an observable</w:t>
      </w:r>
      <w:r>
        <w:t xml:space="preserve"> influence of the applied iner</w:t>
      </w:r>
      <w:r w:rsidR="006923B5">
        <w:t>t gas (air</w:t>
      </w:r>
      <w:r>
        <w:t>/CO</w:t>
      </w:r>
      <w:r w:rsidRPr="00D972CF">
        <w:rPr>
          <w:vertAlign w:val="subscript"/>
        </w:rPr>
        <w:t>2</w:t>
      </w:r>
      <w:r>
        <w:t xml:space="preserve">) </w:t>
      </w:r>
      <w:r w:rsidRPr="00680ECD">
        <w:rPr>
          <w:noProof/>
        </w:rPr>
        <w:t>is not expected</w:t>
      </w:r>
      <w:r>
        <w:t xml:space="preserve"> </w:t>
      </w:r>
      <w:r w:rsidRPr="00802745">
        <w:t xml:space="preserve">in </w:t>
      </w:r>
      <w:r w:rsidR="00680295">
        <w:fldChar w:fldCharType="begin"/>
      </w:r>
      <w:r w:rsidR="00680295">
        <w:instrText xml:space="preserve"> REF _Ref469580709 \h </w:instrText>
      </w:r>
      <w:r w:rsidR="00680295">
        <w:fldChar w:fldCharType="separate"/>
      </w:r>
      <w:r w:rsidR="00680295">
        <w:t xml:space="preserve">Figure </w:t>
      </w:r>
      <w:r w:rsidR="00680295">
        <w:rPr>
          <w:noProof/>
        </w:rPr>
        <w:t>7</w:t>
      </w:r>
      <w:r w:rsidR="00680295">
        <w:fldChar w:fldCharType="end"/>
      </w:r>
      <w:r w:rsidR="00680295">
        <w:t xml:space="preserve"> </w:t>
      </w:r>
      <w:r>
        <w:t>results for a CO</w:t>
      </w:r>
      <w:r w:rsidRPr="00AC70F8">
        <w:rPr>
          <w:vertAlign w:val="subscript"/>
        </w:rPr>
        <w:t>2</w:t>
      </w:r>
      <w:r>
        <w:t>/H</w:t>
      </w:r>
      <w:r w:rsidRPr="00AC70F8">
        <w:rPr>
          <w:vertAlign w:val="subscript"/>
        </w:rPr>
        <w:t>2</w:t>
      </w:r>
      <w:r>
        <w:t>O gas mix are shown. Again the humidity stays clearly below the 500</w:t>
      </w:r>
      <w:r w:rsidR="006923B5">
        <w:t xml:space="preserve"> </w:t>
      </w:r>
      <w:r>
        <w:t xml:space="preserve">ppm value. </w:t>
      </w:r>
    </w:p>
    <w:bookmarkEnd w:id="15"/>
    <w:bookmarkEnd w:id="16"/>
    <w:p w14:paraId="7F07A3BC" w14:textId="77777777" w:rsidR="00680295" w:rsidRDefault="003F018B" w:rsidP="00680295">
      <w:pPr>
        <w:pStyle w:val="Table"/>
        <w:keepNext/>
      </w:pPr>
      <w:r w:rsidRPr="00860447">
        <w:rPr>
          <w:noProof/>
          <w:lang w:val="it-IT"/>
        </w:rPr>
        <w:drawing>
          <wp:inline distT="0" distB="0" distL="0" distR="0" wp14:anchorId="4D1F319B" wp14:editId="1EBD31A7">
            <wp:extent cx="4501237" cy="3149056"/>
            <wp:effectExtent l="0" t="0" r="0" b="0"/>
            <wp:docPr id="12314" name="Grafik 12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504467" cy="3151315"/>
                    </a:xfrm>
                    <a:prstGeom prst="rect">
                      <a:avLst/>
                    </a:prstGeom>
                    <a:noFill/>
                  </pic:spPr>
                </pic:pic>
              </a:graphicData>
            </a:graphic>
          </wp:inline>
        </w:drawing>
      </w:r>
    </w:p>
    <w:p w14:paraId="41C4A2A8" w14:textId="7BD28343" w:rsidR="003F018B" w:rsidRPr="00D548E3" w:rsidRDefault="00680295" w:rsidP="003F018B">
      <w:pPr>
        <w:pStyle w:val="Didascalia"/>
        <w:rPr>
          <w:lang w:val="en-US"/>
        </w:rPr>
      </w:pPr>
      <w:bookmarkStart w:id="17" w:name="_Ref469580709"/>
      <w:r>
        <w:t xml:space="preserve">Figure </w:t>
      </w:r>
      <w:r>
        <w:fldChar w:fldCharType="begin"/>
      </w:r>
      <w:r>
        <w:instrText xml:space="preserve"> SEQ Figure \* ARABIC </w:instrText>
      </w:r>
      <w:r>
        <w:fldChar w:fldCharType="separate"/>
      </w:r>
      <w:r w:rsidR="008D619E">
        <w:rPr>
          <w:noProof/>
        </w:rPr>
        <w:t>7</w:t>
      </w:r>
      <w:r>
        <w:fldChar w:fldCharType="end"/>
      </w:r>
      <w:bookmarkEnd w:id="17"/>
      <w:r w:rsidR="00802745" w:rsidRPr="00D548E3">
        <w:t>.</w:t>
      </w:r>
      <w:r w:rsidR="003F018B" w:rsidRPr="00D548E3">
        <w:t xml:space="preserve"> Long term test with CO</w:t>
      </w:r>
      <w:r w:rsidR="003F018B" w:rsidRPr="00D548E3">
        <w:rPr>
          <w:vertAlign w:val="subscript"/>
        </w:rPr>
        <w:t>2</w:t>
      </w:r>
      <w:r w:rsidR="003F018B" w:rsidRPr="00D548E3">
        <w:t>/H</w:t>
      </w:r>
      <w:r w:rsidR="003F018B" w:rsidRPr="00D548E3">
        <w:rPr>
          <w:vertAlign w:val="subscript"/>
        </w:rPr>
        <w:t>2</w:t>
      </w:r>
      <w:r w:rsidR="003F018B" w:rsidRPr="00D548E3">
        <w:t>O gas mix</w:t>
      </w:r>
      <w:r w:rsidR="00D548E3">
        <w:t>.</w:t>
      </w:r>
    </w:p>
    <w:p w14:paraId="2FA0DE53" w14:textId="72CBD70F" w:rsidR="003F018B" w:rsidRDefault="003F018B" w:rsidP="003F018B">
      <w:pPr>
        <w:rPr>
          <w:highlight w:val="yellow"/>
          <w:lang w:val="en-US"/>
        </w:rPr>
      </w:pPr>
      <w:r>
        <w:t xml:space="preserve">The </w:t>
      </w:r>
      <w:r w:rsidRPr="00680ECD">
        <w:rPr>
          <w:noProof/>
        </w:rPr>
        <w:t>observable</w:t>
      </w:r>
      <w:r>
        <w:t xml:space="preserve"> increase of the condenser pressure and humidity after 1.5 hours is due to instabilities of the CO</w:t>
      </w:r>
      <w:r w:rsidRPr="00AC70F8">
        <w:rPr>
          <w:vertAlign w:val="subscript"/>
        </w:rPr>
        <w:t>2</w:t>
      </w:r>
      <w:r>
        <w:t xml:space="preserve"> supply in the laboratory resulting in an increased flow rate at the specific time. Therefore, and for safety reasons, it was decided to proceed </w:t>
      </w:r>
      <w:r w:rsidR="00680ECD">
        <w:rPr>
          <w:noProof/>
        </w:rPr>
        <w:t>with</w:t>
      </w:r>
      <w:r>
        <w:t xml:space="preserve"> </w:t>
      </w:r>
      <w:r w:rsidR="00D51C5A">
        <w:t>longer-term</w:t>
      </w:r>
      <w:r>
        <w:t xml:space="preserve"> lab testing with air as</w:t>
      </w:r>
      <w:r w:rsidR="00680ECD">
        <w:t xml:space="preserve"> an</w:t>
      </w:r>
      <w:r>
        <w:t xml:space="preserve"> </w:t>
      </w:r>
      <w:r w:rsidRPr="00680ECD">
        <w:rPr>
          <w:noProof/>
        </w:rPr>
        <w:t>inert</w:t>
      </w:r>
      <w:r>
        <w:t xml:space="preserve"> gas. </w:t>
      </w:r>
      <w:r w:rsidRPr="00680ECD">
        <w:rPr>
          <w:noProof/>
        </w:rPr>
        <w:t xml:space="preserve">As is observable in </w:t>
      </w:r>
      <w:r w:rsidR="00680295" w:rsidRPr="00680ECD">
        <w:rPr>
          <w:noProof/>
        </w:rPr>
        <w:fldChar w:fldCharType="begin"/>
      </w:r>
      <w:r w:rsidR="00680295" w:rsidRPr="00680ECD">
        <w:rPr>
          <w:noProof/>
        </w:rPr>
        <w:instrText xml:space="preserve"> REF _Ref469580727 \h </w:instrText>
      </w:r>
      <w:r w:rsidR="00680295" w:rsidRPr="00680ECD">
        <w:rPr>
          <w:noProof/>
        </w:rPr>
      </w:r>
      <w:r w:rsidR="00680295" w:rsidRPr="00680ECD">
        <w:rPr>
          <w:noProof/>
        </w:rPr>
        <w:fldChar w:fldCharType="separate"/>
      </w:r>
      <w:r w:rsidR="00680295" w:rsidRPr="00680ECD">
        <w:rPr>
          <w:noProof/>
        </w:rPr>
        <w:t>Figure 8</w:t>
      </w:r>
      <w:r w:rsidR="00680295" w:rsidRPr="00680ECD">
        <w:rPr>
          <w:noProof/>
        </w:rPr>
        <w:fldChar w:fldCharType="end"/>
      </w:r>
      <w:r w:rsidR="00680295" w:rsidRPr="00680ECD">
        <w:rPr>
          <w:noProof/>
        </w:rPr>
        <w:t xml:space="preserve"> </w:t>
      </w:r>
      <w:r w:rsidRPr="00680ECD">
        <w:rPr>
          <w:noProof/>
        </w:rPr>
        <w:t xml:space="preserve">in the long term test for a period of 50 hours the system is operated stable without </w:t>
      </w:r>
      <w:r w:rsidRPr="00680ECD">
        <w:rPr>
          <w:noProof/>
        </w:rPr>
        <w:lastRenderedPageBreak/>
        <w:t>showing any negative long-term effects</w:t>
      </w:r>
      <w:r w:rsidR="005453C1" w:rsidRPr="00680ECD">
        <w:rPr>
          <w:noProof/>
        </w:rPr>
        <w:t>;</w:t>
      </w:r>
      <w:r w:rsidRPr="00680ECD">
        <w:rPr>
          <w:noProof/>
        </w:rPr>
        <w:t xml:space="preserve"> the desired humidity of below 500ppm can be obtained with a large safety margin of at least 200</w:t>
      </w:r>
      <w:r w:rsidR="008D619E" w:rsidRPr="00680ECD">
        <w:rPr>
          <w:noProof/>
        </w:rPr>
        <w:t xml:space="preserve"> </w:t>
      </w:r>
      <w:r w:rsidR="0026261D" w:rsidRPr="00680ECD">
        <w:rPr>
          <w:noProof/>
        </w:rPr>
        <w:t>ppm, whilst no significant over</w:t>
      </w:r>
      <w:r w:rsidR="00D51C5A" w:rsidRPr="00680ECD">
        <w:rPr>
          <w:noProof/>
        </w:rPr>
        <w:t>-</w:t>
      </w:r>
      <w:r w:rsidRPr="00680ECD">
        <w:rPr>
          <w:noProof/>
        </w:rPr>
        <w:t xml:space="preserve"> or </w:t>
      </w:r>
      <w:r w:rsidR="00D51C5A" w:rsidRPr="00680ECD">
        <w:rPr>
          <w:noProof/>
        </w:rPr>
        <w:t>under-</w:t>
      </w:r>
      <w:r w:rsidR="0026261D" w:rsidRPr="00680ECD">
        <w:rPr>
          <w:noProof/>
        </w:rPr>
        <w:t>pressure</w:t>
      </w:r>
      <w:r w:rsidRPr="00680ECD">
        <w:rPr>
          <w:noProof/>
        </w:rPr>
        <w:t xml:space="preserve"> is measured in the condenser.</w:t>
      </w:r>
    </w:p>
    <w:p w14:paraId="4F329AC2" w14:textId="77777777" w:rsidR="00680295" w:rsidRDefault="003F018B" w:rsidP="00680295">
      <w:pPr>
        <w:pStyle w:val="Table"/>
        <w:keepNext/>
      </w:pPr>
      <w:r>
        <w:rPr>
          <w:noProof/>
          <w:lang w:val="it-IT"/>
        </w:rPr>
        <w:drawing>
          <wp:inline distT="0" distB="0" distL="0" distR="0" wp14:anchorId="73FE956D" wp14:editId="10114AEA">
            <wp:extent cx="3933793" cy="2923723"/>
            <wp:effectExtent l="0" t="0" r="0" b="0"/>
            <wp:docPr id="12306" name="Grafik 12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944307" cy="2931537"/>
                    </a:xfrm>
                    <a:prstGeom prst="rect">
                      <a:avLst/>
                    </a:prstGeom>
                    <a:noFill/>
                  </pic:spPr>
                </pic:pic>
              </a:graphicData>
            </a:graphic>
          </wp:inline>
        </w:drawing>
      </w:r>
    </w:p>
    <w:p w14:paraId="4FAA3110" w14:textId="6610EA98" w:rsidR="003F018B" w:rsidRPr="00D548E3" w:rsidRDefault="00680295" w:rsidP="003F018B">
      <w:pPr>
        <w:pStyle w:val="Didascalia"/>
      </w:pPr>
      <w:bookmarkStart w:id="18" w:name="_Ref469580727"/>
      <w:r>
        <w:t xml:space="preserve">Figure </w:t>
      </w:r>
      <w:r>
        <w:fldChar w:fldCharType="begin"/>
      </w:r>
      <w:r>
        <w:instrText xml:space="preserve"> SEQ Figure \* ARABIC </w:instrText>
      </w:r>
      <w:r>
        <w:fldChar w:fldCharType="separate"/>
      </w:r>
      <w:r w:rsidR="008D619E">
        <w:rPr>
          <w:noProof/>
        </w:rPr>
        <w:t>8</w:t>
      </w:r>
      <w:r>
        <w:fldChar w:fldCharType="end"/>
      </w:r>
      <w:bookmarkEnd w:id="18"/>
      <w:r w:rsidR="00802745" w:rsidRPr="00D548E3">
        <w:t>.</w:t>
      </w:r>
      <w:r w:rsidR="003F018B" w:rsidRPr="00D548E3">
        <w:t xml:space="preserve"> </w:t>
      </w:r>
      <w:r w:rsidR="0026261D" w:rsidRPr="00D548E3">
        <w:t>Long-term</w:t>
      </w:r>
      <w:r w:rsidR="00766A59">
        <w:t xml:space="preserve"> test with air/</w:t>
      </w:r>
      <w:r w:rsidR="003F018B" w:rsidRPr="00D548E3">
        <w:t>H</w:t>
      </w:r>
      <w:r w:rsidR="003F018B" w:rsidRPr="00D548E3">
        <w:rPr>
          <w:vertAlign w:val="subscript"/>
        </w:rPr>
        <w:t>2</w:t>
      </w:r>
      <w:r w:rsidR="003F018B" w:rsidRPr="00D548E3">
        <w:t>O gas mix at reference conditions.</w:t>
      </w:r>
    </w:p>
    <w:p w14:paraId="08B3DF36" w14:textId="05E9960B" w:rsidR="00BC09A2" w:rsidRDefault="00BC09A2" w:rsidP="00BC09A2">
      <w:pPr>
        <w:pStyle w:val="Titolo2"/>
        <w:rPr>
          <w:lang w:val="en-US"/>
        </w:rPr>
      </w:pPr>
      <w:r w:rsidRPr="00BC09A2">
        <w:rPr>
          <w:lang w:val="en-US"/>
        </w:rPr>
        <w:t>CO</w:t>
      </w:r>
      <w:r w:rsidRPr="0026261D">
        <w:rPr>
          <w:vertAlign w:val="subscript"/>
          <w:lang w:val="en-US"/>
        </w:rPr>
        <w:t>2</w:t>
      </w:r>
      <w:r>
        <w:rPr>
          <w:lang w:val="en-US"/>
        </w:rPr>
        <w:t xml:space="preserve"> sequestration </w:t>
      </w:r>
      <w:r w:rsidRPr="00680ECD">
        <w:rPr>
          <w:noProof/>
          <w:lang w:val="en-US"/>
        </w:rPr>
        <w:t>in</w:t>
      </w:r>
      <w:r w:rsidR="00680ECD">
        <w:rPr>
          <w:noProof/>
          <w:lang w:val="en-US"/>
        </w:rPr>
        <w:t xml:space="preserve"> the</w:t>
      </w:r>
      <w:r w:rsidRPr="00680ECD">
        <w:rPr>
          <w:noProof/>
          <w:lang w:val="en-US"/>
        </w:rPr>
        <w:t xml:space="preserve"> form of</w:t>
      </w:r>
      <w:r>
        <w:rPr>
          <w:lang w:val="en-US"/>
        </w:rPr>
        <w:t xml:space="preserve"> algae: </w:t>
      </w:r>
      <w:proofErr w:type="spellStart"/>
      <w:r>
        <w:rPr>
          <w:lang w:val="en-US"/>
        </w:rPr>
        <w:t>photo</w:t>
      </w:r>
      <w:r w:rsidR="0026261D">
        <w:rPr>
          <w:lang w:val="en-US"/>
        </w:rPr>
        <w:t>bio</w:t>
      </w:r>
      <w:r>
        <w:rPr>
          <w:lang w:val="en-US"/>
        </w:rPr>
        <w:t>reactor</w:t>
      </w:r>
      <w:proofErr w:type="spellEnd"/>
    </w:p>
    <w:p w14:paraId="493BD558" w14:textId="06066F47" w:rsidR="004D2BD0" w:rsidRPr="005B2385" w:rsidRDefault="004D2BD0" w:rsidP="0026261D">
      <w:pPr>
        <w:rPr>
          <w:lang w:val="en-US"/>
        </w:rPr>
      </w:pPr>
      <w:r w:rsidRPr="00732C31">
        <w:rPr>
          <w:lang w:val="en-US"/>
        </w:rPr>
        <w:t xml:space="preserve">Recent developments have demonstrated that </w:t>
      </w:r>
      <w:r w:rsidRPr="00680ECD">
        <w:rPr>
          <w:noProof/>
          <w:lang w:val="en-US"/>
        </w:rPr>
        <w:t>microalgae</w:t>
      </w:r>
      <w:r w:rsidRPr="00732C31">
        <w:rPr>
          <w:lang w:val="en-US"/>
        </w:rPr>
        <w:t xml:space="preserve"> </w:t>
      </w:r>
      <w:r>
        <w:rPr>
          <w:lang w:val="en-US"/>
        </w:rPr>
        <w:t xml:space="preserve">are a promising </w:t>
      </w:r>
      <w:r w:rsidRPr="00732C31">
        <w:rPr>
          <w:lang w:val="en-US"/>
        </w:rPr>
        <w:t>sustainable route for CO</w:t>
      </w:r>
      <w:r w:rsidRPr="00732C31">
        <w:rPr>
          <w:vertAlign w:val="subscript"/>
          <w:lang w:val="en-US"/>
        </w:rPr>
        <w:t>2</w:t>
      </w:r>
      <w:r w:rsidRPr="00732C31">
        <w:rPr>
          <w:lang w:val="en-US"/>
        </w:rPr>
        <w:t xml:space="preserve"> </w:t>
      </w:r>
      <w:r w:rsidRPr="008B0B6C">
        <w:rPr>
          <w:lang w:val="en-US"/>
        </w:rPr>
        <w:t>bio</w:t>
      </w:r>
      <w:r w:rsidR="00766A59">
        <w:rPr>
          <w:lang w:val="en-US"/>
        </w:rPr>
        <w:t>-</w:t>
      </w:r>
      <w:r w:rsidRPr="008B0B6C">
        <w:rPr>
          <w:lang w:val="en-US"/>
        </w:rPr>
        <w:t>fixation</w:t>
      </w:r>
      <w:r w:rsidR="005A1C74">
        <w:rPr>
          <w:lang w:val="en-US"/>
        </w:rPr>
        <w:t xml:space="preserve"> </w:t>
      </w:r>
      <w:r w:rsidR="005A1C74">
        <w:rPr>
          <w:lang w:val="en-US"/>
        </w:rPr>
        <w:fldChar w:fldCharType="begin" w:fldLock="1"/>
      </w:r>
      <w:r w:rsidR="005A1C74">
        <w:rPr>
          <w:lang w:val="en-US"/>
        </w:rPr>
        <w:instrText>ADDIN CSL_CITATION { "citationItems" : [ { "id" : "ITEM-1", "itemData" : { "abstract" : "SUMMARY Microalgae present one of the few technologies for the capture and utilization of CO 2 emitted by power plants. These microscopic plants would be grown in large open ponds, into which power plant flue gas or pure CO 2 (captured from power plants) is sparged, and, after harvesting, the biomass would be converted to a fossil fuel replacement, preferably a high value liquid fuel such as biodiesel. The requirements for large areas of land, favorable climate, and ample water supplies will restrict the potential of this technology. Also, even with rather favorable technical assump-tions, the currently projected costs of microalgae-fuels are high, similar to most power plant CO 2 capture and disposal options. However, if the technology of microalgae could achieve very high productivities, equivalent to 10% solar energy conversion, and if projected low-cost cultivation, harvesting and processing techniques could be developed, microalgae technology could become a low-cost CO 2 mitigation option, particularly if prices for fossil fuels increase in the future. In the nearer-term microalgae CO 2 utilization can be integrated with wastewater treatment and reclamation, providing an early application of this technology. Long-term basic and applied R&amp;D are required to develop this technology, as one of the many options that may be required in the future to help preserve our planetary atmosphere and biosphere.", "author" : [ { "dropping-particle" : "", "family" : "Benemann", "given" : "John R", "non-dropping-particle" : "", "parse-names" : false, "suffix" : "" } ], "container-title" : "Energy Convers. Mgmt", "id" : "ITEM-1", "issued" : { "date-parts" : [ [ "1997" ] ] }, "page" : "475-479", "title" : "CO2 MITIGATION WITH MICROALGAE SYSTEMS", "type" : "article-journal", "volume" : "38" }, "uris" : [ "http://www.mendeley.com/documents/?uuid=16ce3e92-4e5f-38f6-ae47-2e63c45f110f" ] }, { "id" : "ITEM-2", "itemData" : { "DOI" : "10.1007/s00253-008-1518-y", "abstract" : "Microalgae are a group of unicellular or simple multicellular photosynthetic microorganisms that can fix CO 2 efficiently from different sources, including the atmosphere, industrial exhaust gases, and soluble carbonate salts. Combination of CO 2 fixation, biofuel production, and wastewater treatment may provide a very promising alternative to current CO 2 mitigation strategies.", "author" : [ { "dropping-particle" : "", "family" : "Wang", "given" : "Bei", "non-dropping-particle" : "", "parse-names" : false, "suffix" : "" }, { "dropping-particle" : "", "family" : "Li", "given" : "Yanqun", "non-dropping-particle" : "", "parse-names" : false, "suffix" : "" }, { "dropping-particle" : "", "family" : "Wu", "given" : "Nan", "non-dropping-particle" : "", "parse-names" : false, "suffix" : "" }, { "dropping-particle" : "", "family" : "Lan", "given" : "Christopher Q", "non-dropping-particle" : "", "parse-names" : false, "suffix" : "" } ], "container-title" : "Appl Microbiol Biotechnol", "id" : "ITEM-2", "issued" : { "date-parts" : [ [ "2008" ] ] }, "page" : "707-718", "title" : "CO2 bio-mitigation using microalgae", "type" : "article-journal", "volume" : "79" }, "uris" : [ "http://www.mendeley.com/documents/?uuid=0d5f49c9-54a0-379d-be2b-b3b6157957b4" ] } ], "mendeley" : { "formattedCitation" : "[5,6]", "plainTextFormattedCitation" : "[5,6]", "previouslyFormattedCitation" : "[5,6]" }, "properties" : { "noteIndex" : 0 }, "schema" : "https://github.com/citation-style-language/schema/raw/master/csl-citation.json" }</w:instrText>
      </w:r>
      <w:r w:rsidR="005A1C74">
        <w:rPr>
          <w:lang w:val="en-US"/>
        </w:rPr>
        <w:fldChar w:fldCharType="separate"/>
      </w:r>
      <w:r w:rsidR="005A1C74" w:rsidRPr="005A1C74">
        <w:rPr>
          <w:noProof/>
          <w:lang w:val="en-US"/>
        </w:rPr>
        <w:t>[5,6]</w:t>
      </w:r>
      <w:r w:rsidR="005A1C74">
        <w:rPr>
          <w:lang w:val="en-US"/>
        </w:rPr>
        <w:fldChar w:fldCharType="end"/>
      </w:r>
      <w:r w:rsidRPr="008B0B6C">
        <w:rPr>
          <w:lang w:val="en-US"/>
        </w:rPr>
        <w:t xml:space="preserve">; </w:t>
      </w:r>
      <w:r w:rsidR="00680ECD">
        <w:rPr>
          <w:noProof/>
          <w:lang w:val="en-US"/>
        </w:rPr>
        <w:t>also</w:t>
      </w:r>
      <w:r w:rsidRPr="008B0B6C">
        <w:rPr>
          <w:lang w:val="en-US"/>
        </w:rPr>
        <w:t>, they are also an excellent source for wastewater treatment applications,</w:t>
      </w:r>
      <w:r w:rsidRPr="00732C31">
        <w:rPr>
          <w:lang w:val="en-US"/>
        </w:rPr>
        <w:t xml:space="preserve"> due to their ability to remove nitrogen and phosphorus contained in agricultural effluents and industrial discharges. </w:t>
      </w:r>
      <w:r>
        <w:rPr>
          <w:lang w:val="en-US"/>
        </w:rPr>
        <w:t xml:space="preserve">Hence, as mentioned in the introduction, there is an excellent opportunity to recover </w:t>
      </w:r>
      <w:r w:rsidRPr="00732C31">
        <w:rPr>
          <w:lang w:val="en-US"/>
        </w:rPr>
        <w:t>CO</w:t>
      </w:r>
      <w:r w:rsidRPr="00732C31">
        <w:rPr>
          <w:vertAlign w:val="subscript"/>
          <w:lang w:val="en-US"/>
        </w:rPr>
        <w:t>2</w:t>
      </w:r>
      <w:r w:rsidRPr="00732C31">
        <w:rPr>
          <w:lang w:val="en-US"/>
        </w:rPr>
        <w:t xml:space="preserve"> </w:t>
      </w:r>
      <w:r>
        <w:rPr>
          <w:lang w:val="en-US"/>
        </w:rPr>
        <w:t>and</w:t>
      </w:r>
      <w:r w:rsidRPr="00732C31">
        <w:rPr>
          <w:lang w:val="en-US"/>
        </w:rPr>
        <w:t xml:space="preserve"> convert it into a </w:t>
      </w:r>
      <w:r w:rsidRPr="00680ECD">
        <w:rPr>
          <w:noProof/>
          <w:lang w:val="en-US"/>
        </w:rPr>
        <w:t>so</w:t>
      </w:r>
      <w:r w:rsidR="00680ECD">
        <w:rPr>
          <w:noProof/>
          <w:lang w:val="en-US"/>
        </w:rPr>
        <w:t>-</w:t>
      </w:r>
      <w:r w:rsidRPr="00680ECD">
        <w:rPr>
          <w:noProof/>
          <w:lang w:val="en-US"/>
        </w:rPr>
        <w:t>called</w:t>
      </w:r>
      <w:r>
        <w:rPr>
          <w:lang w:val="en-US"/>
        </w:rPr>
        <w:t xml:space="preserve"> “fast growing biomass” (</w:t>
      </w:r>
      <w:r w:rsidRPr="00732C31">
        <w:rPr>
          <w:lang w:val="en-US"/>
        </w:rPr>
        <w:t>micro-algae</w:t>
      </w:r>
      <w:r>
        <w:rPr>
          <w:lang w:val="en-US"/>
        </w:rPr>
        <w:t xml:space="preserve">) through </w:t>
      </w:r>
      <w:r w:rsidRPr="00732C31">
        <w:rPr>
          <w:lang w:val="en-US"/>
        </w:rPr>
        <w:t>a photosynthetic process</w:t>
      </w:r>
      <w:r>
        <w:rPr>
          <w:lang w:val="en-US"/>
        </w:rPr>
        <w:t xml:space="preserve"> while also performing water treatment</w:t>
      </w:r>
      <w:r w:rsidRPr="00732C31">
        <w:rPr>
          <w:lang w:val="en-US"/>
        </w:rPr>
        <w:t xml:space="preserve">. </w:t>
      </w:r>
      <w:r>
        <w:rPr>
          <w:lang w:val="en-US"/>
        </w:rPr>
        <w:t xml:space="preserve">As a result, it is expected to generate </w:t>
      </w:r>
      <w:r w:rsidRPr="00732C31">
        <w:rPr>
          <w:lang w:val="en-US"/>
        </w:rPr>
        <w:t>a potential fuel (</w:t>
      </w:r>
      <w:r>
        <w:rPr>
          <w:lang w:val="en-US"/>
        </w:rPr>
        <w:t xml:space="preserve">biomass </w:t>
      </w:r>
      <w:r w:rsidRPr="00732C31">
        <w:rPr>
          <w:lang w:val="en-US"/>
        </w:rPr>
        <w:t>algae) and a purified water stream.</w:t>
      </w:r>
    </w:p>
    <w:p w14:paraId="17747633" w14:textId="3335B790" w:rsidR="004D2BD0" w:rsidRPr="005A3CEF" w:rsidRDefault="004D2BD0" w:rsidP="0026261D">
      <w:pPr>
        <w:rPr>
          <w:lang w:val="en-US"/>
        </w:rPr>
      </w:pPr>
      <w:r w:rsidRPr="00680ECD">
        <w:rPr>
          <w:noProof/>
          <w:lang w:val="en-US"/>
        </w:rPr>
        <w:t>Considering that there is a wide variety of algae species (between 2·10</w:t>
      </w:r>
      <w:r w:rsidRPr="00680ECD">
        <w:rPr>
          <w:noProof/>
          <w:vertAlign w:val="superscript"/>
          <w:lang w:val="en-US"/>
        </w:rPr>
        <w:t>5</w:t>
      </w:r>
      <w:r w:rsidRPr="00680ECD">
        <w:rPr>
          <w:noProof/>
          <w:lang w:val="en-US"/>
        </w:rPr>
        <w:t xml:space="preserve"> and 8·10</w:t>
      </w:r>
      <w:r w:rsidRPr="00680ECD">
        <w:rPr>
          <w:noProof/>
          <w:vertAlign w:val="superscript"/>
          <w:lang w:val="en-US"/>
        </w:rPr>
        <w:t>5</w:t>
      </w:r>
      <w:r w:rsidRPr="00680ECD">
        <w:rPr>
          <w:noProof/>
          <w:lang w:val="en-US"/>
        </w:rPr>
        <w:t xml:space="preserve"> algae types), having a wide range of sensitivity</w:t>
      </w:r>
      <w:r>
        <w:rPr>
          <w:lang w:val="en-US"/>
        </w:rPr>
        <w:t>,</w:t>
      </w:r>
      <w:r w:rsidRPr="005B2385">
        <w:rPr>
          <w:lang w:val="en-US"/>
        </w:rPr>
        <w:t xml:space="preserve"> it </w:t>
      </w:r>
      <w:r w:rsidRPr="00680ECD">
        <w:rPr>
          <w:noProof/>
          <w:lang w:val="en-US"/>
        </w:rPr>
        <w:t>is expected</w:t>
      </w:r>
      <w:r w:rsidRPr="005B2385">
        <w:rPr>
          <w:lang w:val="en-US"/>
        </w:rPr>
        <w:t xml:space="preserve"> that the growing conditions </w:t>
      </w:r>
      <w:r>
        <w:rPr>
          <w:lang w:val="en-US"/>
        </w:rPr>
        <w:t>will strongly depend on the selected family</w:t>
      </w:r>
      <w:r w:rsidRPr="005B2385">
        <w:rPr>
          <w:lang w:val="en-US"/>
        </w:rPr>
        <w:t xml:space="preserve">. </w:t>
      </w:r>
      <w:r>
        <w:rPr>
          <w:lang w:val="en-US"/>
        </w:rPr>
        <w:t>In the SOFCOM project</w:t>
      </w:r>
      <w:r w:rsidRPr="005B2385">
        <w:rPr>
          <w:lang w:val="en-US"/>
        </w:rPr>
        <w:t xml:space="preserve">, a study of a local strain from the Barcelona area from the </w:t>
      </w:r>
      <w:proofErr w:type="spellStart"/>
      <w:r w:rsidRPr="005B2385">
        <w:rPr>
          <w:lang w:val="en-US"/>
        </w:rPr>
        <w:t>Nostoc</w:t>
      </w:r>
      <w:proofErr w:type="spellEnd"/>
      <w:r w:rsidRPr="005B2385">
        <w:rPr>
          <w:lang w:val="en-US"/>
        </w:rPr>
        <w:t xml:space="preserve"> family </w:t>
      </w:r>
      <w:r>
        <w:rPr>
          <w:lang w:val="en-US"/>
        </w:rPr>
        <w:t xml:space="preserve">was </w:t>
      </w:r>
      <w:r w:rsidRPr="005B2385">
        <w:rPr>
          <w:lang w:val="en-US"/>
        </w:rPr>
        <w:t xml:space="preserve">carried out </w:t>
      </w:r>
      <w:r w:rsidRPr="00680ECD">
        <w:rPr>
          <w:noProof/>
          <w:lang w:val="en-US"/>
        </w:rPr>
        <w:t>to</w:t>
      </w:r>
      <w:r w:rsidRPr="005B2385">
        <w:rPr>
          <w:lang w:val="en-US"/>
        </w:rPr>
        <w:t xml:space="preserve"> check its efficiency for wastewater tre</w:t>
      </w:r>
      <w:r>
        <w:rPr>
          <w:lang w:val="en-US"/>
        </w:rPr>
        <w:t>atment, with</w:t>
      </w:r>
      <w:r w:rsidR="00680ECD">
        <w:rPr>
          <w:lang w:val="en-US"/>
        </w:rPr>
        <w:t xml:space="preserve"> a</w:t>
      </w:r>
      <w:r>
        <w:rPr>
          <w:lang w:val="en-US"/>
        </w:rPr>
        <w:t xml:space="preserve"> </w:t>
      </w:r>
      <w:r w:rsidRPr="00680ECD">
        <w:rPr>
          <w:noProof/>
          <w:lang w:val="en-US"/>
        </w:rPr>
        <w:t>particular</w:t>
      </w:r>
      <w:r>
        <w:rPr>
          <w:lang w:val="en-US"/>
        </w:rPr>
        <w:t xml:space="preserve"> focus on the</w:t>
      </w:r>
      <w:r w:rsidRPr="005B2385">
        <w:rPr>
          <w:lang w:val="en-US"/>
        </w:rPr>
        <w:t xml:space="preserve"> nitrates and phosphates removal</w:t>
      </w:r>
      <w:r>
        <w:rPr>
          <w:lang w:val="en-US"/>
        </w:rPr>
        <w:t>, as well as on the carbon bio</w:t>
      </w:r>
      <w:r w:rsidR="00766A59">
        <w:rPr>
          <w:lang w:val="en-US"/>
        </w:rPr>
        <w:t>-</w:t>
      </w:r>
      <w:r>
        <w:rPr>
          <w:lang w:val="en-US"/>
        </w:rPr>
        <w:t>fixation</w:t>
      </w:r>
      <w:r w:rsidR="00CB5721">
        <w:rPr>
          <w:lang w:val="en-US"/>
        </w:rPr>
        <w:t xml:space="preserve">. </w:t>
      </w:r>
      <w:r w:rsidRPr="005B2385">
        <w:rPr>
          <w:lang w:val="en-US"/>
        </w:rPr>
        <w:t xml:space="preserve">For this purpose, a </w:t>
      </w:r>
      <w:r>
        <w:rPr>
          <w:lang w:val="en-US"/>
        </w:rPr>
        <w:t xml:space="preserve">systematic experimental study </w:t>
      </w:r>
      <w:r w:rsidRPr="00680ECD">
        <w:rPr>
          <w:noProof/>
          <w:lang w:val="en-US"/>
        </w:rPr>
        <w:t>was done</w:t>
      </w:r>
      <w:r>
        <w:rPr>
          <w:lang w:val="en-US"/>
        </w:rPr>
        <w:t xml:space="preserve"> </w:t>
      </w:r>
      <w:r w:rsidRPr="00680ECD">
        <w:rPr>
          <w:noProof/>
          <w:lang w:val="en-US"/>
        </w:rPr>
        <w:t>at</w:t>
      </w:r>
      <w:r w:rsidRPr="005B2385">
        <w:rPr>
          <w:lang w:val="en-US"/>
        </w:rPr>
        <w:t xml:space="preserve"> a laboratory scale </w:t>
      </w:r>
      <w:r w:rsidRPr="00680ECD">
        <w:rPr>
          <w:noProof/>
          <w:lang w:val="en-US"/>
        </w:rPr>
        <w:t>to</w:t>
      </w:r>
      <w:r w:rsidRPr="005B2385">
        <w:rPr>
          <w:lang w:val="en-US"/>
        </w:rPr>
        <w:t xml:space="preserve"> determine the </w:t>
      </w:r>
      <w:r w:rsidRPr="00680ECD">
        <w:rPr>
          <w:noProof/>
          <w:lang w:val="en-US"/>
        </w:rPr>
        <w:t>best</w:t>
      </w:r>
      <w:r w:rsidR="00680ECD">
        <w:rPr>
          <w:noProof/>
          <w:lang w:val="en-US"/>
        </w:rPr>
        <w:t>-</w:t>
      </w:r>
      <w:r w:rsidRPr="00680ECD">
        <w:rPr>
          <w:noProof/>
          <w:lang w:val="en-US"/>
        </w:rPr>
        <w:t>growing</w:t>
      </w:r>
      <w:r w:rsidRPr="005B2385">
        <w:rPr>
          <w:lang w:val="en-US"/>
        </w:rPr>
        <w:t xml:space="preserve"> conditions</w:t>
      </w:r>
      <w:r>
        <w:rPr>
          <w:lang w:val="en-US"/>
        </w:rPr>
        <w:t xml:space="preserve"> and affecting parameters</w:t>
      </w:r>
      <w:r w:rsidRPr="005B2385">
        <w:rPr>
          <w:lang w:val="en-US"/>
        </w:rPr>
        <w:t xml:space="preserve">. </w:t>
      </w:r>
      <w:r>
        <w:rPr>
          <w:lang w:val="en-US"/>
        </w:rPr>
        <w:t>In parallel,</w:t>
      </w:r>
      <w:r w:rsidRPr="005B2385">
        <w:rPr>
          <w:lang w:val="en-US"/>
        </w:rPr>
        <w:t xml:space="preserve"> </w:t>
      </w:r>
      <w:r>
        <w:rPr>
          <w:lang w:val="en-US"/>
        </w:rPr>
        <w:t>C</w:t>
      </w:r>
      <w:r w:rsidRPr="005B2385">
        <w:rPr>
          <w:lang w:val="en-US"/>
        </w:rPr>
        <w:t xml:space="preserve">omputational </w:t>
      </w:r>
      <w:r>
        <w:rPr>
          <w:lang w:val="en-US"/>
        </w:rPr>
        <w:t>F</w:t>
      </w:r>
      <w:r w:rsidRPr="005B2385">
        <w:rPr>
          <w:lang w:val="en-US"/>
        </w:rPr>
        <w:t xml:space="preserve">luid </w:t>
      </w:r>
      <w:r>
        <w:rPr>
          <w:lang w:val="en-US"/>
        </w:rPr>
        <w:t>D</w:t>
      </w:r>
      <w:r w:rsidRPr="005B2385">
        <w:rPr>
          <w:lang w:val="en-US"/>
        </w:rPr>
        <w:t xml:space="preserve">ynamic simulations </w:t>
      </w:r>
      <w:r>
        <w:rPr>
          <w:lang w:val="en-US"/>
        </w:rPr>
        <w:t>(CFD) were also</w:t>
      </w:r>
      <w:r w:rsidRPr="005B2385">
        <w:rPr>
          <w:lang w:val="en-US"/>
        </w:rPr>
        <w:t xml:space="preserve"> </w:t>
      </w:r>
      <w:r>
        <w:rPr>
          <w:lang w:val="en-US"/>
        </w:rPr>
        <w:t>performed</w:t>
      </w:r>
      <w:r w:rsidRPr="005B2385">
        <w:rPr>
          <w:lang w:val="en-US"/>
        </w:rPr>
        <w:t xml:space="preserve"> to optimize the microalgae growth</w:t>
      </w:r>
      <w:r>
        <w:rPr>
          <w:lang w:val="en-US"/>
        </w:rPr>
        <w:t xml:space="preserve"> conditions and the carbon bio</w:t>
      </w:r>
      <w:r w:rsidR="00766A59">
        <w:rPr>
          <w:lang w:val="en-US"/>
        </w:rPr>
        <w:t>-</w:t>
      </w:r>
      <w:r>
        <w:rPr>
          <w:lang w:val="en-US"/>
        </w:rPr>
        <w:t>fixation rates</w:t>
      </w:r>
      <w:r w:rsidRPr="005A3CEF">
        <w:rPr>
          <w:lang w:val="en-US"/>
        </w:rPr>
        <w:t>.</w:t>
      </w:r>
      <w:r w:rsidR="006923B5" w:rsidRPr="005A3CEF">
        <w:rPr>
          <w:lang w:val="en-US"/>
        </w:rPr>
        <w:t xml:space="preserve"> The CFD model </w:t>
      </w:r>
      <w:r w:rsidR="006923B5" w:rsidRPr="005A3CEF">
        <w:rPr>
          <w:noProof/>
          <w:lang w:val="en-US"/>
        </w:rPr>
        <w:t>is presented</w:t>
      </w:r>
      <w:r w:rsidR="006923B5" w:rsidRPr="005A3CEF">
        <w:rPr>
          <w:lang w:val="en-US"/>
        </w:rPr>
        <w:t xml:space="preserve"> in section 3 of the Appendix.</w:t>
      </w:r>
    </w:p>
    <w:p w14:paraId="6AC92F4F" w14:textId="77777777" w:rsidR="00BC09A2" w:rsidRPr="006922B2" w:rsidRDefault="00BC09A2" w:rsidP="00BC09A2">
      <w:pPr>
        <w:pStyle w:val="Titolo3"/>
        <w:numPr>
          <w:ilvl w:val="1"/>
          <w:numId w:val="2"/>
        </w:numPr>
        <w:rPr>
          <w:color w:val="4F81BD" w:themeColor="accent1"/>
          <w:lang w:val="en-US"/>
        </w:rPr>
      </w:pPr>
      <w:r w:rsidRPr="006922B2">
        <w:rPr>
          <w:color w:val="4F81BD" w:themeColor="accent1"/>
          <w:lang w:val="en-US"/>
        </w:rPr>
        <w:t>Lab characterization</w:t>
      </w:r>
    </w:p>
    <w:p w14:paraId="7F40B53E" w14:textId="6E2F8862" w:rsidR="004D2BD0" w:rsidRPr="0021275C" w:rsidRDefault="004D2BD0" w:rsidP="004D2BD0">
      <w:pPr>
        <w:spacing w:after="0"/>
        <w:rPr>
          <w:lang w:val="en-US"/>
        </w:rPr>
      </w:pPr>
      <w:r>
        <w:rPr>
          <w:lang w:val="en-US"/>
        </w:rPr>
        <w:t>The conversion of CO</w:t>
      </w:r>
      <w:r w:rsidRPr="00C95241">
        <w:rPr>
          <w:vertAlign w:val="subscript"/>
          <w:lang w:val="en-US"/>
        </w:rPr>
        <w:t>2</w:t>
      </w:r>
      <w:r>
        <w:rPr>
          <w:lang w:val="en-US"/>
        </w:rPr>
        <w:t xml:space="preserve"> into organic carbon for its bio</w:t>
      </w:r>
      <w:r w:rsidR="00766A59">
        <w:rPr>
          <w:lang w:val="en-US"/>
        </w:rPr>
        <w:t>-</w:t>
      </w:r>
      <w:r>
        <w:rPr>
          <w:lang w:val="en-US"/>
        </w:rPr>
        <w:t xml:space="preserve">fixation requires organisms able to perform photosynthesis. Several classes of organisms achieve such </w:t>
      </w:r>
      <w:r w:rsidRPr="00680ECD">
        <w:rPr>
          <w:noProof/>
          <w:lang w:val="en-US"/>
        </w:rPr>
        <w:t>conversion</w:t>
      </w:r>
      <w:r w:rsidR="00680ECD">
        <w:rPr>
          <w:noProof/>
          <w:lang w:val="en-US"/>
        </w:rPr>
        <w:t>s</w:t>
      </w:r>
      <w:r>
        <w:rPr>
          <w:lang w:val="en-US"/>
        </w:rPr>
        <w:t xml:space="preserve"> like plants, </w:t>
      </w:r>
      <w:r w:rsidRPr="00680ECD">
        <w:rPr>
          <w:noProof/>
          <w:lang w:val="en-US"/>
        </w:rPr>
        <w:t>algae</w:t>
      </w:r>
      <w:r w:rsidR="00680ECD">
        <w:rPr>
          <w:noProof/>
          <w:lang w:val="en-US"/>
        </w:rPr>
        <w:t>,</w:t>
      </w:r>
      <w:r>
        <w:rPr>
          <w:lang w:val="en-US"/>
        </w:rPr>
        <w:t xml:space="preserve"> and microalgae. Among them, microalgae are gaining a huge interest for the production of biofuels and sequestration of CO</w:t>
      </w:r>
      <w:r w:rsidRPr="00103204">
        <w:rPr>
          <w:vertAlign w:val="subscript"/>
          <w:lang w:val="en-US"/>
        </w:rPr>
        <w:t>2</w:t>
      </w:r>
      <w:r>
        <w:rPr>
          <w:lang w:val="en-US"/>
        </w:rPr>
        <w:t xml:space="preserve"> </w:t>
      </w:r>
      <w:r>
        <w:rPr>
          <w:lang w:val="en-US"/>
        </w:rPr>
        <w:lastRenderedPageBreak/>
        <w:t xml:space="preserve">for </w:t>
      </w:r>
      <w:r w:rsidR="00F81CDA">
        <w:rPr>
          <w:lang w:val="en-US"/>
        </w:rPr>
        <w:t xml:space="preserve">their </w:t>
      </w:r>
      <w:r>
        <w:rPr>
          <w:lang w:val="en-US"/>
        </w:rPr>
        <w:t xml:space="preserve">high growing capacity. Microalgae are </w:t>
      </w:r>
      <w:r w:rsidRPr="00680ECD">
        <w:rPr>
          <w:noProof/>
        </w:rPr>
        <w:t>extensive</w:t>
      </w:r>
      <w:r w:rsidR="00680ECD">
        <w:rPr>
          <w:noProof/>
        </w:rPr>
        <w:t>,</w:t>
      </w:r>
      <w:r>
        <w:t xml:space="preserve"> and a wide nature provides a variety of groups</w:t>
      </w:r>
      <w:r w:rsidR="002A2BA4">
        <w:t>.</w:t>
      </w:r>
      <w:r>
        <w:t xml:space="preserve"> </w:t>
      </w:r>
      <w:r w:rsidRPr="00660CA5">
        <w:t xml:space="preserve">It </w:t>
      </w:r>
      <w:r w:rsidRPr="00680ECD">
        <w:rPr>
          <w:noProof/>
        </w:rPr>
        <w:t>is estimated</w:t>
      </w:r>
      <w:r w:rsidRPr="00660CA5">
        <w:t xml:space="preserve"> that there are between 200 to 800 thousand different species of microalgae. Two main groups can be differentiated based on morphology: cyanobacteria, also called blue-green algae, and eukaryote microalgae, which includes </w:t>
      </w:r>
      <w:r>
        <w:t>green, red and gold-brown algae.</w:t>
      </w:r>
    </w:p>
    <w:p w14:paraId="7075FD56" w14:textId="37A613E2" w:rsidR="004D2BD0" w:rsidRDefault="004D2BD0" w:rsidP="004D2BD0">
      <w:pPr>
        <w:spacing w:after="0"/>
      </w:pPr>
      <w:r>
        <w:t xml:space="preserve">The development of any technology based on microalgae requires </w:t>
      </w:r>
      <w:r w:rsidR="002A2BA4">
        <w:t>defining</w:t>
      </w:r>
      <w:r>
        <w:t xml:space="preserve"> which type of algae </w:t>
      </w:r>
      <w:r w:rsidR="002A2BA4">
        <w:t>to use</w:t>
      </w:r>
      <w:r>
        <w:t xml:space="preserve"> and the best strategy to preserve them against external factors. Several criteria can be used to select the optimal microalgae: growing productivity, CO</w:t>
      </w:r>
      <w:r w:rsidRPr="00DA0CB7">
        <w:rPr>
          <w:vertAlign w:val="subscript"/>
        </w:rPr>
        <w:t>2</w:t>
      </w:r>
      <w:r>
        <w:t xml:space="preserve"> absorption capacity, </w:t>
      </w:r>
      <w:r w:rsidR="002A2BA4">
        <w:t>and oil</w:t>
      </w:r>
      <w:r>
        <w:t xml:space="preserve"> or sugar yield production, production of specific products for pharma and cosmetics, removal of pollutants like metals or organic compounds, among others. The selection of a specific </w:t>
      </w:r>
      <w:r w:rsidRPr="00680ECD">
        <w:rPr>
          <w:noProof/>
        </w:rPr>
        <w:t>specie</w:t>
      </w:r>
      <w:r w:rsidR="00680ECD">
        <w:rPr>
          <w:noProof/>
        </w:rPr>
        <w:t>s</w:t>
      </w:r>
      <w:r>
        <w:t xml:space="preserve"> of algae requires </w:t>
      </w:r>
      <w:r w:rsidR="002A2BA4">
        <w:t>protecting the strain against competitors or depredators and avoiding</w:t>
      </w:r>
      <w:r>
        <w:t xml:space="preserve"> any impact on the surrounding ecosystem; failure of these safeguards could result in the catastrophic loss of the crop or the downstream biological invasion if selected microalgae </w:t>
      </w:r>
      <w:r w:rsidRPr="00680ECD">
        <w:rPr>
          <w:noProof/>
        </w:rPr>
        <w:t>run</w:t>
      </w:r>
      <w:r>
        <w:t xml:space="preserve"> away from the </w:t>
      </w:r>
      <w:proofErr w:type="spellStart"/>
      <w:r>
        <w:t>photobioreactor</w:t>
      </w:r>
      <w:proofErr w:type="spellEnd"/>
      <w:r>
        <w:t>.</w:t>
      </w:r>
    </w:p>
    <w:p w14:paraId="7984C925" w14:textId="61FF14E8" w:rsidR="004D2BD0" w:rsidRDefault="004D2BD0" w:rsidP="004D2BD0">
      <w:pPr>
        <w:spacing w:after="0"/>
        <w:rPr>
          <w:rFonts w:cstheme="minorHAnsi"/>
        </w:rPr>
      </w:pPr>
      <w:r>
        <w:rPr>
          <w:rFonts w:cstheme="minorHAnsi"/>
        </w:rPr>
        <w:t xml:space="preserve">Main current limitations of the production of biofuels from algae are related to the high cost of growing algae and converting them into biofuels. </w:t>
      </w:r>
      <w:r w:rsidR="00F81CDA">
        <w:rPr>
          <w:rFonts w:cstheme="minorHAnsi"/>
        </w:rPr>
        <w:t xml:space="preserve">Of </w:t>
      </w:r>
      <w:r>
        <w:rPr>
          <w:rFonts w:cstheme="minorHAnsi"/>
        </w:rPr>
        <w:t xml:space="preserve">the different solutions proposed to reduce such cost, wastewater treatment plants (WWTP) are </w:t>
      </w:r>
      <w:r w:rsidR="00680ECD">
        <w:rPr>
          <w:rFonts w:cstheme="minorHAnsi"/>
        </w:rPr>
        <w:t xml:space="preserve">among </w:t>
      </w:r>
      <w:r>
        <w:rPr>
          <w:rFonts w:cstheme="minorHAnsi"/>
        </w:rPr>
        <w:t>the most promising ones. Wastewater from secondary treatment is clean enough to transmit light and still contains</w:t>
      </w:r>
      <w:r w:rsidR="00680ECD">
        <w:rPr>
          <w:rFonts w:cstheme="minorHAnsi"/>
        </w:rPr>
        <w:t xml:space="preserve"> a</w:t>
      </w:r>
      <w:r>
        <w:rPr>
          <w:rFonts w:cstheme="minorHAnsi"/>
        </w:rPr>
        <w:t xml:space="preserve"> </w:t>
      </w:r>
      <w:r w:rsidRPr="00680ECD">
        <w:rPr>
          <w:rFonts w:cstheme="minorHAnsi"/>
          <w:noProof/>
        </w:rPr>
        <w:t>significant</w:t>
      </w:r>
      <w:r>
        <w:rPr>
          <w:rFonts w:cstheme="minorHAnsi"/>
        </w:rPr>
        <w:t xml:space="preserve"> concentration of nutrients (nitrogen and phosphorous), avoiding the need to fertilize the growing media. </w:t>
      </w:r>
      <w:r w:rsidR="00680ECD">
        <w:rPr>
          <w:rFonts w:cstheme="minorHAnsi"/>
          <w:noProof/>
        </w:rPr>
        <w:t>Also</w:t>
      </w:r>
      <w:r>
        <w:rPr>
          <w:rFonts w:cstheme="minorHAnsi"/>
        </w:rPr>
        <w:t>, sludge digesters are already available in most of WWTP, allowing the conversion of microalgae into biogas. However, WWTP</w:t>
      </w:r>
      <w:r w:rsidR="00680ECD">
        <w:rPr>
          <w:rFonts w:cstheme="minorHAnsi"/>
        </w:rPr>
        <w:t>s</w:t>
      </w:r>
      <w:r>
        <w:rPr>
          <w:rFonts w:cstheme="minorHAnsi"/>
        </w:rPr>
        <w:t xml:space="preserve"> </w:t>
      </w:r>
      <w:r w:rsidRPr="00680ECD">
        <w:rPr>
          <w:rFonts w:cstheme="minorHAnsi"/>
          <w:noProof/>
        </w:rPr>
        <w:t>are</w:t>
      </w:r>
      <w:r>
        <w:rPr>
          <w:rFonts w:cstheme="minorHAnsi"/>
        </w:rPr>
        <w:t xml:space="preserve"> open systems with continuous inlet and outlet of water, which cannot </w:t>
      </w:r>
      <w:r w:rsidRPr="00680ECD">
        <w:rPr>
          <w:rFonts w:cstheme="minorHAnsi"/>
          <w:noProof/>
        </w:rPr>
        <w:t>be sterilized</w:t>
      </w:r>
      <w:r>
        <w:rPr>
          <w:rFonts w:cstheme="minorHAnsi"/>
        </w:rPr>
        <w:t xml:space="preserve">; hence, the selected algae must be </w:t>
      </w:r>
      <w:r w:rsidRPr="00680ECD">
        <w:rPr>
          <w:rFonts w:cstheme="minorHAnsi"/>
          <w:noProof/>
        </w:rPr>
        <w:t>strong</w:t>
      </w:r>
      <w:r>
        <w:rPr>
          <w:rFonts w:cstheme="minorHAnsi"/>
        </w:rPr>
        <w:t xml:space="preserve"> enough to compete against the microorganism contained in the </w:t>
      </w:r>
      <w:r w:rsidR="002A2BA4">
        <w:rPr>
          <w:rFonts w:cstheme="minorHAnsi"/>
        </w:rPr>
        <w:t>wastewater</w:t>
      </w:r>
      <w:r>
        <w:rPr>
          <w:rFonts w:cstheme="minorHAnsi"/>
        </w:rPr>
        <w:t xml:space="preserve"> but not strong enough to invade the downstream ecosystems. The easiest and cheapest solution is to grow the same microalgae contained and growing in the same geographic area, in the Mediterranean rivers and water in the SOFCOM, </w:t>
      </w:r>
      <w:r w:rsidR="00CF3CCB">
        <w:rPr>
          <w:rFonts w:cstheme="minorHAnsi"/>
        </w:rPr>
        <w:t>scarifying</w:t>
      </w:r>
      <w:r>
        <w:rPr>
          <w:rFonts w:cstheme="minorHAnsi"/>
        </w:rPr>
        <w:t xml:space="preserve"> the CO</w:t>
      </w:r>
      <w:r w:rsidRPr="00CC3AD6">
        <w:rPr>
          <w:rFonts w:cstheme="minorHAnsi"/>
          <w:vertAlign w:val="subscript"/>
        </w:rPr>
        <w:t>2</w:t>
      </w:r>
      <w:r>
        <w:rPr>
          <w:rFonts w:cstheme="minorHAnsi"/>
        </w:rPr>
        <w:t xml:space="preserve"> fixation capacity if required. </w:t>
      </w:r>
    </w:p>
    <w:p w14:paraId="762588D9" w14:textId="57195900" w:rsidR="004D2BD0" w:rsidRPr="00147B9F" w:rsidRDefault="004D2BD0" w:rsidP="00C24EC9">
      <w:r w:rsidRPr="00CF06F0">
        <w:t xml:space="preserve">The microalgae used in </w:t>
      </w:r>
      <w:r>
        <w:t>this</w:t>
      </w:r>
      <w:r w:rsidRPr="00CF06F0">
        <w:t xml:space="preserve"> project </w:t>
      </w:r>
      <w:r w:rsidRPr="00680ECD">
        <w:rPr>
          <w:noProof/>
        </w:rPr>
        <w:t>were collected</w:t>
      </w:r>
      <w:r w:rsidRPr="00CF06F0">
        <w:t xml:space="preserve"> from a demonstration pond dedicated to the unmanned tertiary treatment of wastewater located in the Barcelona area (Can </w:t>
      </w:r>
      <w:proofErr w:type="spellStart"/>
      <w:r w:rsidRPr="00CF06F0">
        <w:t>Cabanyes</w:t>
      </w:r>
      <w:proofErr w:type="spellEnd"/>
      <w:r w:rsidRPr="00CF06F0">
        <w:t xml:space="preserve"> in </w:t>
      </w:r>
      <w:proofErr w:type="spellStart"/>
      <w:r w:rsidRPr="00CF06F0">
        <w:t>Granollers</w:t>
      </w:r>
      <w:proofErr w:type="spellEnd"/>
      <w:r w:rsidRPr="00CF06F0">
        <w:t xml:space="preserve">) and from </w:t>
      </w:r>
      <w:r>
        <w:t xml:space="preserve">the Po river in </w:t>
      </w:r>
      <w:r w:rsidRPr="00CF06F0">
        <w:t>Torino</w:t>
      </w:r>
      <w:r>
        <w:t xml:space="preserve"> (Italy</w:t>
      </w:r>
      <w:r w:rsidRPr="00CF06F0">
        <w:t>).</w:t>
      </w:r>
      <w:r>
        <w:t xml:space="preserve"> The </w:t>
      </w:r>
      <w:r w:rsidRPr="00680ECD">
        <w:rPr>
          <w:noProof/>
        </w:rPr>
        <w:t>initial</w:t>
      </w:r>
      <w:r>
        <w:t xml:space="preserve"> algae contained in these waters were diverse in specimens and having</w:t>
      </w:r>
      <w:r w:rsidR="00680ECD">
        <w:t xml:space="preserve"> a</w:t>
      </w:r>
      <w:r>
        <w:t xml:space="preserve"> </w:t>
      </w:r>
      <w:r w:rsidRPr="00680ECD">
        <w:rPr>
          <w:noProof/>
        </w:rPr>
        <w:t>similar</w:t>
      </w:r>
      <w:r>
        <w:t xml:space="preserve"> quantitative composition (being </w:t>
      </w:r>
      <w:r w:rsidRPr="00A5321F">
        <w:t xml:space="preserve">Chlorella </w:t>
      </w:r>
      <w:proofErr w:type="spellStart"/>
      <w:r w:rsidRPr="00A5321F">
        <w:t>sp</w:t>
      </w:r>
      <w:proofErr w:type="spellEnd"/>
      <w:r>
        <w:t xml:space="preserve">, </w:t>
      </w:r>
      <w:proofErr w:type="spellStart"/>
      <w:r w:rsidRPr="00A5321F">
        <w:t>Micractinium</w:t>
      </w:r>
      <w:proofErr w:type="spellEnd"/>
      <w:r w:rsidRPr="00A5321F">
        <w:t xml:space="preserve"> </w:t>
      </w:r>
      <w:r w:rsidRPr="00680ECD">
        <w:rPr>
          <w:noProof/>
        </w:rPr>
        <w:t>pusillum</w:t>
      </w:r>
      <w:r>
        <w:t xml:space="preserve">, </w:t>
      </w:r>
      <w:proofErr w:type="spellStart"/>
      <w:r w:rsidRPr="00A5321F">
        <w:t>Nostoc</w:t>
      </w:r>
      <w:proofErr w:type="spellEnd"/>
      <w:r w:rsidRPr="00A5321F">
        <w:t xml:space="preserve"> </w:t>
      </w:r>
      <w:proofErr w:type="spellStart"/>
      <w:r w:rsidRPr="00A5321F">
        <w:t>cf</w:t>
      </w:r>
      <w:proofErr w:type="spellEnd"/>
      <w:r w:rsidRPr="00A5321F">
        <w:t xml:space="preserve"> </w:t>
      </w:r>
      <w:r w:rsidRPr="00680ECD">
        <w:rPr>
          <w:noProof/>
        </w:rPr>
        <w:t>caeruleum</w:t>
      </w:r>
      <w:r>
        <w:t xml:space="preserve"> and </w:t>
      </w:r>
      <w:proofErr w:type="spellStart"/>
      <w:r w:rsidRPr="00A5321F">
        <w:t>Leptolynbya</w:t>
      </w:r>
      <w:proofErr w:type="spellEnd"/>
      <w:r w:rsidRPr="00A5321F">
        <w:t xml:space="preserve"> </w:t>
      </w:r>
      <w:r w:rsidRPr="00680ECD">
        <w:rPr>
          <w:noProof/>
        </w:rPr>
        <w:t>sp</w:t>
      </w:r>
      <w:r>
        <w:t xml:space="preserve"> the more abundant specimen). After six </w:t>
      </w:r>
      <w:r w:rsidRPr="00680ECD">
        <w:rPr>
          <w:noProof/>
        </w:rPr>
        <w:t>month</w:t>
      </w:r>
      <w:r w:rsidR="00680ECD">
        <w:rPr>
          <w:noProof/>
        </w:rPr>
        <w:t>s</w:t>
      </w:r>
      <w:r>
        <w:t xml:space="preserve"> </w:t>
      </w:r>
      <w:r w:rsidRPr="00DB55CF">
        <w:t xml:space="preserve">of continuous growing in the lab, such diversity disappeared and only </w:t>
      </w:r>
      <w:proofErr w:type="spellStart"/>
      <w:r w:rsidRPr="00DB55CF">
        <w:rPr>
          <w:i/>
        </w:rPr>
        <w:t>Nostoc</w:t>
      </w:r>
      <w:proofErr w:type="spellEnd"/>
      <w:r>
        <w:rPr>
          <w:i/>
        </w:rPr>
        <w:t xml:space="preserve"> genus</w:t>
      </w:r>
      <w:r w:rsidRPr="00DB55CF">
        <w:t xml:space="preserve">, probably </w:t>
      </w:r>
      <w:proofErr w:type="spellStart"/>
      <w:r w:rsidRPr="00DB55CF">
        <w:rPr>
          <w:i/>
        </w:rPr>
        <w:t>Nostoc</w:t>
      </w:r>
      <w:proofErr w:type="spellEnd"/>
      <w:r w:rsidRPr="00DB55CF">
        <w:rPr>
          <w:i/>
        </w:rPr>
        <w:t xml:space="preserve"> </w:t>
      </w:r>
      <w:proofErr w:type="spellStart"/>
      <w:r w:rsidRPr="00DB55CF">
        <w:rPr>
          <w:i/>
        </w:rPr>
        <w:t>Caeruleum</w:t>
      </w:r>
      <w:proofErr w:type="spellEnd"/>
      <w:r w:rsidRPr="00DB55CF">
        <w:rPr>
          <w:i/>
        </w:rPr>
        <w:t xml:space="preserve">, </w:t>
      </w:r>
      <w:r w:rsidRPr="00DB55CF">
        <w:t xml:space="preserve">were populating the laboratory crops. </w:t>
      </w:r>
      <w:proofErr w:type="spellStart"/>
      <w:r w:rsidRPr="00DB55CF">
        <w:rPr>
          <w:i/>
        </w:rPr>
        <w:t>Nostoc</w:t>
      </w:r>
      <w:proofErr w:type="spellEnd"/>
      <w:r w:rsidRPr="00DB55CF">
        <w:t xml:space="preserve"> is </w:t>
      </w:r>
      <w:r w:rsidR="002A2BA4" w:rsidRPr="00DB55CF">
        <w:t>a cyanobacterium</w:t>
      </w:r>
      <w:r w:rsidRPr="00DB55CF">
        <w:t xml:space="preserve"> characterized by </w:t>
      </w:r>
      <w:r>
        <w:t xml:space="preserve">being unicellular algae (round shape sizing 2-4 µm) and tending to aggregate into </w:t>
      </w:r>
      <w:r w:rsidRPr="00DB55CF">
        <w:t>filamentous forms, either simple or</w:t>
      </w:r>
      <w:r>
        <w:t xml:space="preserve"> branched.</w:t>
      </w:r>
      <w:r w:rsidRPr="00DB55CF">
        <w:t xml:space="preserve"> Th</w:t>
      </w:r>
      <w:r>
        <w:t>e toxicological analysis of these</w:t>
      </w:r>
      <w:r w:rsidRPr="00DB55CF">
        <w:t xml:space="preserve"> microalgae showed that there is no</w:t>
      </w:r>
      <w:r>
        <w:t xml:space="preserve"> more</w:t>
      </w:r>
      <w:r w:rsidRPr="00DB55CF">
        <w:t xml:space="preserve"> risk </w:t>
      </w:r>
      <w:r w:rsidR="00680ECD">
        <w:rPr>
          <w:noProof/>
        </w:rPr>
        <w:t>to</w:t>
      </w:r>
      <w:r w:rsidRPr="00DB55CF">
        <w:t xml:space="preserve"> the health or environment</w:t>
      </w:r>
      <w:r>
        <w:t xml:space="preserve"> than found </w:t>
      </w:r>
      <w:r w:rsidRPr="00680ECD">
        <w:rPr>
          <w:noProof/>
        </w:rPr>
        <w:t>in nature.</w:t>
      </w:r>
      <w:r w:rsidRPr="00660CA5">
        <w:t xml:space="preserve"> </w:t>
      </w:r>
    </w:p>
    <w:p w14:paraId="18FFE924" w14:textId="10389C44" w:rsidR="004D2BD0" w:rsidRPr="00147B9F" w:rsidRDefault="004D2BD0" w:rsidP="00C24EC9">
      <w:r w:rsidRPr="00147B9F">
        <w:t xml:space="preserve">The microalgae’s </w:t>
      </w:r>
      <w:r w:rsidRPr="00660CA5">
        <w:t>lab</w:t>
      </w:r>
      <w:r>
        <w:t xml:space="preserve"> scale growth was performed in two different</w:t>
      </w:r>
      <w:r w:rsidRPr="00660CA5">
        <w:t xml:space="preserve"> system</w:t>
      </w:r>
      <w:r>
        <w:t>s: 1L</w:t>
      </w:r>
      <w:r w:rsidRPr="00660CA5">
        <w:t xml:space="preserve"> Erlenmeyer’s flasks</w:t>
      </w:r>
      <w:r>
        <w:t xml:space="preserve"> and 15 L tubular reactor. </w:t>
      </w:r>
      <w:r w:rsidRPr="00660CA5">
        <w:t xml:space="preserve">Crops were prepared using synthetic wastewater and inoculated by adding 1-10% of concentrated microalgae solution (average 0.8-0.9 dry g/L), obtained from previous </w:t>
      </w:r>
      <w:r w:rsidRPr="00680ECD">
        <w:rPr>
          <w:noProof/>
        </w:rPr>
        <w:t>crops</w:t>
      </w:r>
      <w:r w:rsidRPr="00660CA5">
        <w:t>. Synthetic wastewater</w:t>
      </w:r>
      <w:r>
        <w:t xml:space="preserve"> was defined to contain </w:t>
      </w:r>
      <w:r w:rsidRPr="00660CA5">
        <w:t>20 ppm of N-NO</w:t>
      </w:r>
      <w:r w:rsidRPr="00660CA5">
        <w:rPr>
          <w:vertAlign w:val="subscript"/>
        </w:rPr>
        <w:t>3</w:t>
      </w:r>
      <w:r w:rsidRPr="00660CA5">
        <w:rPr>
          <w:vertAlign w:val="superscript"/>
        </w:rPr>
        <w:t>-</w:t>
      </w:r>
      <w:r w:rsidRPr="00660CA5">
        <w:t>, 2 ppm of P-PO</w:t>
      </w:r>
      <w:r w:rsidRPr="00660CA5">
        <w:rPr>
          <w:vertAlign w:val="subscript"/>
        </w:rPr>
        <w:t>4</w:t>
      </w:r>
      <w:r w:rsidRPr="00660CA5">
        <w:rPr>
          <w:vertAlign w:val="superscript"/>
        </w:rPr>
        <w:t>-2</w:t>
      </w:r>
      <w:r w:rsidRPr="00660CA5">
        <w:t xml:space="preserve"> and 500 ppm of HCO</w:t>
      </w:r>
      <w:r w:rsidRPr="00660CA5">
        <w:rPr>
          <w:vertAlign w:val="subscript"/>
        </w:rPr>
        <w:t>3</w:t>
      </w:r>
      <w:r w:rsidRPr="00660CA5">
        <w:rPr>
          <w:vertAlign w:val="superscript"/>
        </w:rPr>
        <w:t>-</w:t>
      </w:r>
      <w:r>
        <w:t xml:space="preserve"> to simulate the</w:t>
      </w:r>
      <w:r w:rsidRPr="00660CA5">
        <w:t xml:space="preserve"> </w:t>
      </w:r>
      <w:r>
        <w:t xml:space="preserve">exit of a secondary treatment, and was </w:t>
      </w:r>
      <w:r w:rsidRPr="00660CA5">
        <w:t xml:space="preserve">prepared </w:t>
      </w:r>
      <w:r>
        <w:t xml:space="preserve">by dissolving nitrates and phosphates into </w:t>
      </w:r>
      <w:r w:rsidRPr="00660CA5">
        <w:t>tap water</w:t>
      </w:r>
      <w:r w:rsidR="002A2BA4">
        <w:t xml:space="preserve"> or </w:t>
      </w:r>
      <w:r w:rsidR="002A2BA4">
        <w:lastRenderedPageBreak/>
        <w:t>treated waste</w:t>
      </w:r>
      <w:r>
        <w:t>water from Sabadell WWTP</w:t>
      </w:r>
      <w:r w:rsidRPr="00660CA5">
        <w:t xml:space="preserve">. Micronutrients were not </w:t>
      </w:r>
      <w:r>
        <w:t xml:space="preserve">controlled and assumed to </w:t>
      </w:r>
      <w:r w:rsidRPr="00680ECD">
        <w:rPr>
          <w:noProof/>
        </w:rPr>
        <w:t>be contained</w:t>
      </w:r>
      <w:r>
        <w:t xml:space="preserve"> in the used </w:t>
      </w:r>
      <w:r w:rsidRPr="00660CA5">
        <w:t>water. The concentration of nutrients</w:t>
      </w:r>
      <w:r>
        <w:t xml:space="preserve"> (nitrates, ammonium, </w:t>
      </w:r>
      <w:r w:rsidRPr="00680ECD">
        <w:rPr>
          <w:noProof/>
        </w:rPr>
        <w:t>phosphates</w:t>
      </w:r>
      <w:r w:rsidR="00680ECD">
        <w:rPr>
          <w:noProof/>
        </w:rPr>
        <w:t>,</w:t>
      </w:r>
      <w:r>
        <w:t xml:space="preserve"> and carbonates)</w:t>
      </w:r>
      <w:r w:rsidRPr="00660CA5">
        <w:t xml:space="preserve"> </w:t>
      </w:r>
      <w:r w:rsidRPr="00680ECD">
        <w:rPr>
          <w:noProof/>
        </w:rPr>
        <w:t>was controlled</w:t>
      </w:r>
      <w:r w:rsidRPr="00660CA5">
        <w:t xml:space="preserve"> by weekly chemical analysis and</w:t>
      </w:r>
      <w:r w:rsidR="00680ECD">
        <w:t xml:space="preserve"> the</w:t>
      </w:r>
      <w:r w:rsidRPr="00660CA5">
        <w:t xml:space="preserve"> </w:t>
      </w:r>
      <w:r w:rsidRPr="00680ECD">
        <w:rPr>
          <w:noProof/>
        </w:rPr>
        <w:t>later</w:t>
      </w:r>
      <w:r w:rsidRPr="00660CA5">
        <w:t xml:space="preserve"> addition of the required amount to keep concentration at the target values. The nutrients were added using concentrated solutions of NH</w:t>
      </w:r>
      <w:r w:rsidRPr="00660CA5">
        <w:rPr>
          <w:vertAlign w:val="subscript"/>
        </w:rPr>
        <w:t>4</w:t>
      </w:r>
      <w:r w:rsidRPr="00660CA5">
        <w:t>Cl, NaNO</w:t>
      </w:r>
      <w:r w:rsidRPr="00660CA5">
        <w:rPr>
          <w:vertAlign w:val="subscript"/>
        </w:rPr>
        <w:t>3</w:t>
      </w:r>
      <w:r w:rsidRPr="00660CA5">
        <w:t>, KH</w:t>
      </w:r>
      <w:r w:rsidRPr="00660CA5">
        <w:rPr>
          <w:vertAlign w:val="subscript"/>
        </w:rPr>
        <w:t>2</w:t>
      </w:r>
      <w:r w:rsidRPr="00660CA5">
        <w:t>PO</w:t>
      </w:r>
      <w:r w:rsidRPr="00660CA5">
        <w:rPr>
          <w:vertAlign w:val="subscript"/>
        </w:rPr>
        <w:t xml:space="preserve">4 </w:t>
      </w:r>
      <w:r w:rsidRPr="00660CA5">
        <w:t>and NaHCO</w:t>
      </w:r>
      <w:r w:rsidRPr="00660CA5">
        <w:rPr>
          <w:vertAlign w:val="subscript"/>
        </w:rPr>
        <w:t>3</w:t>
      </w:r>
      <w:r w:rsidRPr="00660CA5">
        <w:t xml:space="preserve">. </w:t>
      </w:r>
    </w:p>
    <w:p w14:paraId="2C9FCABE" w14:textId="4BB95096" w:rsidR="004D2BD0" w:rsidRDefault="004D2BD0" w:rsidP="00C24EC9">
      <w:r w:rsidRPr="00CB5721">
        <w:t xml:space="preserve">The 15 L tubular </w:t>
      </w:r>
      <w:proofErr w:type="spellStart"/>
      <w:r w:rsidRPr="00CB5721">
        <w:t>photobioreactor</w:t>
      </w:r>
      <w:proofErr w:type="spellEnd"/>
      <w:r w:rsidRPr="00CB5721">
        <w:t xml:space="preserve"> had an illuminated area of 0.5 m</w:t>
      </w:r>
      <w:r w:rsidRPr="00CB5721">
        <w:rPr>
          <w:vertAlign w:val="superscript"/>
        </w:rPr>
        <w:t>2</w:t>
      </w:r>
      <w:r w:rsidRPr="00CB5721">
        <w:t xml:space="preserve"> and </w:t>
      </w:r>
      <w:r w:rsidRPr="00680ECD">
        <w:rPr>
          <w:noProof/>
        </w:rPr>
        <w:t>was composed</w:t>
      </w:r>
      <w:r w:rsidRPr="00CB5721">
        <w:t xml:space="preserve"> by </w:t>
      </w:r>
      <w:r w:rsidRPr="00680ECD">
        <w:rPr>
          <w:noProof/>
        </w:rPr>
        <w:t>6</w:t>
      </w:r>
      <w:r w:rsidRPr="00CB5721">
        <w:t xml:space="preserve"> transparent tubes of a length of 1.1 m and diameter DN50 made from transparent PVC (</w:t>
      </w:r>
      <w:r w:rsidR="008D619E">
        <w:fldChar w:fldCharType="begin"/>
      </w:r>
      <w:r w:rsidR="008D619E">
        <w:instrText xml:space="preserve"> REF _Ref469581486 \h </w:instrText>
      </w:r>
      <w:r w:rsidR="008D619E">
        <w:fldChar w:fldCharType="separate"/>
      </w:r>
      <w:r w:rsidR="008D619E" w:rsidRPr="00680295">
        <w:t xml:space="preserve">Figure </w:t>
      </w:r>
      <w:r w:rsidR="008D619E">
        <w:rPr>
          <w:noProof/>
        </w:rPr>
        <w:t>9</w:t>
      </w:r>
      <w:r w:rsidR="008D619E">
        <w:fldChar w:fldCharType="end"/>
      </w:r>
      <w:r w:rsidRPr="00CB5721">
        <w:t>). The illumination</w:t>
      </w:r>
      <w:r w:rsidRPr="00660CA5">
        <w:t xml:space="preserve"> system was composed by 12 fluorescents </w:t>
      </w:r>
      <w:proofErr w:type="spellStart"/>
      <w:r w:rsidRPr="00660CA5">
        <w:t>Biovital</w:t>
      </w:r>
      <w:proofErr w:type="spellEnd"/>
      <w:r w:rsidRPr="00660CA5">
        <w:t xml:space="preserve"> 958 and </w:t>
      </w:r>
      <w:r>
        <w:t>managed</w:t>
      </w:r>
      <w:r w:rsidRPr="00660CA5">
        <w:t xml:space="preserve"> by </w:t>
      </w:r>
      <w:r>
        <w:t xml:space="preserve">a </w:t>
      </w:r>
      <w:proofErr w:type="spellStart"/>
      <w:r w:rsidRPr="00660CA5">
        <w:t>Profilux</w:t>
      </w:r>
      <w:proofErr w:type="spellEnd"/>
      <w:r w:rsidRPr="00660CA5">
        <w:t xml:space="preserve"> Plus II controller computer. To avoid the growing of the algae outside the </w:t>
      </w:r>
      <w:proofErr w:type="spellStart"/>
      <w:r w:rsidRPr="00660CA5">
        <w:t>photobioreactor</w:t>
      </w:r>
      <w:proofErr w:type="spellEnd"/>
      <w:r w:rsidRPr="00660CA5">
        <w:t xml:space="preserve">, </w:t>
      </w:r>
      <w:r w:rsidRPr="00680ECD">
        <w:rPr>
          <w:noProof/>
        </w:rPr>
        <w:t>piping</w:t>
      </w:r>
      <w:r w:rsidR="00680ECD">
        <w:rPr>
          <w:noProof/>
        </w:rPr>
        <w:t>,</w:t>
      </w:r>
      <w:r w:rsidRPr="00660CA5">
        <w:t xml:space="preserve"> and </w:t>
      </w:r>
      <w:r>
        <w:t xml:space="preserve">the </w:t>
      </w:r>
      <w:r w:rsidRPr="00660CA5">
        <w:t>degasification unit w</w:t>
      </w:r>
      <w:r>
        <w:t>ere</w:t>
      </w:r>
      <w:r w:rsidRPr="00660CA5">
        <w:t xml:space="preserve"> made from </w:t>
      </w:r>
      <w:r w:rsidRPr="00680ECD">
        <w:rPr>
          <w:noProof/>
        </w:rPr>
        <w:t>opaque</w:t>
      </w:r>
      <w:r w:rsidRPr="00660CA5">
        <w:t xml:space="preserve"> PVC (DN40 and DN100). The flow through the</w:t>
      </w:r>
      <w:r>
        <w:t xml:space="preserve"> reactor was upwards</w:t>
      </w:r>
      <w:r w:rsidRPr="00660CA5">
        <w:t xml:space="preserve"> </w:t>
      </w:r>
      <w:r w:rsidRPr="00680ECD">
        <w:rPr>
          <w:noProof/>
        </w:rPr>
        <w:t>to</w:t>
      </w:r>
      <w:r w:rsidRPr="00660CA5">
        <w:t xml:space="preserve"> enhance the CO</w:t>
      </w:r>
      <w:r w:rsidRPr="00660CA5">
        <w:rPr>
          <w:vertAlign w:val="subscript"/>
        </w:rPr>
        <w:t>2</w:t>
      </w:r>
      <w:r w:rsidRPr="00660CA5">
        <w:t xml:space="preserve"> </w:t>
      </w:r>
      <w:r>
        <w:t>dissolution</w:t>
      </w:r>
      <w:r w:rsidRPr="00660CA5">
        <w:t xml:space="preserve"> in water</w:t>
      </w:r>
      <w:r>
        <w:t xml:space="preserve">, which </w:t>
      </w:r>
      <w:r w:rsidRPr="00680ECD">
        <w:rPr>
          <w:noProof/>
        </w:rPr>
        <w:t>was injected</w:t>
      </w:r>
      <w:r>
        <w:t xml:space="preserve"> at the inlet of the </w:t>
      </w:r>
      <w:proofErr w:type="spellStart"/>
      <w:r>
        <w:t>photobioreactor</w:t>
      </w:r>
      <w:proofErr w:type="spellEnd"/>
      <w:r>
        <w:t xml:space="preserve"> using </w:t>
      </w:r>
      <w:r w:rsidRPr="00680ECD">
        <w:rPr>
          <w:noProof/>
        </w:rPr>
        <w:t>a standard</w:t>
      </w:r>
      <w:r>
        <w:t xml:space="preserve"> gas diffuser</w:t>
      </w:r>
      <w:r w:rsidRPr="00660CA5">
        <w:t xml:space="preserve">. </w:t>
      </w:r>
      <w:r>
        <w:t>Temperature and</w:t>
      </w:r>
      <w:r w:rsidRPr="00660CA5">
        <w:t xml:space="preserve"> pH </w:t>
      </w:r>
      <w:r w:rsidRPr="00680ECD">
        <w:rPr>
          <w:noProof/>
        </w:rPr>
        <w:t>were measured</w:t>
      </w:r>
      <w:r>
        <w:t xml:space="preserve"> at the outlet of the </w:t>
      </w:r>
      <w:proofErr w:type="spellStart"/>
      <w:r>
        <w:t>photobioreactor</w:t>
      </w:r>
      <w:proofErr w:type="spellEnd"/>
      <w:r w:rsidRPr="00660CA5">
        <w:t>. The degasification unit was used to remove and release the oxygen produced by the algae, as well as a filling point of the reactor during the s</w:t>
      </w:r>
      <w:r>
        <w:t>tart-up and nutrients addition</w:t>
      </w:r>
      <w:r w:rsidRPr="00660CA5">
        <w:t xml:space="preserve">. </w:t>
      </w:r>
      <w:r w:rsidRPr="00680ECD">
        <w:rPr>
          <w:noProof/>
        </w:rPr>
        <w:t>T</w:t>
      </w:r>
      <w:r w:rsidR="00680ECD">
        <w:rPr>
          <w:noProof/>
        </w:rPr>
        <w:t>he t</w:t>
      </w:r>
      <w:r w:rsidRPr="00680ECD">
        <w:rPr>
          <w:noProof/>
        </w:rPr>
        <w:t>emperature</w:t>
      </w:r>
      <w:r w:rsidRPr="00660CA5">
        <w:t xml:space="preserve"> </w:t>
      </w:r>
      <w:r w:rsidRPr="00680ECD">
        <w:rPr>
          <w:noProof/>
        </w:rPr>
        <w:t>was controlled</w:t>
      </w:r>
      <w:r w:rsidRPr="00660CA5">
        <w:t xml:space="preserve"> by </w:t>
      </w:r>
      <w:r w:rsidRPr="00680ECD">
        <w:rPr>
          <w:noProof/>
        </w:rPr>
        <w:t>a</w:t>
      </w:r>
      <w:r w:rsidR="00680ECD">
        <w:rPr>
          <w:noProof/>
        </w:rPr>
        <w:t>n</w:t>
      </w:r>
      <w:r w:rsidRPr="00680ECD">
        <w:rPr>
          <w:noProof/>
        </w:rPr>
        <w:t xml:space="preserve"> SS316</w:t>
      </w:r>
      <w:r w:rsidRPr="00660CA5">
        <w:t xml:space="preserve"> tubular heat exchang</w:t>
      </w:r>
      <w:r>
        <w:t>er and an external cooling bath.</w:t>
      </w:r>
      <w:r w:rsidRPr="00660CA5">
        <w:t xml:space="preserve"> </w:t>
      </w:r>
      <w:r w:rsidRPr="00680ECD">
        <w:rPr>
          <w:noProof/>
        </w:rPr>
        <w:t>Water was recirculated by a centrifugal pump</w:t>
      </w:r>
      <w:r w:rsidRPr="00660CA5">
        <w:t xml:space="preserve"> </w:t>
      </w:r>
      <w:r>
        <w:t>at a flow ranging from</w:t>
      </w:r>
      <w:r w:rsidRPr="00660CA5">
        <w:t xml:space="preserve"> 2 to 5.5 m</w:t>
      </w:r>
      <w:r w:rsidRPr="00660CA5">
        <w:rPr>
          <w:vertAlign w:val="superscript"/>
        </w:rPr>
        <w:t>3</w:t>
      </w:r>
      <w:r w:rsidRPr="00660CA5">
        <w:t>/h. The CO</w:t>
      </w:r>
      <w:r w:rsidRPr="00660CA5">
        <w:rPr>
          <w:vertAlign w:val="subscript"/>
        </w:rPr>
        <w:t>2</w:t>
      </w:r>
      <w:r w:rsidRPr="00660CA5">
        <w:t xml:space="preserve"> </w:t>
      </w:r>
      <w:r w:rsidRPr="00680ECD">
        <w:rPr>
          <w:noProof/>
        </w:rPr>
        <w:t>was sourced</w:t>
      </w:r>
      <w:r w:rsidRPr="00660CA5">
        <w:t xml:space="preserve"> from a compressed bottle</w:t>
      </w:r>
      <w:r>
        <w:t xml:space="preserve"> </w:t>
      </w:r>
      <w:r w:rsidRPr="00660CA5">
        <w:t xml:space="preserve">supplied by </w:t>
      </w:r>
      <w:proofErr w:type="spellStart"/>
      <w:r w:rsidRPr="00660CA5">
        <w:t>Carburos</w:t>
      </w:r>
      <w:proofErr w:type="spellEnd"/>
      <w:r w:rsidRPr="00660CA5">
        <w:t xml:space="preserve"> </w:t>
      </w:r>
      <w:proofErr w:type="spellStart"/>
      <w:r w:rsidRPr="00660CA5">
        <w:t>Met</w:t>
      </w:r>
      <w:r w:rsidRPr="00F75601">
        <w:t>á</w:t>
      </w:r>
      <w:r w:rsidRPr="00660CA5">
        <w:t>licos</w:t>
      </w:r>
      <w:proofErr w:type="spellEnd"/>
      <w:r>
        <w:t xml:space="preserve"> S.A., </w:t>
      </w:r>
      <w:r w:rsidRPr="00147B9F">
        <w:t>Air Products</w:t>
      </w:r>
      <w:r>
        <w:t xml:space="preserve"> Group</w:t>
      </w:r>
      <w:r w:rsidRPr="00147B9F">
        <w:t xml:space="preserve">. </w:t>
      </w:r>
    </w:p>
    <w:p w14:paraId="4DA51379" w14:textId="77777777" w:rsidR="00680295" w:rsidRDefault="004D2BD0" w:rsidP="00680295">
      <w:pPr>
        <w:keepNext/>
      </w:pPr>
      <w:r>
        <w:rPr>
          <w:noProof/>
          <w:lang w:val="it-IT" w:eastAsia="it-IT"/>
        </w:rPr>
        <w:drawing>
          <wp:anchor distT="0" distB="0" distL="114300" distR="114300" simplePos="0" relativeHeight="251679744" behindDoc="1" locked="0" layoutInCell="1" allowOverlap="1" wp14:anchorId="5337EDC3" wp14:editId="23A93FFD">
            <wp:simplePos x="0" y="0"/>
            <wp:positionH relativeFrom="column">
              <wp:posOffset>3458527</wp:posOffset>
            </wp:positionH>
            <wp:positionV relativeFrom="paragraph">
              <wp:posOffset>312102</wp:posOffset>
            </wp:positionV>
            <wp:extent cx="2526030" cy="1903095"/>
            <wp:effectExtent l="0" t="304800" r="0" b="287655"/>
            <wp:wrapNone/>
            <wp:docPr id="15" name="Imagen 12" descr="IMG_7061.jpg"/>
            <wp:cNvGraphicFramePr/>
            <a:graphic xmlns:a="http://schemas.openxmlformats.org/drawingml/2006/main">
              <a:graphicData uri="http://schemas.openxmlformats.org/drawingml/2006/picture">
                <pic:pic xmlns:pic="http://schemas.openxmlformats.org/drawingml/2006/picture">
                  <pic:nvPicPr>
                    <pic:cNvPr id="6" name="5 Imagen" descr="IMG_7061.jpg"/>
                    <pic:cNvPicPr>
                      <a:picLocks noChangeAspect="1"/>
                    </pic:cNvPicPr>
                  </pic:nvPicPr>
                  <pic:blipFill>
                    <a:blip r:embed="rId17" cstate="print"/>
                    <a:stretch>
                      <a:fillRect/>
                    </a:stretch>
                  </pic:blipFill>
                  <pic:spPr>
                    <a:xfrm rot="5400000">
                      <a:off x="0" y="0"/>
                      <a:ext cx="2526030" cy="1903095"/>
                    </a:xfrm>
                    <a:prstGeom prst="rect">
                      <a:avLst/>
                    </a:prstGeom>
                  </pic:spPr>
                </pic:pic>
              </a:graphicData>
            </a:graphic>
          </wp:anchor>
        </w:drawing>
      </w:r>
      <w:r>
        <w:rPr>
          <w:noProof/>
          <w:lang w:val="it-IT" w:eastAsia="it-IT"/>
        </w:rPr>
        <w:drawing>
          <wp:inline distT="0" distB="0" distL="0" distR="0" wp14:anchorId="2F0880D6" wp14:editId="744366DC">
            <wp:extent cx="3419475" cy="2524125"/>
            <wp:effectExtent l="19050" t="0" r="0" b="0"/>
            <wp:docPr id="18" name="Imagen 15" descr="Z:\PROJECTS\SOFCOM\4_Experimental Results\4.2_Lab Photobioreactor Results\4.2.3_Pictures\Fotos Equip Laboratori End April\IMG_7384.jpg"/>
            <wp:cNvGraphicFramePr/>
            <a:graphic xmlns:a="http://schemas.openxmlformats.org/drawingml/2006/main">
              <a:graphicData uri="http://schemas.openxmlformats.org/drawingml/2006/picture">
                <pic:pic xmlns:pic="http://schemas.openxmlformats.org/drawingml/2006/picture">
                  <pic:nvPicPr>
                    <pic:cNvPr id="1027" name="Picture 3" descr="Z:\PROJECTS\SOFCOM\4_Experimental Results\4.2_Lab Photobioreactor Results\4.2.3_Pictures\Fotos Equip Laboratori End April\IMG_7384.jpg"/>
                    <pic:cNvPicPr>
                      <a:picLocks noChangeAspect="1" noChangeArrowheads="1"/>
                    </pic:cNvPicPr>
                  </pic:nvPicPr>
                  <pic:blipFill>
                    <a:blip r:embed="rId18" cstate="print"/>
                    <a:srcRect l="5647" t="5469" r="3614" b="4297"/>
                    <a:stretch>
                      <a:fillRect/>
                    </a:stretch>
                  </pic:blipFill>
                  <pic:spPr bwMode="auto">
                    <a:xfrm>
                      <a:off x="0" y="0"/>
                      <a:ext cx="3418297" cy="2523256"/>
                    </a:xfrm>
                    <a:prstGeom prst="rect">
                      <a:avLst/>
                    </a:prstGeom>
                    <a:noFill/>
                  </pic:spPr>
                </pic:pic>
              </a:graphicData>
            </a:graphic>
          </wp:inline>
        </w:drawing>
      </w:r>
    </w:p>
    <w:p w14:paraId="518D041F" w14:textId="5275E2D6" w:rsidR="004D2BD0" w:rsidRPr="00680295" w:rsidRDefault="00680295" w:rsidP="00680295">
      <w:pPr>
        <w:pStyle w:val="Didascalia"/>
      </w:pPr>
      <w:bookmarkStart w:id="19" w:name="_Ref469581486"/>
      <w:r w:rsidRPr="00680295">
        <w:t xml:space="preserve">Figure </w:t>
      </w:r>
      <w:r w:rsidRPr="00680295">
        <w:fldChar w:fldCharType="begin"/>
      </w:r>
      <w:r w:rsidRPr="00680295">
        <w:instrText xml:space="preserve"> SEQ Figure \* ARABIC </w:instrText>
      </w:r>
      <w:r w:rsidRPr="00680295">
        <w:fldChar w:fldCharType="separate"/>
      </w:r>
      <w:r w:rsidR="008D619E">
        <w:rPr>
          <w:noProof/>
        </w:rPr>
        <w:t>9</w:t>
      </w:r>
      <w:r w:rsidRPr="00680295">
        <w:fldChar w:fldCharType="end"/>
      </w:r>
      <w:bookmarkEnd w:id="19"/>
      <w:r w:rsidR="004D2BD0" w:rsidRPr="00680295">
        <w:t xml:space="preserve">. Set up of the laboratory </w:t>
      </w:r>
      <w:proofErr w:type="spellStart"/>
      <w:r w:rsidR="002A2BA4" w:rsidRPr="00680295">
        <w:t>p</w:t>
      </w:r>
      <w:r w:rsidR="004D2BD0" w:rsidRPr="00680295">
        <w:t>hoto</w:t>
      </w:r>
      <w:r w:rsidR="002A2BA4" w:rsidRPr="00680295">
        <w:t>b</w:t>
      </w:r>
      <w:r w:rsidR="004D2BD0" w:rsidRPr="00680295">
        <w:t>io</w:t>
      </w:r>
      <w:r w:rsidR="002A2BA4" w:rsidRPr="00680295">
        <w:t>r</w:t>
      </w:r>
      <w:r w:rsidR="004D2BD0" w:rsidRPr="00680295">
        <w:t>eactor</w:t>
      </w:r>
      <w:proofErr w:type="spellEnd"/>
      <w:r w:rsidR="004D2BD0" w:rsidRPr="00680295">
        <w:t xml:space="preserve"> located at MATGAS</w:t>
      </w:r>
      <w:r w:rsidR="002A2BA4" w:rsidRPr="00680295">
        <w:t>.</w:t>
      </w:r>
    </w:p>
    <w:p w14:paraId="29E40310" w14:textId="1BF0CE3B" w:rsidR="004D2BD0" w:rsidRDefault="004D2BD0" w:rsidP="004D2BD0">
      <w:pPr>
        <w:spacing w:after="0"/>
        <w:rPr>
          <w:rFonts w:cstheme="minorHAnsi"/>
        </w:rPr>
      </w:pPr>
      <w:r>
        <w:rPr>
          <w:rFonts w:cstheme="minorHAnsi"/>
        </w:rPr>
        <w:t xml:space="preserve">The laboratory experiments were designed to support the demonstration trials by evaluating the influence of the main operating parameters on the microalgae growing, and defining guidelines for the design of the demonstration </w:t>
      </w:r>
      <w:proofErr w:type="spellStart"/>
      <w:r>
        <w:rPr>
          <w:rFonts w:cstheme="minorHAnsi"/>
        </w:rPr>
        <w:t>photobioreactor</w:t>
      </w:r>
      <w:proofErr w:type="spellEnd"/>
      <w:r>
        <w:rPr>
          <w:rFonts w:cstheme="minorHAnsi"/>
        </w:rPr>
        <w:t xml:space="preserve">. </w:t>
      </w:r>
      <w:r w:rsidRPr="00680ECD">
        <w:rPr>
          <w:rFonts w:cstheme="minorHAnsi"/>
          <w:noProof/>
        </w:rPr>
        <w:t>Usually</w:t>
      </w:r>
      <w:r w:rsidR="00680ECD">
        <w:rPr>
          <w:rFonts w:cstheme="minorHAnsi"/>
          <w:noProof/>
        </w:rPr>
        <w:t>,</w:t>
      </w:r>
      <w:r w:rsidRPr="00147B9F">
        <w:rPr>
          <w:rFonts w:cstheme="minorHAnsi"/>
        </w:rPr>
        <w:t xml:space="preserve"> light emittance is</w:t>
      </w:r>
      <w:r>
        <w:rPr>
          <w:rFonts w:cstheme="minorHAnsi"/>
        </w:rPr>
        <w:t xml:space="preserve"> reported to be</w:t>
      </w:r>
      <w:r w:rsidRPr="00147B9F">
        <w:rPr>
          <w:rFonts w:cstheme="minorHAnsi"/>
        </w:rPr>
        <w:t xml:space="preserve"> the main limiting param</w:t>
      </w:r>
      <w:r>
        <w:rPr>
          <w:rFonts w:cstheme="minorHAnsi"/>
        </w:rPr>
        <w:t>eter in the growth of microalgae</w:t>
      </w:r>
      <w:r w:rsidRPr="00147B9F">
        <w:rPr>
          <w:rFonts w:cstheme="minorHAnsi"/>
        </w:rPr>
        <w:t>. Most of the studies reviewed in</w:t>
      </w:r>
      <w:r w:rsidR="00680ECD">
        <w:rPr>
          <w:rFonts w:cstheme="minorHAnsi"/>
        </w:rPr>
        <w:t xml:space="preserve"> the</w:t>
      </w:r>
      <w:r w:rsidRPr="00147B9F">
        <w:rPr>
          <w:rFonts w:cstheme="minorHAnsi"/>
        </w:rPr>
        <w:t xml:space="preserve"> </w:t>
      </w:r>
      <w:r w:rsidRPr="00680ECD">
        <w:rPr>
          <w:rFonts w:cstheme="minorHAnsi"/>
          <w:noProof/>
        </w:rPr>
        <w:t>literature</w:t>
      </w:r>
      <w:r w:rsidRPr="00660CA5">
        <w:rPr>
          <w:rFonts w:cstheme="minorHAnsi"/>
        </w:rPr>
        <w:t xml:space="preserve"> reported low ranges of light emittance (3.2-17 </w:t>
      </w:r>
      <w:r w:rsidRPr="00680ECD">
        <w:rPr>
          <w:rFonts w:cstheme="minorHAnsi"/>
          <w:noProof/>
        </w:rPr>
        <w:t>kLux</w:t>
      </w:r>
      <w:r w:rsidRPr="00660CA5">
        <w:rPr>
          <w:rFonts w:cstheme="minorHAnsi"/>
        </w:rPr>
        <w:t>) which correspond to daylight but not direct light intensities</w:t>
      </w:r>
      <w:r>
        <w:rPr>
          <w:rFonts w:cstheme="minorHAnsi"/>
        </w:rPr>
        <w:t xml:space="preserve"> which could </w:t>
      </w:r>
      <w:proofErr w:type="spellStart"/>
      <w:r>
        <w:rPr>
          <w:rFonts w:cstheme="minorHAnsi"/>
        </w:rPr>
        <w:t>peak</w:t>
      </w:r>
      <w:proofErr w:type="spellEnd"/>
      <w:r>
        <w:rPr>
          <w:rFonts w:cstheme="minorHAnsi"/>
        </w:rPr>
        <w:t xml:space="preserve"> up to 120 </w:t>
      </w:r>
      <w:r w:rsidRPr="00680ECD">
        <w:rPr>
          <w:rFonts w:cstheme="minorHAnsi"/>
          <w:noProof/>
        </w:rPr>
        <w:t>kLux</w:t>
      </w:r>
      <w:r>
        <w:rPr>
          <w:rFonts w:cstheme="minorHAnsi"/>
        </w:rPr>
        <w:t xml:space="preserve"> on summer in the Mediterranean area</w:t>
      </w:r>
      <w:r w:rsidRPr="00660CA5">
        <w:rPr>
          <w:rFonts w:cstheme="minorHAnsi"/>
        </w:rPr>
        <w:t xml:space="preserve">. </w:t>
      </w:r>
    </w:p>
    <w:p w14:paraId="2B564293" w14:textId="64D06F2B" w:rsidR="004D2BD0" w:rsidRDefault="004D2BD0" w:rsidP="004D2BD0">
      <w:pPr>
        <w:spacing w:after="0"/>
      </w:pPr>
      <w:r w:rsidRPr="00147B9F">
        <w:rPr>
          <w:rFonts w:cstheme="minorHAnsi"/>
        </w:rPr>
        <w:t xml:space="preserve">Several experiments were carried out at different </w:t>
      </w:r>
      <w:r w:rsidRPr="00680ECD">
        <w:rPr>
          <w:rFonts w:cstheme="minorHAnsi"/>
          <w:noProof/>
        </w:rPr>
        <w:t>light</w:t>
      </w:r>
      <w:r w:rsidRPr="00147B9F">
        <w:rPr>
          <w:rFonts w:cstheme="minorHAnsi"/>
        </w:rPr>
        <w:t xml:space="preserve"> emittance between</w:t>
      </w:r>
      <w:r>
        <w:rPr>
          <w:rFonts w:cstheme="minorHAnsi"/>
        </w:rPr>
        <w:t xml:space="preserve"> 15 and 30 </w:t>
      </w:r>
      <w:r w:rsidRPr="00680ECD">
        <w:rPr>
          <w:rFonts w:cstheme="minorHAnsi"/>
          <w:noProof/>
        </w:rPr>
        <w:t>kLux</w:t>
      </w:r>
      <w:r w:rsidRPr="00660CA5">
        <w:rPr>
          <w:rFonts w:cstheme="minorHAnsi"/>
        </w:rPr>
        <w:t xml:space="preserve"> </w:t>
      </w:r>
      <w:r>
        <w:rPr>
          <w:rFonts w:cstheme="minorHAnsi"/>
        </w:rPr>
        <w:t xml:space="preserve">and adjusting </w:t>
      </w:r>
      <w:r w:rsidRPr="00660CA5">
        <w:t>CO</w:t>
      </w:r>
      <w:r w:rsidRPr="00660CA5">
        <w:rPr>
          <w:vertAlign w:val="subscript"/>
        </w:rPr>
        <w:t>2</w:t>
      </w:r>
      <w:r w:rsidRPr="00660CA5">
        <w:t xml:space="preserve"> injection </w:t>
      </w:r>
      <w:r>
        <w:t>to</w:t>
      </w:r>
      <w:r w:rsidRPr="00660CA5">
        <w:t xml:space="preserve"> 32.4 ppm of </w:t>
      </w:r>
      <w:r w:rsidRPr="00680ECD">
        <w:rPr>
          <w:noProof/>
        </w:rPr>
        <w:t>CO</w:t>
      </w:r>
      <w:r w:rsidRPr="00680ECD">
        <w:rPr>
          <w:noProof/>
          <w:vertAlign w:val="subscript"/>
        </w:rPr>
        <w:t>2</w:t>
      </w:r>
      <w:r w:rsidRPr="00680ECD">
        <w:rPr>
          <w:noProof/>
        </w:rPr>
        <w:t>/day</w:t>
      </w:r>
      <w:r w:rsidR="00680ECD">
        <w:rPr>
          <w:noProof/>
        </w:rPr>
        <w:t>;</w:t>
      </w:r>
      <w:r w:rsidRPr="00680ECD">
        <w:rPr>
          <w:noProof/>
        </w:rPr>
        <w:t xml:space="preserve"> temperatures</w:t>
      </w:r>
      <w:r w:rsidRPr="00660CA5">
        <w:rPr>
          <w:rFonts w:cstheme="minorHAnsi"/>
        </w:rPr>
        <w:t xml:space="preserve"> </w:t>
      </w:r>
      <w:r>
        <w:rPr>
          <w:rFonts w:cstheme="minorHAnsi"/>
        </w:rPr>
        <w:t xml:space="preserve">fluctuated </w:t>
      </w:r>
      <w:r w:rsidR="00CB5721">
        <w:rPr>
          <w:rFonts w:cstheme="minorHAnsi"/>
        </w:rPr>
        <w:t>between 33-37°</w:t>
      </w:r>
      <w:r w:rsidRPr="00660CA5">
        <w:rPr>
          <w:rFonts w:cstheme="minorHAnsi"/>
        </w:rPr>
        <w:t>C.</w:t>
      </w:r>
      <w:r>
        <w:rPr>
          <w:rFonts w:cstheme="minorHAnsi"/>
        </w:rPr>
        <w:t xml:space="preserve"> </w:t>
      </w:r>
      <w:r w:rsidRPr="00147B9F">
        <w:t xml:space="preserve">No microalgae attachment </w:t>
      </w:r>
      <w:r w:rsidRPr="00147B9F">
        <w:lastRenderedPageBreak/>
        <w:t>to the wall</w:t>
      </w:r>
      <w:r w:rsidRPr="00660CA5">
        <w:t xml:space="preserve">s of the </w:t>
      </w:r>
      <w:proofErr w:type="spellStart"/>
      <w:r w:rsidRPr="00660CA5">
        <w:t>photobioreactor</w:t>
      </w:r>
      <w:proofErr w:type="spellEnd"/>
      <w:r w:rsidRPr="00660CA5">
        <w:t xml:space="preserve"> was observed at</w:t>
      </w:r>
      <w:r w:rsidR="00680ECD">
        <w:t xml:space="preserve"> a</w:t>
      </w:r>
      <w:r w:rsidRPr="00660CA5">
        <w:t xml:space="preserve"> </w:t>
      </w:r>
      <w:r w:rsidRPr="00680ECD">
        <w:rPr>
          <w:noProof/>
        </w:rPr>
        <w:t>light</w:t>
      </w:r>
      <w:r w:rsidRPr="00660CA5">
        <w:t xml:space="preserve"> irradiance </w:t>
      </w:r>
      <w:r>
        <w:t xml:space="preserve">of 15 </w:t>
      </w:r>
      <w:r w:rsidRPr="00680ECD">
        <w:rPr>
          <w:noProof/>
        </w:rPr>
        <w:t>kLux</w:t>
      </w:r>
      <w:r>
        <w:t xml:space="preserve">, </w:t>
      </w:r>
      <w:r w:rsidRPr="00660CA5">
        <w:t>obtaining a constant growth of microalgae at</w:t>
      </w:r>
      <w:r w:rsidR="00680ECD">
        <w:t xml:space="preserve"> a</w:t>
      </w:r>
      <w:r w:rsidRPr="00660CA5">
        <w:t xml:space="preserve"> </w:t>
      </w:r>
      <w:r w:rsidRPr="00680ECD">
        <w:rPr>
          <w:noProof/>
        </w:rPr>
        <w:t>relatively</w:t>
      </w:r>
      <w:r>
        <w:t xml:space="preserve"> low rate</w:t>
      </w:r>
      <w:r w:rsidRPr="00660CA5">
        <w:t xml:space="preserve"> (µ= 0.003±0.00</w:t>
      </w:r>
      <w:r>
        <w:t>1</w:t>
      </w:r>
      <w:r w:rsidRPr="00660CA5">
        <w:t xml:space="preserve"> h</w:t>
      </w:r>
      <w:r w:rsidRPr="00660CA5">
        <w:rPr>
          <w:vertAlign w:val="superscript"/>
        </w:rPr>
        <w:t>-1</w:t>
      </w:r>
      <w:r w:rsidRPr="00660CA5">
        <w:t xml:space="preserve">). </w:t>
      </w:r>
      <w:r>
        <w:t xml:space="preserve">Increasing light irradiance up to 30 </w:t>
      </w:r>
      <w:r w:rsidRPr="00680ECD">
        <w:rPr>
          <w:noProof/>
        </w:rPr>
        <w:t>kLux</w:t>
      </w:r>
      <w:r>
        <w:t>, a</w:t>
      </w:r>
      <w:r w:rsidRPr="00660CA5">
        <w:t xml:space="preserve"> slight</w:t>
      </w:r>
      <w:r>
        <w:t>ly higher growing rate (µ=0.004±0.001</w:t>
      </w:r>
      <w:r w:rsidRPr="00660CA5">
        <w:t xml:space="preserve"> h</w:t>
      </w:r>
      <w:r w:rsidRPr="00660CA5">
        <w:rPr>
          <w:vertAlign w:val="superscript"/>
        </w:rPr>
        <w:t>-1</w:t>
      </w:r>
      <w:r w:rsidRPr="00660CA5">
        <w:t xml:space="preserve">) </w:t>
      </w:r>
      <w:r w:rsidRPr="00680ECD">
        <w:rPr>
          <w:noProof/>
        </w:rPr>
        <w:t>was obtained</w:t>
      </w:r>
      <w:r w:rsidRPr="00660CA5">
        <w:t xml:space="preserve"> </w:t>
      </w:r>
      <w:r>
        <w:t>but</w:t>
      </w:r>
      <w:r w:rsidRPr="00660CA5">
        <w:t xml:space="preserve"> the attachment of the microalgae </w:t>
      </w:r>
      <w:r w:rsidRPr="00680ECD">
        <w:rPr>
          <w:noProof/>
        </w:rPr>
        <w:t>was observed</w:t>
      </w:r>
      <w:r w:rsidRPr="00660CA5">
        <w:t xml:space="preserve"> after one </w:t>
      </w:r>
      <w:r w:rsidRPr="000A44AE">
        <w:t xml:space="preserve">week </w:t>
      </w:r>
      <w:r w:rsidRPr="00CB5721">
        <w:t>(</w:t>
      </w:r>
      <w:r w:rsidR="00680295">
        <w:fldChar w:fldCharType="begin"/>
      </w:r>
      <w:r w:rsidR="00680295">
        <w:instrText xml:space="preserve"> REF _Ref469580848 \h </w:instrText>
      </w:r>
      <w:r w:rsidR="00680295">
        <w:fldChar w:fldCharType="separate"/>
      </w:r>
      <w:r w:rsidR="00680295" w:rsidRPr="00680295">
        <w:t>Figure 10</w:t>
      </w:r>
      <w:r w:rsidR="00680295">
        <w:fldChar w:fldCharType="end"/>
      </w:r>
      <w:r w:rsidRPr="00CB5721">
        <w:t>).</w:t>
      </w:r>
      <w:r w:rsidRPr="00660CA5">
        <w:t xml:space="preserve"> </w:t>
      </w:r>
      <w:r w:rsidRPr="00680ECD">
        <w:rPr>
          <w:noProof/>
        </w:rPr>
        <w:t>Good</w:t>
      </w:r>
      <w:r>
        <w:t xml:space="preserve"> compromise </w:t>
      </w:r>
      <w:r w:rsidRPr="00680ECD">
        <w:rPr>
          <w:noProof/>
        </w:rPr>
        <w:t>was found</w:t>
      </w:r>
      <w:r>
        <w:t xml:space="preserve"> at 20 </w:t>
      </w:r>
      <w:r w:rsidRPr="00680ECD">
        <w:rPr>
          <w:noProof/>
        </w:rPr>
        <w:t>kLux</w:t>
      </w:r>
      <w:r>
        <w:t xml:space="preserve">, </w:t>
      </w:r>
      <w:r w:rsidRPr="00147B9F">
        <w:t xml:space="preserve">no attachment on the walls of the </w:t>
      </w:r>
      <w:proofErr w:type="spellStart"/>
      <w:r w:rsidRPr="00147B9F">
        <w:t>photobioreactor</w:t>
      </w:r>
      <w:proofErr w:type="spellEnd"/>
      <w:r w:rsidRPr="00147B9F">
        <w:t xml:space="preserve"> </w:t>
      </w:r>
      <w:r w:rsidRPr="00680ECD">
        <w:rPr>
          <w:noProof/>
        </w:rPr>
        <w:t>was observed</w:t>
      </w:r>
      <w:r>
        <w:t xml:space="preserve"> and the growth was similar to 30 </w:t>
      </w:r>
      <w:r w:rsidRPr="00680ECD">
        <w:rPr>
          <w:noProof/>
        </w:rPr>
        <w:t>kLux</w:t>
      </w:r>
      <w:r w:rsidRPr="00147B9F">
        <w:t xml:space="preserve">. </w:t>
      </w:r>
      <w:r>
        <w:t xml:space="preserve">Shadowing meshes to reduce natural sunlight below 20 </w:t>
      </w:r>
      <w:r w:rsidRPr="00680ECD">
        <w:rPr>
          <w:noProof/>
        </w:rPr>
        <w:t>kLux</w:t>
      </w:r>
      <w:r>
        <w:t xml:space="preserve"> are recommended to avoid algae attachment in the demonstration unit.</w:t>
      </w:r>
    </w:p>
    <w:p w14:paraId="1D6A18BC" w14:textId="77777777" w:rsidR="004D2BD0" w:rsidRPr="00147B9F" w:rsidRDefault="004D2BD0" w:rsidP="004D2BD0">
      <w:pPr>
        <w:spacing w:after="0" w:line="240" w:lineRule="auto"/>
      </w:pPr>
    </w:p>
    <w:p w14:paraId="3AA2139D" w14:textId="77777777" w:rsidR="00680295" w:rsidRDefault="004D2BD0" w:rsidP="00680295">
      <w:pPr>
        <w:keepNext/>
      </w:pPr>
      <w:r>
        <w:rPr>
          <w:noProof/>
          <w:lang w:val="it-IT" w:eastAsia="it-IT"/>
        </w:rPr>
        <w:drawing>
          <wp:anchor distT="0" distB="0" distL="114300" distR="114300" simplePos="0" relativeHeight="251680768" behindDoc="1" locked="0" layoutInCell="1" allowOverlap="1" wp14:anchorId="58CDECF2" wp14:editId="656117C3">
            <wp:simplePos x="0" y="0"/>
            <wp:positionH relativeFrom="column">
              <wp:posOffset>2815977</wp:posOffset>
            </wp:positionH>
            <wp:positionV relativeFrom="paragraph">
              <wp:posOffset>4832</wp:posOffset>
            </wp:positionV>
            <wp:extent cx="2867273" cy="1630017"/>
            <wp:effectExtent l="19050" t="0" r="9277" b="0"/>
            <wp:wrapNone/>
            <wp:docPr id="5" name="Imagen 29" descr="IMG_6499.jpg"/>
            <wp:cNvGraphicFramePr/>
            <a:graphic xmlns:a="http://schemas.openxmlformats.org/drawingml/2006/main">
              <a:graphicData uri="http://schemas.openxmlformats.org/drawingml/2006/picture">
                <pic:pic xmlns:pic="http://schemas.openxmlformats.org/drawingml/2006/picture">
                  <pic:nvPicPr>
                    <pic:cNvPr id="22" name="21 Imagen" descr="IMG_6499.jpg"/>
                    <pic:cNvPicPr>
                      <a:picLocks noChangeAspect="1"/>
                    </pic:cNvPicPr>
                  </pic:nvPicPr>
                  <pic:blipFill>
                    <a:blip r:embed="rId19" cstate="print"/>
                    <a:srcRect t="16471" b="5882"/>
                    <a:stretch>
                      <a:fillRect/>
                    </a:stretch>
                  </pic:blipFill>
                  <pic:spPr>
                    <a:xfrm>
                      <a:off x="0" y="0"/>
                      <a:ext cx="2869525" cy="1631297"/>
                    </a:xfrm>
                    <a:prstGeom prst="rect">
                      <a:avLst/>
                    </a:prstGeom>
                  </pic:spPr>
                </pic:pic>
              </a:graphicData>
            </a:graphic>
          </wp:anchor>
        </w:drawing>
      </w:r>
      <w:r>
        <w:rPr>
          <w:noProof/>
          <w:lang w:val="it-IT" w:eastAsia="it-IT"/>
        </w:rPr>
        <w:drawing>
          <wp:inline distT="0" distB="0" distL="0" distR="0" wp14:anchorId="1F94E09C" wp14:editId="2D798023">
            <wp:extent cx="2390196" cy="1637969"/>
            <wp:effectExtent l="19050" t="0" r="0" b="0"/>
            <wp:docPr id="2056" name="Imagen 17" descr="IMG_6489.jpg"/>
            <wp:cNvGraphicFramePr/>
            <a:graphic xmlns:a="http://schemas.openxmlformats.org/drawingml/2006/main">
              <a:graphicData uri="http://schemas.openxmlformats.org/drawingml/2006/picture">
                <pic:pic xmlns:pic="http://schemas.openxmlformats.org/drawingml/2006/picture">
                  <pic:nvPicPr>
                    <pic:cNvPr id="10" name="9 Imagen" descr="IMG_6489.jpg"/>
                    <pic:cNvPicPr>
                      <a:picLocks noChangeAspect="1"/>
                    </pic:cNvPicPr>
                  </pic:nvPicPr>
                  <pic:blipFill>
                    <a:blip r:embed="rId20" cstate="print"/>
                    <a:stretch>
                      <a:fillRect/>
                    </a:stretch>
                  </pic:blipFill>
                  <pic:spPr>
                    <a:xfrm>
                      <a:off x="0" y="0"/>
                      <a:ext cx="2391707" cy="1639004"/>
                    </a:xfrm>
                    <a:prstGeom prst="rect">
                      <a:avLst/>
                    </a:prstGeom>
                  </pic:spPr>
                </pic:pic>
              </a:graphicData>
            </a:graphic>
          </wp:inline>
        </w:drawing>
      </w:r>
    </w:p>
    <w:p w14:paraId="127A064D" w14:textId="461D8130" w:rsidR="004D2BD0" w:rsidRPr="00680295" w:rsidRDefault="00680295" w:rsidP="00680295">
      <w:pPr>
        <w:pStyle w:val="Didascalia"/>
      </w:pPr>
      <w:bookmarkStart w:id="20" w:name="_Ref469580848"/>
      <w:r w:rsidRPr="00680295">
        <w:t xml:space="preserve">Figure </w:t>
      </w:r>
      <w:r w:rsidRPr="00680295">
        <w:fldChar w:fldCharType="begin"/>
      </w:r>
      <w:r w:rsidRPr="00680295">
        <w:instrText xml:space="preserve"> SEQ Figure \* ARABIC </w:instrText>
      </w:r>
      <w:r w:rsidRPr="00680295">
        <w:fldChar w:fldCharType="separate"/>
      </w:r>
      <w:r w:rsidR="008D619E">
        <w:rPr>
          <w:noProof/>
        </w:rPr>
        <w:t>10</w:t>
      </w:r>
      <w:r w:rsidRPr="00680295">
        <w:fldChar w:fldCharType="end"/>
      </w:r>
      <w:bookmarkEnd w:id="20"/>
      <w:r w:rsidR="004D2BD0" w:rsidRPr="00680295">
        <w:t xml:space="preserve">. </w:t>
      </w:r>
      <w:r w:rsidR="00024E76" w:rsidRPr="00680295">
        <w:t xml:space="preserve">Microalgae attachments </w:t>
      </w:r>
      <w:r w:rsidR="004D2BD0" w:rsidRPr="00680295">
        <w:t xml:space="preserve">in the bench scale </w:t>
      </w:r>
      <w:proofErr w:type="spellStart"/>
      <w:r w:rsidR="004D2BD0" w:rsidRPr="00680295">
        <w:t>photobioreactor</w:t>
      </w:r>
      <w:proofErr w:type="spellEnd"/>
      <w:r w:rsidR="004D2BD0" w:rsidRPr="00680295">
        <w:t xml:space="preserve"> when 30kLux light emittance was ap</w:t>
      </w:r>
      <w:r w:rsidR="00974C98" w:rsidRPr="00680295">
        <w:t>plied.</w:t>
      </w:r>
    </w:p>
    <w:p w14:paraId="6E506E85" w14:textId="04CD2C75" w:rsidR="004D2BD0" w:rsidRDefault="004D2BD0" w:rsidP="004D2BD0">
      <w:pPr>
        <w:spacing w:after="0"/>
        <w:rPr>
          <w:rFonts w:cstheme="minorHAnsi"/>
        </w:rPr>
      </w:pPr>
      <w:r>
        <w:rPr>
          <w:rFonts w:cstheme="minorHAnsi"/>
        </w:rPr>
        <w:t>The capacity of the carbon bio</w:t>
      </w:r>
      <w:r w:rsidR="006923B5">
        <w:rPr>
          <w:rFonts w:cstheme="minorHAnsi"/>
        </w:rPr>
        <w:t>-</w:t>
      </w:r>
      <w:r>
        <w:rPr>
          <w:rFonts w:cstheme="minorHAnsi"/>
        </w:rPr>
        <w:t xml:space="preserve">fixation of the selected microalgae </w:t>
      </w:r>
      <w:r w:rsidRPr="00680ECD">
        <w:rPr>
          <w:rFonts w:cstheme="minorHAnsi"/>
          <w:noProof/>
        </w:rPr>
        <w:t>was checked</w:t>
      </w:r>
      <w:r>
        <w:rPr>
          <w:rFonts w:cstheme="minorHAnsi"/>
        </w:rPr>
        <w:t xml:space="preserve"> by running the </w:t>
      </w:r>
      <w:proofErr w:type="spellStart"/>
      <w:r>
        <w:rPr>
          <w:rFonts w:cstheme="minorHAnsi"/>
        </w:rPr>
        <w:t>photobioreactor</w:t>
      </w:r>
      <w:proofErr w:type="spellEnd"/>
      <w:r>
        <w:rPr>
          <w:rFonts w:cstheme="minorHAnsi"/>
        </w:rPr>
        <w:t xml:space="preserve"> without injecting CO</w:t>
      </w:r>
      <w:r w:rsidRPr="00856D52">
        <w:rPr>
          <w:rFonts w:cstheme="minorHAnsi"/>
          <w:vertAlign w:val="subscript"/>
        </w:rPr>
        <w:t>2</w:t>
      </w:r>
      <w:r>
        <w:rPr>
          <w:rFonts w:cstheme="minorHAnsi"/>
        </w:rPr>
        <w:t xml:space="preserve"> during </w:t>
      </w:r>
      <w:r w:rsidRPr="00680ECD">
        <w:rPr>
          <w:rFonts w:cstheme="minorHAnsi"/>
          <w:noProof/>
        </w:rPr>
        <w:t>1</w:t>
      </w:r>
      <w:r>
        <w:rPr>
          <w:rFonts w:cstheme="minorHAnsi"/>
        </w:rPr>
        <w:t xml:space="preserve"> week (0.1 g algae/L - 16 </w:t>
      </w:r>
      <w:r w:rsidRPr="00680ECD">
        <w:rPr>
          <w:rFonts w:cstheme="minorHAnsi"/>
          <w:noProof/>
        </w:rPr>
        <w:t>kLux</w:t>
      </w:r>
      <w:r>
        <w:rPr>
          <w:rFonts w:cstheme="minorHAnsi"/>
        </w:rPr>
        <w:t xml:space="preserve"> - 33-37</w:t>
      </w:r>
      <w:r w:rsidR="00CB5721">
        <w:rPr>
          <w:rFonts w:cstheme="minorHAnsi"/>
        </w:rPr>
        <w:t>°</w:t>
      </w:r>
      <w:r>
        <w:rPr>
          <w:rFonts w:cstheme="minorHAnsi"/>
        </w:rPr>
        <w:t xml:space="preserve">C). </w:t>
      </w:r>
      <w:r>
        <w:t>N</w:t>
      </w:r>
      <w:r w:rsidRPr="00147B9F">
        <w:t xml:space="preserve">o </w:t>
      </w:r>
      <w:proofErr w:type="spellStart"/>
      <w:r w:rsidRPr="00147B9F">
        <w:t>micro</w:t>
      </w:r>
      <w:r w:rsidRPr="00660CA5">
        <w:t>algal</w:t>
      </w:r>
      <w:proofErr w:type="spellEnd"/>
      <w:r w:rsidRPr="00660CA5">
        <w:t xml:space="preserve"> growth </w:t>
      </w:r>
      <w:r w:rsidRPr="00680ECD">
        <w:rPr>
          <w:noProof/>
        </w:rPr>
        <w:t>was observed</w:t>
      </w:r>
      <w:r w:rsidRPr="00660CA5">
        <w:t xml:space="preserve"> and </w:t>
      </w:r>
      <w:r w:rsidRPr="00147B9F">
        <w:t>even death of the microalgae was detected by the decrea</w:t>
      </w:r>
      <w:r>
        <w:t xml:space="preserve">se of the turbidity to </w:t>
      </w:r>
      <w:r w:rsidRPr="00680ECD">
        <w:rPr>
          <w:noProof/>
        </w:rPr>
        <w:t>one</w:t>
      </w:r>
      <w:r w:rsidR="00680ECD">
        <w:rPr>
          <w:noProof/>
        </w:rPr>
        <w:t>-</w:t>
      </w:r>
      <w:r w:rsidRPr="00680ECD">
        <w:rPr>
          <w:noProof/>
        </w:rPr>
        <w:t>hal</w:t>
      </w:r>
      <w:r w:rsidR="00F81CDA" w:rsidRPr="00680ECD">
        <w:rPr>
          <w:noProof/>
        </w:rPr>
        <w:t>f</w:t>
      </w:r>
      <w:r>
        <w:t xml:space="preserve"> of the initial; </w:t>
      </w:r>
      <w:r w:rsidR="00680ECD">
        <w:rPr>
          <w:noProof/>
        </w:rPr>
        <w:t>also</w:t>
      </w:r>
      <w:r>
        <w:t xml:space="preserve">, no consumption of nutrients </w:t>
      </w:r>
      <w:r w:rsidRPr="00680ECD">
        <w:rPr>
          <w:noProof/>
        </w:rPr>
        <w:t>was observed</w:t>
      </w:r>
      <w:r>
        <w:t xml:space="preserve">. </w:t>
      </w:r>
      <w:r w:rsidRPr="00147B9F">
        <w:t xml:space="preserve"> Immediately after the injection of pure CO</w:t>
      </w:r>
      <w:r w:rsidRPr="00660CA5">
        <w:rPr>
          <w:vertAlign w:val="subscript"/>
        </w:rPr>
        <w:t>2</w:t>
      </w:r>
      <w:r>
        <w:rPr>
          <w:vertAlign w:val="subscript"/>
        </w:rPr>
        <w:t xml:space="preserve"> </w:t>
      </w:r>
      <w:r>
        <w:t>(</w:t>
      </w:r>
      <w:r w:rsidRPr="00660CA5">
        <w:t>377 ppm CO</w:t>
      </w:r>
      <w:r w:rsidRPr="00660CA5">
        <w:rPr>
          <w:vertAlign w:val="subscript"/>
        </w:rPr>
        <w:t>2</w:t>
      </w:r>
      <w:r w:rsidRPr="00660CA5">
        <w:t>/day</w:t>
      </w:r>
      <w:r>
        <w:t>)</w:t>
      </w:r>
      <w:r w:rsidRPr="00660CA5">
        <w:t>, the growt</w:t>
      </w:r>
      <w:r>
        <w:t>h of the microalgae was detected</w:t>
      </w:r>
      <w:r w:rsidRPr="00660CA5">
        <w:t xml:space="preserve"> by the increase of the turbidity</w:t>
      </w:r>
      <w:r>
        <w:t xml:space="preserve"> and confirmed by </w:t>
      </w:r>
      <w:r w:rsidRPr="00147B9F">
        <w:t xml:space="preserve">the reduction of the nutrients concentration. The growth </w:t>
      </w:r>
      <w:r w:rsidRPr="00660CA5">
        <w:t>continued during the trial, demonstrating that</w:t>
      </w:r>
      <w:r>
        <w:t xml:space="preserve"> the selected</w:t>
      </w:r>
      <w:r w:rsidRPr="00660CA5">
        <w:t xml:space="preserve"> microalgae </w:t>
      </w:r>
      <w:r>
        <w:t>we</w:t>
      </w:r>
      <w:r w:rsidRPr="00660CA5">
        <w:t>re able to biologically fix CO</w:t>
      </w:r>
      <w:r w:rsidRPr="00660CA5">
        <w:rPr>
          <w:vertAlign w:val="subscript"/>
        </w:rPr>
        <w:t>2</w:t>
      </w:r>
      <w:r w:rsidRPr="00660CA5">
        <w:t xml:space="preserve"> by injection of pure </w:t>
      </w:r>
      <w:r w:rsidRPr="00680ECD">
        <w:rPr>
          <w:noProof/>
        </w:rPr>
        <w:t>CO</w:t>
      </w:r>
      <w:r w:rsidRPr="00680ECD">
        <w:rPr>
          <w:noProof/>
          <w:vertAlign w:val="subscript"/>
        </w:rPr>
        <w:t>2</w:t>
      </w:r>
      <w:r w:rsidRPr="00660CA5">
        <w:t xml:space="preserve"> like the CO</w:t>
      </w:r>
      <w:r w:rsidRPr="00660CA5">
        <w:rPr>
          <w:vertAlign w:val="subscript"/>
        </w:rPr>
        <w:t>2</w:t>
      </w:r>
      <w:r w:rsidRPr="00660CA5">
        <w:t xml:space="preserve"> captured and puri</w:t>
      </w:r>
      <w:r w:rsidR="0009797C">
        <w:t xml:space="preserve">fied in the SOFCOM project. </w:t>
      </w:r>
    </w:p>
    <w:p w14:paraId="1EACC726" w14:textId="6DFF2AA1" w:rsidR="004D2BD0" w:rsidRPr="00147B9F" w:rsidRDefault="004D2BD0" w:rsidP="004D2BD0">
      <w:pPr>
        <w:spacing w:after="0"/>
      </w:pPr>
      <w:r w:rsidRPr="00147B9F">
        <w:t>Since not all the injected CO</w:t>
      </w:r>
      <w:r w:rsidRPr="00147B9F">
        <w:rPr>
          <w:vertAlign w:val="subscript"/>
        </w:rPr>
        <w:t xml:space="preserve">2 </w:t>
      </w:r>
      <w:r w:rsidRPr="00680ECD">
        <w:rPr>
          <w:noProof/>
        </w:rPr>
        <w:t>was absorbed</w:t>
      </w:r>
      <w:r w:rsidRPr="00147B9F">
        <w:t xml:space="preserve"> by the microalgae</w:t>
      </w:r>
      <w:r>
        <w:t xml:space="preserve"> and the </w:t>
      </w:r>
      <w:proofErr w:type="spellStart"/>
      <w:r>
        <w:t>photobioreactor</w:t>
      </w:r>
      <w:proofErr w:type="spellEnd"/>
      <w:r>
        <w:t xml:space="preserve"> was run in batch mode</w:t>
      </w:r>
      <w:r w:rsidRPr="00147B9F">
        <w:t>, the CO</w:t>
      </w:r>
      <w:r w:rsidRPr="00147B9F">
        <w:rPr>
          <w:vertAlign w:val="subscript"/>
        </w:rPr>
        <w:t>2</w:t>
      </w:r>
      <w:r w:rsidRPr="00147B9F">
        <w:t xml:space="preserve"> concentration in the water </w:t>
      </w:r>
      <w:r w:rsidRPr="00680ECD">
        <w:rPr>
          <w:noProof/>
        </w:rPr>
        <w:t>was constantly increased</w:t>
      </w:r>
      <w:r w:rsidRPr="00147B9F">
        <w:t xml:space="preserve">. </w:t>
      </w:r>
      <w:r w:rsidRPr="00680ECD">
        <w:rPr>
          <w:noProof/>
        </w:rPr>
        <w:t>When 550 ppm CO</w:t>
      </w:r>
      <w:r w:rsidRPr="00680ECD">
        <w:rPr>
          <w:noProof/>
          <w:vertAlign w:val="subscript"/>
        </w:rPr>
        <w:t>2</w:t>
      </w:r>
      <w:r w:rsidRPr="00680ECD">
        <w:rPr>
          <w:noProof/>
        </w:rPr>
        <w:t xml:space="preserve"> were reached, growth inhibition was observed.</w:t>
      </w:r>
      <w:r w:rsidRPr="00147B9F">
        <w:t xml:space="preserve"> </w:t>
      </w:r>
      <w:r>
        <w:t xml:space="preserve">The injection of </w:t>
      </w:r>
      <w:r w:rsidRPr="00147B9F">
        <w:t>CO</w:t>
      </w:r>
      <w:r w:rsidRPr="00147B9F">
        <w:rPr>
          <w:vertAlign w:val="subscript"/>
        </w:rPr>
        <w:t>2</w:t>
      </w:r>
      <w:r w:rsidRPr="00147B9F">
        <w:t xml:space="preserve"> </w:t>
      </w:r>
      <w:r w:rsidRPr="00680ECD">
        <w:rPr>
          <w:noProof/>
        </w:rPr>
        <w:t>was stopped</w:t>
      </w:r>
      <w:r>
        <w:t xml:space="preserve"> when its </w:t>
      </w:r>
      <w:r w:rsidRPr="00147B9F">
        <w:t xml:space="preserve">concentration </w:t>
      </w:r>
      <w:r>
        <w:t>in water reached</w:t>
      </w:r>
      <w:r w:rsidRPr="00147B9F">
        <w:t xml:space="preserve"> 700 </w:t>
      </w:r>
      <w:r w:rsidRPr="00680ECD">
        <w:rPr>
          <w:noProof/>
        </w:rPr>
        <w:t>ppm</w:t>
      </w:r>
      <w:r w:rsidR="00680ECD">
        <w:rPr>
          <w:noProof/>
        </w:rPr>
        <w:t>. A</w:t>
      </w:r>
      <w:r w:rsidRPr="00680ECD">
        <w:rPr>
          <w:noProof/>
        </w:rPr>
        <w:t>fterwards</w:t>
      </w:r>
      <w:r>
        <w:t xml:space="preserve"> the CO</w:t>
      </w:r>
      <w:r w:rsidRPr="006A5D88">
        <w:rPr>
          <w:vertAlign w:val="subscript"/>
        </w:rPr>
        <w:t>2</w:t>
      </w:r>
      <w:r>
        <w:t xml:space="preserve"> concentration was reduced by desorption and release to the atmosphere. T</w:t>
      </w:r>
      <w:r w:rsidRPr="00147B9F">
        <w:t xml:space="preserve">he growth of the microalgae </w:t>
      </w:r>
      <w:r w:rsidRPr="00680ECD">
        <w:rPr>
          <w:noProof/>
        </w:rPr>
        <w:t>was recovered</w:t>
      </w:r>
      <w:r w:rsidRPr="00147B9F">
        <w:t xml:space="preserve"> when </w:t>
      </w:r>
      <w:r>
        <w:t>the CO</w:t>
      </w:r>
      <w:r w:rsidRPr="006A5D88">
        <w:rPr>
          <w:vertAlign w:val="subscript"/>
        </w:rPr>
        <w:t>2</w:t>
      </w:r>
      <w:r>
        <w:t xml:space="preserve"> concentration was </w:t>
      </w:r>
      <w:r w:rsidRPr="00660CA5">
        <w:t xml:space="preserve">below 200 ppm, as shown in </w:t>
      </w:r>
      <w:r w:rsidR="00680295">
        <w:fldChar w:fldCharType="begin"/>
      </w:r>
      <w:r w:rsidR="00680295">
        <w:instrText xml:space="preserve"> REF _Ref469580879 \h </w:instrText>
      </w:r>
      <w:r w:rsidR="00680295">
        <w:fldChar w:fldCharType="separate"/>
      </w:r>
      <w:r w:rsidR="00680295" w:rsidRPr="00680295">
        <w:t>Figure 11</w:t>
      </w:r>
      <w:r w:rsidR="00680295">
        <w:fldChar w:fldCharType="end"/>
      </w:r>
      <w:r w:rsidRPr="00CB5721">
        <w:t>.</w:t>
      </w:r>
      <w:r w:rsidRPr="00660CA5">
        <w:t xml:space="preserve"> </w:t>
      </w:r>
      <w:r>
        <w:t xml:space="preserve">The growth increased when </w:t>
      </w:r>
      <w:r w:rsidRPr="00660CA5">
        <w:t>the CO</w:t>
      </w:r>
      <w:r w:rsidRPr="00660CA5">
        <w:rPr>
          <w:vertAlign w:val="subscript"/>
        </w:rPr>
        <w:t>2</w:t>
      </w:r>
      <w:r>
        <w:t xml:space="preserve"> injection </w:t>
      </w:r>
      <w:r w:rsidRPr="00680ECD">
        <w:rPr>
          <w:noProof/>
        </w:rPr>
        <w:t>was restarted</w:t>
      </w:r>
      <w:r>
        <w:t xml:space="preserve"> and dose adjusted</w:t>
      </w:r>
      <w:r w:rsidRPr="00660CA5">
        <w:t xml:space="preserve"> to 32.4 ppm CO</w:t>
      </w:r>
      <w:r w:rsidRPr="00660CA5">
        <w:rPr>
          <w:vertAlign w:val="subscript"/>
        </w:rPr>
        <w:t>2</w:t>
      </w:r>
      <w:r w:rsidRPr="00660CA5">
        <w:t>/day (2 NL/h during 0.75 h/day)</w:t>
      </w:r>
      <w:r>
        <w:t xml:space="preserve"> to keep a constant CO</w:t>
      </w:r>
      <w:r w:rsidRPr="006A5D88">
        <w:rPr>
          <w:vertAlign w:val="subscript"/>
        </w:rPr>
        <w:t>2</w:t>
      </w:r>
      <w:r>
        <w:t xml:space="preserve"> concentration close to 100 ppm</w:t>
      </w:r>
      <w:r w:rsidRPr="00660CA5">
        <w:t xml:space="preserve">. Therefore, it can </w:t>
      </w:r>
      <w:r w:rsidRPr="00680ECD">
        <w:rPr>
          <w:noProof/>
        </w:rPr>
        <w:t>be concluded</w:t>
      </w:r>
      <w:r w:rsidRPr="00660CA5">
        <w:t xml:space="preserve"> that there is a threshold of maximum dissolved CO</w:t>
      </w:r>
      <w:r w:rsidRPr="00660CA5">
        <w:rPr>
          <w:vertAlign w:val="subscript"/>
        </w:rPr>
        <w:t>2</w:t>
      </w:r>
      <w:r w:rsidRPr="00660CA5">
        <w:t xml:space="preserve"> in water before microorganisms present growth inhibition. </w:t>
      </w:r>
    </w:p>
    <w:p w14:paraId="05F0D33B" w14:textId="77777777" w:rsidR="00680295" w:rsidRDefault="006922B2" w:rsidP="00680295">
      <w:pPr>
        <w:keepNext/>
        <w:jc w:val="center"/>
      </w:pPr>
      <w:r>
        <w:rPr>
          <w:noProof/>
          <w:lang w:val="it-IT" w:eastAsia="it-IT"/>
        </w:rPr>
        <w:lastRenderedPageBreak/>
        <w:drawing>
          <wp:inline distT="0" distB="0" distL="0" distR="0" wp14:anchorId="16CAD1DC" wp14:editId="24FD35F1">
            <wp:extent cx="5760000" cy="2807089"/>
            <wp:effectExtent l="0" t="0" r="0" b="0"/>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t="2204"/>
                    <a:stretch/>
                  </pic:blipFill>
                  <pic:spPr bwMode="auto">
                    <a:xfrm>
                      <a:off x="0" y="0"/>
                      <a:ext cx="5760000" cy="2807089"/>
                    </a:xfrm>
                    <a:prstGeom prst="rect">
                      <a:avLst/>
                    </a:prstGeom>
                    <a:ln>
                      <a:noFill/>
                    </a:ln>
                    <a:extLst>
                      <a:ext uri="{53640926-AAD7-44D8-BBD7-CCE9431645EC}">
                        <a14:shadowObscured xmlns:a14="http://schemas.microsoft.com/office/drawing/2010/main"/>
                      </a:ext>
                    </a:extLst>
                  </pic:spPr>
                </pic:pic>
              </a:graphicData>
            </a:graphic>
          </wp:inline>
        </w:drawing>
      </w:r>
    </w:p>
    <w:p w14:paraId="4CB5E508" w14:textId="53A8FBA9" w:rsidR="004D2BD0" w:rsidRPr="00680295" w:rsidRDefault="00680295" w:rsidP="00680295">
      <w:pPr>
        <w:pStyle w:val="Didascalia"/>
      </w:pPr>
      <w:bookmarkStart w:id="21" w:name="_Ref469580879"/>
      <w:r w:rsidRPr="00680295">
        <w:t xml:space="preserve">Figure </w:t>
      </w:r>
      <w:r w:rsidRPr="00680295">
        <w:fldChar w:fldCharType="begin"/>
      </w:r>
      <w:r w:rsidRPr="00680295">
        <w:instrText xml:space="preserve"> SEQ Figure \* ARABIC </w:instrText>
      </w:r>
      <w:r w:rsidRPr="00680295">
        <w:fldChar w:fldCharType="separate"/>
      </w:r>
      <w:r w:rsidR="008D619E">
        <w:rPr>
          <w:noProof/>
        </w:rPr>
        <w:t>11</w:t>
      </w:r>
      <w:r w:rsidRPr="00680295">
        <w:fldChar w:fldCharType="end"/>
      </w:r>
      <w:bookmarkEnd w:id="21"/>
      <w:r w:rsidR="004D2BD0" w:rsidRPr="00680295">
        <w:t>. Growth of microalgae versus concentration of CO</w:t>
      </w:r>
      <w:r w:rsidR="004D2BD0" w:rsidRPr="00680295">
        <w:rPr>
          <w:vertAlign w:val="subscript"/>
        </w:rPr>
        <w:t>2</w:t>
      </w:r>
      <w:r w:rsidR="004D2BD0" w:rsidRPr="00680295">
        <w:t xml:space="preserve"> dissolved in water</w:t>
      </w:r>
    </w:p>
    <w:p w14:paraId="297D710A" w14:textId="723A11B4" w:rsidR="00F839E2" w:rsidRDefault="004D2BD0">
      <w:pPr>
        <w:spacing w:after="0"/>
      </w:pPr>
      <w:r w:rsidRPr="00660CA5">
        <w:rPr>
          <w:rFonts w:cstheme="minorHAnsi"/>
        </w:rPr>
        <w:t>The influence of the purity and CO</w:t>
      </w:r>
      <w:r w:rsidRPr="00660CA5">
        <w:rPr>
          <w:rFonts w:cstheme="minorHAnsi"/>
          <w:vertAlign w:val="subscript"/>
        </w:rPr>
        <w:t>2</w:t>
      </w:r>
      <w:r w:rsidRPr="00660CA5">
        <w:rPr>
          <w:rFonts w:cstheme="minorHAnsi"/>
        </w:rPr>
        <w:t xml:space="preserve"> concentration </w:t>
      </w:r>
      <w:r>
        <w:rPr>
          <w:rFonts w:cstheme="minorHAnsi"/>
        </w:rPr>
        <w:t xml:space="preserve">of </w:t>
      </w:r>
      <w:r w:rsidRPr="00660CA5">
        <w:rPr>
          <w:rFonts w:cstheme="minorHAnsi"/>
        </w:rPr>
        <w:t xml:space="preserve">the feed gas </w:t>
      </w:r>
      <w:r w:rsidRPr="00680ECD">
        <w:rPr>
          <w:rFonts w:cstheme="minorHAnsi"/>
          <w:noProof/>
        </w:rPr>
        <w:t>is widely discussed</w:t>
      </w:r>
      <w:r w:rsidRPr="00660CA5">
        <w:rPr>
          <w:rFonts w:cstheme="minorHAnsi"/>
        </w:rPr>
        <w:t xml:space="preserve"> in</w:t>
      </w:r>
      <w:r w:rsidR="00680ECD">
        <w:rPr>
          <w:rFonts w:cstheme="minorHAnsi"/>
        </w:rPr>
        <w:t xml:space="preserve"> the</w:t>
      </w:r>
      <w:r w:rsidRPr="00660CA5">
        <w:rPr>
          <w:rFonts w:cstheme="minorHAnsi"/>
        </w:rPr>
        <w:t xml:space="preserve"> </w:t>
      </w:r>
      <w:r w:rsidRPr="00680ECD">
        <w:rPr>
          <w:rFonts w:cstheme="minorHAnsi"/>
          <w:noProof/>
        </w:rPr>
        <w:t>literature</w:t>
      </w:r>
      <w:r w:rsidRPr="00660CA5">
        <w:rPr>
          <w:rFonts w:cstheme="minorHAnsi"/>
        </w:rPr>
        <w:t>, where pure gas CO</w:t>
      </w:r>
      <w:r w:rsidRPr="00660CA5">
        <w:rPr>
          <w:rFonts w:cstheme="minorHAnsi"/>
          <w:vertAlign w:val="subscript"/>
        </w:rPr>
        <w:t xml:space="preserve">2 </w:t>
      </w:r>
      <w:r w:rsidRPr="00660CA5">
        <w:rPr>
          <w:rFonts w:cstheme="minorHAnsi"/>
        </w:rPr>
        <w:t>and</w:t>
      </w:r>
      <w:r w:rsidRPr="00660CA5">
        <w:rPr>
          <w:rFonts w:cstheme="minorHAnsi"/>
          <w:vertAlign w:val="subscript"/>
        </w:rPr>
        <w:t xml:space="preserve"> </w:t>
      </w:r>
      <w:r w:rsidRPr="00660CA5">
        <w:rPr>
          <w:rFonts w:cstheme="minorHAnsi"/>
        </w:rPr>
        <w:t>large concentrations of CO</w:t>
      </w:r>
      <w:r w:rsidRPr="00660CA5">
        <w:rPr>
          <w:rFonts w:cstheme="minorHAnsi"/>
          <w:vertAlign w:val="subscript"/>
        </w:rPr>
        <w:t>2</w:t>
      </w:r>
      <w:r w:rsidRPr="00660CA5">
        <w:rPr>
          <w:rFonts w:cstheme="minorHAnsi"/>
        </w:rPr>
        <w:t xml:space="preserve"> in water are described by most of the authors to inhibit or r</w:t>
      </w:r>
      <w:r w:rsidR="00304434">
        <w:rPr>
          <w:rFonts w:cstheme="minorHAnsi"/>
        </w:rPr>
        <w:t xml:space="preserve">educe the growth of the algae. </w:t>
      </w:r>
      <w:r w:rsidRPr="00680ECD">
        <w:rPr>
          <w:rFonts w:cstheme="minorHAnsi"/>
          <w:noProof/>
        </w:rPr>
        <w:t xml:space="preserve">Our study measured </w:t>
      </w:r>
      <w:r w:rsidRPr="00680ECD">
        <w:rPr>
          <w:noProof/>
        </w:rPr>
        <w:t>550 ppm CO</w:t>
      </w:r>
      <w:r w:rsidRPr="00680ECD">
        <w:rPr>
          <w:noProof/>
          <w:vertAlign w:val="subscript"/>
        </w:rPr>
        <w:t>2</w:t>
      </w:r>
      <w:r w:rsidRPr="00680ECD">
        <w:rPr>
          <w:noProof/>
        </w:rPr>
        <w:t xml:space="preserve"> in water for Nostoc algae as the threshold for the inhibition of growing</w:t>
      </w:r>
      <w:r w:rsidR="00024E76" w:rsidRPr="00680ECD">
        <w:rPr>
          <w:noProof/>
        </w:rPr>
        <w:t>,</w:t>
      </w:r>
      <w:r w:rsidRPr="00680ECD">
        <w:rPr>
          <w:noProof/>
        </w:rPr>
        <w:t xml:space="preserve"> while recommending doses around 100 ppm CO</w:t>
      </w:r>
      <w:r w:rsidRPr="00680ECD">
        <w:rPr>
          <w:noProof/>
          <w:vertAlign w:val="subscript"/>
        </w:rPr>
        <w:t xml:space="preserve">2 </w:t>
      </w:r>
      <w:r w:rsidRPr="00680ECD">
        <w:rPr>
          <w:noProof/>
        </w:rPr>
        <w:t>in agreement with Kumar</w:t>
      </w:r>
      <w:r w:rsidR="00F81CDA" w:rsidRPr="00680ECD">
        <w:rPr>
          <w:noProof/>
        </w:rPr>
        <w:t xml:space="preserve"> et al.</w:t>
      </w:r>
      <w:r w:rsidRPr="00680ECD">
        <w:rPr>
          <w:noProof/>
        </w:rPr>
        <w:t xml:space="preserve"> </w:t>
      </w:r>
      <w:r w:rsidR="005A1C74">
        <w:rPr>
          <w:noProof/>
        </w:rPr>
        <w:fldChar w:fldCharType="begin" w:fldLock="1"/>
      </w:r>
      <w:r w:rsidR="005A1C74">
        <w:rPr>
          <w:noProof/>
        </w:rPr>
        <w:instrText>ADDIN CSL_CITATION { "citationItems" : [ { "id" : "ITEM-1", "itemData" : { "DOI" : "10.1016/j.biortech.2011.01.054", "abstract" : "a b s t r a c t CO 2 sequestration by cyanobacteria and green algae are receiving increased attention in alleviating the impact of increasing CO 2 in the atmosphere. They, in addition to CO 2 capture, can produce renewable energy carriers such as carbon free energy hydrogen, bioethanol, biodiesel and other valuable biomole-cules. Biological fixation of CO 2 are greatly affected by the characteristics of the microbial strains, their tolerance to temperature and the CO 2 present in the flue gas including SO X , NO X . However, there are addi-tional factors like the availability of light, pH, O 2 removal, suitable design of the photobioreactor, culture density and the proper agitation of the reactor that will affect significantly the CO 2 sequestration process. Present paper deals with the photobioreactors of different geometry available for biomass production. It also focuses on the hybrid types of reactors (integrating two reactors) which can be used for overcoming the bottlenecks of a single photobioreactor.", "author" : [ { "dropping-particle" : "", "family" : "Kumar", "given" : "Kanhaiya", "non-dropping-particle" : "", "parse-names" : false, "suffix" : "" }, { "dropping-particle" : "", "family" : "Dasgupta", "given" : "Chitralekha Nag", "non-dropping-particle" : "", "parse-names" : false, "suffix" : "" }, { "dropping-particle" : "", "family" : "Nayak", "given" : "Bikram", "non-dropping-particle" : "", "parse-names" : false, "suffix" : "" }, { "dropping-particle" : "", "family" : "Lindblad", "given" : "Peter", "non-dropping-particle" : "", "parse-names" : false, "suffix" : "" }, { "dropping-particle" : "", "family" : "Das", "given" : "Debabrata", "non-dropping-particle" : "", "parse-names" : false, "suffix" : "" } ], "container-title" : "Bioresource Technology", "id" : "ITEM-1", "issued" : { "date-parts" : [ [ "2011" ] ] }, "page" : "4945-4953", "title" : "Development of suitable photobioreactors for CO2 sequestration addressing global warming using green algae and cyanobacteria", "type" : "article-journal", "volume" : "102" }, "uris" : [ "http://www.mendeley.com/documents/?uuid=3c458117-3404-30a2-9b82-45c2c7c3a77a" ] } ], "mendeley" : { "formattedCitation" : "[7]", "plainTextFormattedCitation" : "[7]", "previouslyFormattedCitation" : "[7]" }, "properties" : { "noteIndex" : 0 }, "schema" : "https://github.com/citation-style-language/schema/raw/master/csl-citation.json" }</w:instrText>
      </w:r>
      <w:r w:rsidR="005A1C74">
        <w:rPr>
          <w:noProof/>
        </w:rPr>
        <w:fldChar w:fldCharType="separate"/>
      </w:r>
      <w:r w:rsidR="005A1C74" w:rsidRPr="005A1C74">
        <w:rPr>
          <w:noProof/>
        </w:rPr>
        <w:t>[7]</w:t>
      </w:r>
      <w:r w:rsidR="005A1C74">
        <w:rPr>
          <w:noProof/>
        </w:rPr>
        <w:fldChar w:fldCharType="end"/>
      </w:r>
      <w:r w:rsidR="005A1C74">
        <w:rPr>
          <w:noProof/>
        </w:rPr>
        <w:t xml:space="preserve"> </w:t>
      </w:r>
      <w:r w:rsidRPr="00680ECD">
        <w:rPr>
          <w:noProof/>
        </w:rPr>
        <w:t xml:space="preserve">and Silva </w:t>
      </w:r>
      <w:r w:rsidR="00F81CDA" w:rsidRPr="00680ECD">
        <w:rPr>
          <w:noProof/>
        </w:rPr>
        <w:t xml:space="preserve">et al. </w:t>
      </w:r>
      <w:r w:rsidR="005A1C74">
        <w:rPr>
          <w:noProof/>
        </w:rPr>
        <w:fldChar w:fldCharType="begin" w:fldLock="1"/>
      </w:r>
      <w:r w:rsidR="005A1C74">
        <w:rPr>
          <w:noProof/>
        </w:rPr>
        <w:instrText>ADDIN CSL_CITATION { "citationItems" : [ { "id" : "ITEM-1", "itemData" : { "abstract" : "Chlorella cultures were grown in a tubular loop reactor which facilitated both irradiation of the culture and gas mixing compared with a conventional stirred vessel with vortex aeration. Mea-surements of the inhibition of maximum specific growth rate (proportional to photosynthetic rate) in the tubular reactor showed that C02 behaves as a typical inhibitory substrate at partial pressures (Pco,) up to 0.6 atm. The Pco, for 50% reduction in maximum specific growth rate was 0.36 atm. At 0 4 atm there was a discontinuity in the inhibitory effect with a sharp increase in the inhibitory effect at higher Pco, values. Cultures rapidly adjusted to step changes in the Pco, up to 0.6 atm. At a Pco2 of 1 atm inhibition was complete but the inhibitory effect was readily reversed.", "author" : [ { "dropping-particle" : "", "family" : "Silva", "given" : "Humberto J.", "non-dropping-particle" : "", "parse-names" : false, "suffix" : "" }, { "dropping-particle" : "", "family" : "Pirt", "given" : "John S.", "non-dropping-particle" : "", "parse-names" : false, "suffix" : "" } ], "container-title" : "Journal of General Microbiology", "id" : "ITEM-1", "issued" : { "date-parts" : [ [ "1984" ] ] }, "page" : "2833-2838", "title" : "Carbon Dioxide Inhibition of Photosynthetic Growth of Chlorella", "type" : "article-journal", "volume" : "130" }, "uris" : [ "http://www.mendeley.com/documents/?uuid=55fae570-08e2-3bb1-917e-fe8101d7d095" ] } ], "mendeley" : { "formattedCitation" : "[8]", "plainTextFormattedCitation" : "[8]", "previouslyFormattedCitation" : "[8]" }, "properties" : { "noteIndex" : 0 }, "schema" : "https://github.com/citation-style-language/schema/raw/master/csl-citation.json" }</w:instrText>
      </w:r>
      <w:r w:rsidR="005A1C74">
        <w:rPr>
          <w:noProof/>
        </w:rPr>
        <w:fldChar w:fldCharType="separate"/>
      </w:r>
      <w:r w:rsidR="005A1C74" w:rsidRPr="005A1C74">
        <w:rPr>
          <w:noProof/>
        </w:rPr>
        <w:t>[8]</w:t>
      </w:r>
      <w:r w:rsidR="005A1C74">
        <w:rPr>
          <w:noProof/>
        </w:rPr>
        <w:fldChar w:fldCharType="end"/>
      </w:r>
      <w:r w:rsidR="005A1C74">
        <w:rPr>
          <w:noProof/>
        </w:rPr>
        <w:t xml:space="preserve"> </w:t>
      </w:r>
      <w:r w:rsidRPr="00680ECD">
        <w:rPr>
          <w:noProof/>
        </w:rPr>
        <w:t>(92 and 104 ppm of CO</w:t>
      </w:r>
      <w:r w:rsidRPr="00680ECD">
        <w:rPr>
          <w:noProof/>
          <w:vertAlign w:val="subscript"/>
        </w:rPr>
        <w:t>2,</w:t>
      </w:r>
      <w:r w:rsidRPr="00680ECD">
        <w:rPr>
          <w:noProof/>
        </w:rPr>
        <w:t xml:space="preserve"> respectively) and below the results offered by Chiu</w:t>
      </w:r>
      <w:r w:rsidR="00F81CDA" w:rsidRPr="00680ECD">
        <w:rPr>
          <w:noProof/>
        </w:rPr>
        <w:t xml:space="preserve"> et al.</w:t>
      </w:r>
      <w:r w:rsidRPr="00680ECD">
        <w:rPr>
          <w:noProof/>
        </w:rPr>
        <w:t>, who proved continuous growth at levels of 575-705 ppm of dissolved CO</w:t>
      </w:r>
      <w:r w:rsidRPr="00680ECD">
        <w:rPr>
          <w:noProof/>
          <w:vertAlign w:val="subscript"/>
        </w:rPr>
        <w:t>2</w:t>
      </w:r>
      <w:r w:rsidR="005A1C74">
        <w:rPr>
          <w:noProof/>
          <w:vertAlign w:val="subscript"/>
        </w:rPr>
        <w:t xml:space="preserve"> </w:t>
      </w:r>
      <w:r w:rsidR="005A1C74">
        <w:rPr>
          <w:noProof/>
          <w:vertAlign w:val="subscript"/>
        </w:rPr>
        <w:fldChar w:fldCharType="begin" w:fldLock="1"/>
      </w:r>
      <w:r w:rsidR="005A1C74">
        <w:rPr>
          <w:noProof/>
          <w:vertAlign w:val="subscript"/>
        </w:rPr>
        <w:instrText>ADDIN CSL_CITATION { "citationItems" : [ { "id" : "ITEM-1", "itemData" : { "DOI" : "10.1016/j.biortech.2007.08.013", "abstract" : "The microalga incorporated photobioreactor is a highly efficient biological system for converting CO 2 into biomass. Using microalgal photobioreactor as CO 2 mitigation system is a practical approach for elimination of waste gas from the CO 2 emission. In this study, the marine microalga Chlorella sp. was cultured in a photobioreactor to assess biomass, lipid productivity and CO 2 reduction. We also deter-mined the effects of cell density and CO 2 concentration on the growth of Chlorella sp. During an 8-day interval cultures in the semicon-tinuous cultivation, the specific growth rate and biomass of Chlorella sp. cultures in the conditions aerated 2\u201315% CO 2 were 0.58\u20130.66 d \u00c01 and 0.76\u20130.87 g L \u00c01 , respectively. At CO 2 concentrations of 2%, 5%, 10% and 15%, the rate of CO 2 reduction was 0.261, 0.316, 0.466 and 0.573 g h \u00c01 , and efficiency of CO 2 removal was 58%, 27%, 20% and 16%, respectively. The efficiency of CO 2 removal was similar in the single photobioreactor and in the six-parallel photobioreactor. However, CO 2 reduction, production of biomass, and production of lipid were six times greater in the six-parallel photobioreactor than those in the single photobioreactor. In conclusion, inhibition of microalgal growth cultured in the system with high CO 2 (10\u201315%) aeration could be overcome via a high-density culture of microalgal inoculum that was adapted to 2% CO 2 . Moreover, biological reduction of CO 2 in the established system could be parallely increased using the photobioreactor consisting of multiple units.", "author" : [ { "dropping-particle" : "", "family" : "Chiu", "given" : "Sheng-Yi", "non-dropping-particle" : "", "parse-names" : false, "suffix" : "" }, { "dropping-particle" : "", "family" : "Kao", "given" : "Chien-Ya", "non-dropping-particle" : "", "parse-names" : false, "suffix" : "" }, { "dropping-particle" : "", "family" : "Chen", "given" : "Chiun-Hsun", "non-dropping-particle" : "", "parse-names" : false, "suffix" : "" }, { "dropping-particle" : "", "family" : "Kuan", "given" : "Tang-Ching", "non-dropping-particle" : "", "parse-names" : false, "suffix" : "" }, { "dropping-particle" : "", "family" : "Ong", "given" : "Seow-Chin", "non-dropping-particle" : "", "parse-names" : false, "suffix" : "" }, { "dropping-particle" : "", "family" : "Lin", "given" : "Chih-Sheng", "non-dropping-particle" : "", "parse-names" : false, "suffix" : "" } ], "container-title" : "Bioresource Technology", "id" : "ITEM-1", "issued" : { "date-parts" : [ [ "2008" ] ] }, "page" : "3389-3396", "title" : "Reduction of CO2 by a high-density culture of Chlorella sp. in a semicontinuous photobioreactor", "type" : "article-journal", "volume" : "99" }, "uris" : [ "http://www.mendeley.com/documents/?uuid=53f70409-19e9-3493-ae01-8e897abb1d05" ] } ], "mendeley" : { "formattedCitation" : "[9]", "plainTextFormattedCitation" : "[9]", "previouslyFormattedCitation" : "[9]" }, "properties" : { "noteIndex" : 0 }, "schema" : "https://github.com/citation-style-language/schema/raw/master/csl-citation.json" }</w:instrText>
      </w:r>
      <w:r w:rsidR="005A1C74">
        <w:rPr>
          <w:noProof/>
          <w:vertAlign w:val="subscript"/>
        </w:rPr>
        <w:fldChar w:fldCharType="separate"/>
      </w:r>
      <w:r w:rsidR="005A1C74" w:rsidRPr="005A1C74">
        <w:rPr>
          <w:noProof/>
        </w:rPr>
        <w:t>[9]</w:t>
      </w:r>
      <w:r w:rsidR="005A1C74">
        <w:rPr>
          <w:noProof/>
          <w:vertAlign w:val="subscript"/>
        </w:rPr>
        <w:fldChar w:fldCharType="end"/>
      </w:r>
      <w:r w:rsidRPr="00680ECD">
        <w:rPr>
          <w:noProof/>
        </w:rPr>
        <w:t>.</w:t>
      </w:r>
      <w:r w:rsidRPr="001F67B0">
        <w:t xml:space="preserve"> In this </w:t>
      </w:r>
      <w:r w:rsidRPr="00680ECD">
        <w:rPr>
          <w:noProof/>
        </w:rPr>
        <w:t>range</w:t>
      </w:r>
      <w:r w:rsidR="00680ECD">
        <w:rPr>
          <w:noProof/>
        </w:rPr>
        <w:t>,</w:t>
      </w:r>
      <w:r w:rsidRPr="001F67B0">
        <w:t xml:space="preserve"> no relationship</w:t>
      </w:r>
      <w:r>
        <w:t xml:space="preserve"> between pH and CO</w:t>
      </w:r>
      <w:r w:rsidRPr="00FA6BCD">
        <w:rPr>
          <w:vertAlign w:val="subscript"/>
        </w:rPr>
        <w:t>2</w:t>
      </w:r>
      <w:r>
        <w:t xml:space="preserve"> concentration was </w:t>
      </w:r>
      <w:r w:rsidRPr="00680ECD">
        <w:rPr>
          <w:noProof/>
        </w:rPr>
        <w:t>observed</w:t>
      </w:r>
      <w:r w:rsidR="00680ECD">
        <w:rPr>
          <w:noProof/>
        </w:rPr>
        <w:t>,</w:t>
      </w:r>
      <w:r>
        <w:t xml:space="preserve"> and pH could not </w:t>
      </w:r>
      <w:r w:rsidRPr="00680ECD">
        <w:rPr>
          <w:noProof/>
        </w:rPr>
        <w:t>be used</w:t>
      </w:r>
      <w:r>
        <w:t xml:space="preserve"> as an indirect measure of the CO</w:t>
      </w:r>
      <w:r w:rsidRPr="00FA6BCD">
        <w:rPr>
          <w:vertAlign w:val="subscript"/>
        </w:rPr>
        <w:t>2</w:t>
      </w:r>
      <w:r>
        <w:t xml:space="preserve"> concentration.</w:t>
      </w:r>
    </w:p>
    <w:p w14:paraId="1D9B55B2" w14:textId="77777777" w:rsidR="00024E76" w:rsidRPr="006A5D88" w:rsidRDefault="00024E76">
      <w:pPr>
        <w:spacing w:after="0"/>
      </w:pPr>
    </w:p>
    <w:p w14:paraId="7CAD942D" w14:textId="1DF4195A" w:rsidR="004D2BD0" w:rsidRPr="00147B9F" w:rsidRDefault="004D2BD0" w:rsidP="004D2BD0">
      <w:pPr>
        <w:spacing w:after="0"/>
      </w:pPr>
      <w:r w:rsidRPr="00147B9F">
        <w:rPr>
          <w:rFonts w:cstheme="minorHAnsi"/>
        </w:rPr>
        <w:t>The</w:t>
      </w:r>
      <w:r w:rsidRPr="00660CA5">
        <w:rPr>
          <w:rFonts w:cstheme="minorHAnsi"/>
        </w:rPr>
        <w:t xml:space="preserve"> temperature of the </w:t>
      </w:r>
      <w:proofErr w:type="spellStart"/>
      <w:r w:rsidRPr="00660CA5">
        <w:rPr>
          <w:rFonts w:cstheme="minorHAnsi"/>
        </w:rPr>
        <w:t>photobioreactor</w:t>
      </w:r>
      <w:proofErr w:type="spellEnd"/>
      <w:r w:rsidRPr="00660CA5">
        <w:rPr>
          <w:rFonts w:cstheme="minorHAnsi"/>
        </w:rPr>
        <w:t xml:space="preserve"> was not controlled in the previous experiments and oscillated between 33 and 37</w:t>
      </w:r>
      <w:r w:rsidR="00CB5721">
        <w:rPr>
          <w:rFonts w:cstheme="minorHAnsi"/>
        </w:rPr>
        <w:t>°</w:t>
      </w:r>
      <w:r w:rsidRPr="00660CA5">
        <w:rPr>
          <w:rFonts w:cstheme="minorHAnsi"/>
        </w:rPr>
        <w:t>C.</w:t>
      </w:r>
      <w:r>
        <w:rPr>
          <w:rFonts w:cstheme="minorHAnsi"/>
        </w:rPr>
        <w:t xml:space="preserve"> In this range, </w:t>
      </w:r>
      <w:r w:rsidRPr="00660CA5">
        <w:rPr>
          <w:rFonts w:cstheme="minorHAnsi"/>
        </w:rPr>
        <w:t xml:space="preserve">successful growth of the microalgae </w:t>
      </w:r>
      <w:r w:rsidRPr="00680ECD">
        <w:rPr>
          <w:rFonts w:cstheme="minorHAnsi"/>
          <w:noProof/>
        </w:rPr>
        <w:t>was obtained</w:t>
      </w:r>
      <w:r w:rsidRPr="00660CA5">
        <w:rPr>
          <w:rFonts w:cstheme="minorHAnsi"/>
        </w:rPr>
        <w:t xml:space="preserve"> for weeks. </w:t>
      </w:r>
      <w:r>
        <w:rPr>
          <w:rFonts w:cstheme="minorHAnsi"/>
        </w:rPr>
        <w:t xml:space="preserve">Higher temperatures (above </w:t>
      </w:r>
      <w:r w:rsidRPr="00660CA5">
        <w:rPr>
          <w:rFonts w:cstheme="minorHAnsi"/>
        </w:rPr>
        <w:t>39</w:t>
      </w:r>
      <w:r w:rsidR="00CB5721">
        <w:rPr>
          <w:rFonts w:cstheme="minorHAnsi"/>
        </w:rPr>
        <w:t>°</w:t>
      </w:r>
      <w:r w:rsidRPr="00660CA5">
        <w:rPr>
          <w:rFonts w:cstheme="minorHAnsi"/>
        </w:rPr>
        <w:t>C</w:t>
      </w:r>
      <w:r>
        <w:rPr>
          <w:rFonts w:cstheme="minorHAnsi"/>
        </w:rPr>
        <w:t xml:space="preserve">) turned </w:t>
      </w:r>
      <w:r w:rsidRPr="00660CA5">
        <w:rPr>
          <w:rFonts w:cstheme="minorHAnsi"/>
        </w:rPr>
        <w:t xml:space="preserve">the </w:t>
      </w:r>
      <w:r w:rsidRPr="00680ECD">
        <w:rPr>
          <w:rFonts w:cstheme="minorHAnsi"/>
          <w:noProof/>
        </w:rPr>
        <w:t>color</w:t>
      </w:r>
      <w:r w:rsidRPr="00660CA5">
        <w:rPr>
          <w:rFonts w:cstheme="minorHAnsi"/>
        </w:rPr>
        <w:t xml:space="preserve"> of the microalgae from green to </w:t>
      </w:r>
      <w:r w:rsidRPr="00680ECD">
        <w:rPr>
          <w:rFonts w:cstheme="minorHAnsi"/>
          <w:noProof/>
        </w:rPr>
        <w:t>yellow</w:t>
      </w:r>
      <w:r w:rsidR="00680ECD">
        <w:rPr>
          <w:rFonts w:cstheme="minorHAnsi"/>
          <w:noProof/>
        </w:rPr>
        <w:t>,</w:t>
      </w:r>
      <w:r w:rsidRPr="00660CA5">
        <w:rPr>
          <w:rFonts w:cstheme="minorHAnsi"/>
        </w:rPr>
        <w:t xml:space="preserve"> and the</w:t>
      </w:r>
      <w:r w:rsidR="00024E76">
        <w:rPr>
          <w:rFonts w:cstheme="minorHAnsi"/>
        </w:rPr>
        <w:t>y</w:t>
      </w:r>
      <w:r w:rsidRPr="00660CA5">
        <w:rPr>
          <w:rFonts w:cstheme="minorHAnsi"/>
        </w:rPr>
        <w:t xml:space="preserve"> became smelly</w:t>
      </w:r>
      <w:r>
        <w:rPr>
          <w:rFonts w:cstheme="minorHAnsi"/>
        </w:rPr>
        <w:t xml:space="preserve">, indicating the death </w:t>
      </w:r>
      <w:r w:rsidRPr="00660CA5">
        <w:rPr>
          <w:rFonts w:cstheme="minorHAnsi"/>
        </w:rPr>
        <w:t>of the mi</w:t>
      </w:r>
      <w:r>
        <w:rPr>
          <w:rFonts w:cstheme="minorHAnsi"/>
        </w:rPr>
        <w:t xml:space="preserve">croalgae population. Additional indicators </w:t>
      </w:r>
      <w:r w:rsidRPr="00660CA5">
        <w:rPr>
          <w:rFonts w:cstheme="minorHAnsi"/>
        </w:rPr>
        <w:t>were</w:t>
      </w:r>
      <w:r>
        <w:rPr>
          <w:rFonts w:cstheme="minorHAnsi"/>
        </w:rPr>
        <w:t>:</w:t>
      </w:r>
      <w:r w:rsidRPr="00147B9F">
        <w:rPr>
          <w:rFonts w:cstheme="minorHAnsi"/>
        </w:rPr>
        <w:t xml:space="preserve"> the increase</w:t>
      </w:r>
      <w:r w:rsidRPr="00147B9F">
        <w:t xml:space="preserve"> of dissolved phosphorous in the water</w:t>
      </w:r>
      <w:r>
        <w:t xml:space="preserve"> and the</w:t>
      </w:r>
      <w:r w:rsidRPr="00147B9F">
        <w:t xml:space="preserve"> </w:t>
      </w:r>
      <w:r w:rsidRPr="00660CA5">
        <w:t>decrease of dissolved oxygen in</w:t>
      </w:r>
      <w:r w:rsidR="00680ECD">
        <w:t xml:space="preserve"> the</w:t>
      </w:r>
      <w:r w:rsidRPr="00660CA5">
        <w:t xml:space="preserve"> </w:t>
      </w:r>
      <w:r w:rsidRPr="00680ECD">
        <w:rPr>
          <w:noProof/>
        </w:rPr>
        <w:t>water</w:t>
      </w:r>
      <w:r w:rsidRPr="00660CA5">
        <w:t>.</w:t>
      </w:r>
      <w:r>
        <w:t xml:space="preserve"> </w:t>
      </w:r>
      <w:r w:rsidRPr="00660CA5">
        <w:t xml:space="preserve">To confirm the influence of temperature on the growth of </w:t>
      </w:r>
      <w:proofErr w:type="spellStart"/>
      <w:r w:rsidRPr="00660CA5">
        <w:t>Nostoc</w:t>
      </w:r>
      <w:proofErr w:type="spellEnd"/>
      <w:r w:rsidRPr="00660CA5">
        <w:t xml:space="preserve"> microalgae, a healthy crop from the lab scale </w:t>
      </w:r>
      <w:r w:rsidR="00024E76">
        <w:t xml:space="preserve">PBR </w:t>
      </w:r>
      <w:r w:rsidRPr="00660CA5">
        <w:t>was exposed to 40</w:t>
      </w:r>
      <w:r w:rsidR="00CB5721">
        <w:t>°</w:t>
      </w:r>
      <w:r w:rsidRPr="00660CA5">
        <w:t>C. After few hours, the initially green microalgae became yellow as in the bench scale</w:t>
      </w:r>
      <w:r w:rsidR="00024E76">
        <w:t xml:space="preserve"> PBR</w:t>
      </w:r>
      <w:r w:rsidRPr="00660CA5">
        <w:t>,</w:t>
      </w:r>
      <w:r>
        <w:t xml:space="preserve"> the population could not </w:t>
      </w:r>
      <w:r w:rsidRPr="00680ECD">
        <w:rPr>
          <w:noProof/>
        </w:rPr>
        <w:t>be recovered</w:t>
      </w:r>
      <w:r>
        <w:t xml:space="preserve"> after cooling </w:t>
      </w:r>
      <w:r w:rsidRPr="00660CA5">
        <w:t>the crop to</w:t>
      </w:r>
      <w:r>
        <w:t xml:space="preserve"> 25</w:t>
      </w:r>
      <w:r w:rsidR="00CB5721">
        <w:t>°</w:t>
      </w:r>
      <w:r>
        <w:t>C</w:t>
      </w:r>
      <w:r w:rsidR="0009797C">
        <w:t xml:space="preserve">. </w:t>
      </w:r>
      <w:r w:rsidRPr="00660CA5">
        <w:t xml:space="preserve">After </w:t>
      </w:r>
      <w:r>
        <w:t>one</w:t>
      </w:r>
      <w:r w:rsidRPr="00660CA5">
        <w:t xml:space="preserve"> week, </w:t>
      </w:r>
      <w:r>
        <w:t xml:space="preserve">no growing of the algae was observed, </w:t>
      </w:r>
      <w:r w:rsidR="00024E76">
        <w:t xml:space="preserve">leading to the conclusion that </w:t>
      </w:r>
      <w:proofErr w:type="spellStart"/>
      <w:r w:rsidRPr="00660CA5">
        <w:t>Nostoc</w:t>
      </w:r>
      <w:proofErr w:type="spellEnd"/>
      <w:r w:rsidRPr="00660CA5">
        <w:t xml:space="preserve"> microalgae grow </w:t>
      </w:r>
      <w:r>
        <w:t xml:space="preserve">at </w:t>
      </w:r>
      <w:r w:rsidRPr="00660CA5">
        <w:t>temperature</w:t>
      </w:r>
      <w:r>
        <w:t>s</w:t>
      </w:r>
      <w:r w:rsidRPr="00660CA5">
        <w:t xml:space="preserve"> </w:t>
      </w:r>
      <w:r>
        <w:t>lower than 38</w:t>
      </w:r>
      <w:r w:rsidR="00CB5721">
        <w:t>°</w:t>
      </w:r>
      <w:r w:rsidRPr="00660CA5">
        <w:t>C</w:t>
      </w:r>
      <w:r>
        <w:t>,</w:t>
      </w:r>
      <w:r w:rsidRPr="00660CA5">
        <w:t xml:space="preserve"> but </w:t>
      </w:r>
      <w:r>
        <w:t xml:space="preserve">they quickly die at </w:t>
      </w:r>
      <w:r w:rsidRPr="00660CA5">
        <w:t xml:space="preserve">higher </w:t>
      </w:r>
      <w:r>
        <w:t xml:space="preserve">temperature </w:t>
      </w:r>
      <w:r w:rsidRPr="00660CA5">
        <w:t>values</w:t>
      </w:r>
      <w:r w:rsidRPr="00147B9F">
        <w:t>. These results are in agreement with</w:t>
      </w:r>
      <w:r w:rsidR="00680ECD">
        <w:t xml:space="preserve"> the</w:t>
      </w:r>
      <w:r w:rsidRPr="00147B9F">
        <w:t xml:space="preserve"> </w:t>
      </w:r>
      <w:r w:rsidRPr="00680ECD">
        <w:rPr>
          <w:noProof/>
        </w:rPr>
        <w:t>literature</w:t>
      </w:r>
      <w:r w:rsidRPr="00147B9F">
        <w:t xml:space="preserve">, where </w:t>
      </w:r>
      <w:r w:rsidRPr="00660CA5">
        <w:t xml:space="preserve">the optimum </w:t>
      </w:r>
      <w:r w:rsidRPr="001F67B0">
        <w:t>growth range is claimed to be 25-35</w:t>
      </w:r>
      <w:r w:rsidR="00CB5721" w:rsidRPr="001F67B0">
        <w:t>°</w:t>
      </w:r>
      <w:r w:rsidR="00680295">
        <w:t>C</w:t>
      </w:r>
      <w:r w:rsidR="005A1C74">
        <w:t xml:space="preserve"> </w:t>
      </w:r>
      <w:r w:rsidR="005A1C74">
        <w:fldChar w:fldCharType="begin" w:fldLock="1"/>
      </w:r>
      <w:r w:rsidR="005A1C74">
        <w:instrText>ADDIN CSL_CITATION { "citationItems" : [ { "id" : "ITEM-1", "itemData" : { "DOI" : "10.1016/j.biortech.2010.06.158", "abstract" : "a b s t r a c t While research and development of algal biofuels are currently receiving much interest and funding, they are still not commercially viable at today's fossil fuel prices. However, a niche opportunity may exist where algae are grown as a by-product of high rate algal ponds (HRAPs) operated for wastewater treat-ment. In addition to significantly better economics, algal biofuel production from wastewater treatment HRAPs has a much smaller environmental footprint compared to commercial algal production HRAPs which consume freshwater and fertilisers. In this paper the critical parameters that limit algal cultivation, production and harvest are reviewed and practical options that may enhance the net harvestable algal production from wastewater treatment HRAPs including CO 2 addition, species control, control of grazers and parasites and bioflocculation are discussed.", "author" : [ { "dropping-particle" : "", "family" : "Park", "given" : "J B K", "non-dropping-particle" : "", "parse-names" : false, "suffix" : "" }, { "dropping-particle" : "", "family" : "Craggs", "given" : "R J", "non-dropping-particle" : "", "parse-names" : false, "suffix" : "" }, { "dropping-particle" : "", "family" : "Shilton", "given" : "A N", "non-dropping-particle" : "", "parse-names" : false, "suffix" : "" } ], "container-title" : "Bioresource Technology", "id" : "ITEM-1", "issued" : { "date-parts" : [ [ "2011" ] ] }, "page" : "35-42", "title" : "Wastewater treatment high rate algal ponds for biofuel production", "type" : "article-journal", "volume" : "102" }, "uris" : [ "http://www.mendeley.com/documents/?uuid=447333b5-1f03-3804-abd1-a48c43f85faf" ] }, { "id" : "ITEM-2", "itemData" : { "URL" : "http://ohioline.osu.edu/factsheet/AEX-651-11", "abstract" : "ALGAE FOR BIOFUELS\r\nYebo Li, Assistant Professor and Extension Engineer\r\nCaixia Wan, Graduate Student\r\nDepartment of Food, Agricultural and Biological Engineering\r\nThe Ohio State University/Ohio Agricultural Research and Development Center (OARDC)\r\nAlgae are simple, plant-like organisms but do not have roots, stems, and leaves. There are almost 300,000 alga species distributed throughout the world in seawater, freshwater, and wastewater. Algae are typically photosynthetic, namely fixing CO\u2082 in the presence of sunlight to manufacture their own food, but some are heterotrophic with no requirement of light, assimilating organic compounds such as glucose and acetic acid as carbon sources. Most of the current research and development efforts have focused on microalgae due to their high growth rate and oil content.\r\n\r\nAlgae contain oils, sugars, and functional bioactive compounds that can be used for commercial products. Recently, special attention has been given to cultivation of microalgae as an \"energy\" crop with the aim of replacing traditional oil crops for biodiesel and bio-oil production.\r\n\r\nOil-rich microalgae species are the most productive fuel crops, providing 10\u2013100 times higher biomass and oil yield than land oil crops (Table 1). For example, algae with 50% lipid content and a dry biomass productivity of 50 g/m\u00b2/day can potentially produce 10,000 gallons oil/acre/year (Pienkos, 2007). By comparison, soybeans only produce 48 gallons oil/acre/year. Algae can be cultivated under different climatic conditions and harvested year-round, but do not compete with arable land for food and feed production.\r\n\r\nMicroalgae also have many potential environmental benefits, including greenhouse gas mitigation by fixing CO\u2082 in the atmosphere, i.e., photosynthesis of CO\u2082 to fuel by sunlight, and bioremediation of wastewater by efficiently removing nutrients (e.g., nitrogen, phosphorous) and heavy metals.", "accessed" : { "date-parts" : [ [ "2016", "12", "29" ] ] }, "author" : [ { "dropping-particle" : "", "family" : "Li", "given" : "Yebo", "non-dropping-particle" : "", "parse-names" : false, "suffix" : "" }, { "dropping-particle" : "", "family" : "Wan", "given" : "Caixia", "non-dropping-particle" : "", "parse-names" : false, "suffix" : "" } ], "container-title" : "AEX-651 Agriculture and Natural Resources", "id" : "ITEM-2", "issued" : { "date-parts" : [ [ "2011" ] ] }, "title" : "Algae for Biofuels - The Ohio State University", "type" : "webpage" }, "uris" : [ "http://www.mendeley.com/documents/?uuid=4ad42bc8-d553-33f1-9095-7362ab1f5c9d" ] } ], "mendeley" : { "formattedCitation" : "[10,11]", "plainTextFormattedCitation" : "[10,11]", "previouslyFormattedCitation" : "[10,11]" }, "properties" : { "noteIndex" : 0 }, "schema" : "https://github.com/citation-style-language/schema/raw/master/csl-citation.json" }</w:instrText>
      </w:r>
      <w:r w:rsidR="005A1C74">
        <w:fldChar w:fldCharType="separate"/>
      </w:r>
      <w:r w:rsidR="005A1C74" w:rsidRPr="005A1C74">
        <w:rPr>
          <w:noProof/>
        </w:rPr>
        <w:t>[10,11]</w:t>
      </w:r>
      <w:r w:rsidR="005A1C74">
        <w:fldChar w:fldCharType="end"/>
      </w:r>
      <w:r w:rsidRPr="001F67B0">
        <w:t>.</w:t>
      </w:r>
      <w:r w:rsidRPr="00660CA5">
        <w:t xml:space="preserve"> </w:t>
      </w:r>
    </w:p>
    <w:p w14:paraId="2A1A6F98" w14:textId="0E64212B" w:rsidR="004D2BD0" w:rsidRDefault="004D2BD0" w:rsidP="004D2BD0">
      <w:pPr>
        <w:tabs>
          <w:tab w:val="left" w:pos="1710"/>
        </w:tabs>
        <w:spacing w:after="0"/>
      </w:pPr>
      <w:r w:rsidRPr="00660CA5">
        <w:rPr>
          <w:rFonts w:cstheme="minorHAnsi"/>
        </w:rPr>
        <w:t>A tubular heat exchan</w:t>
      </w:r>
      <w:r>
        <w:rPr>
          <w:rFonts w:cstheme="minorHAnsi"/>
        </w:rPr>
        <w:t xml:space="preserve">ger was proposed as </w:t>
      </w:r>
      <w:r w:rsidR="00024E76">
        <w:rPr>
          <w:rFonts w:cstheme="minorHAnsi"/>
        </w:rPr>
        <w:t xml:space="preserve">a </w:t>
      </w:r>
      <w:r>
        <w:rPr>
          <w:rFonts w:cstheme="minorHAnsi"/>
        </w:rPr>
        <w:t>solution to remove the excess heat in the bench scale</w:t>
      </w:r>
      <w:r w:rsidR="00024E76">
        <w:rPr>
          <w:rFonts w:cstheme="minorHAnsi"/>
        </w:rPr>
        <w:t xml:space="preserve"> PBR</w:t>
      </w:r>
      <w:r>
        <w:rPr>
          <w:rFonts w:cstheme="minorHAnsi"/>
        </w:rPr>
        <w:t xml:space="preserve">. </w:t>
      </w:r>
      <w:r w:rsidRPr="00660CA5">
        <w:rPr>
          <w:rFonts w:cstheme="minorHAnsi"/>
        </w:rPr>
        <w:t>As dissolved copper, nickel and chromium are described in</w:t>
      </w:r>
      <w:r w:rsidR="00680ECD">
        <w:rPr>
          <w:rFonts w:cstheme="minorHAnsi"/>
        </w:rPr>
        <w:t xml:space="preserve"> the</w:t>
      </w:r>
      <w:r w:rsidRPr="00660CA5">
        <w:rPr>
          <w:rFonts w:cstheme="minorHAnsi"/>
        </w:rPr>
        <w:t xml:space="preserve"> </w:t>
      </w:r>
      <w:r w:rsidRPr="00680ECD">
        <w:rPr>
          <w:rFonts w:cstheme="minorHAnsi"/>
          <w:noProof/>
        </w:rPr>
        <w:t>literature</w:t>
      </w:r>
      <w:r>
        <w:rPr>
          <w:rFonts w:cstheme="minorHAnsi"/>
        </w:rPr>
        <w:t xml:space="preserve"> to be algaecides above a </w:t>
      </w:r>
      <w:r w:rsidRPr="00660CA5">
        <w:rPr>
          <w:rFonts w:cstheme="minorHAnsi"/>
        </w:rPr>
        <w:t xml:space="preserve">specific concentration, the influence of several metals over the </w:t>
      </w:r>
      <w:r w:rsidR="007D6F27" w:rsidRPr="00660CA5">
        <w:rPr>
          <w:rFonts w:cstheme="minorHAnsi"/>
        </w:rPr>
        <w:t>microalgae</w:t>
      </w:r>
      <w:r w:rsidRPr="00660CA5">
        <w:rPr>
          <w:rFonts w:cstheme="minorHAnsi"/>
        </w:rPr>
        <w:t xml:space="preserve"> growth </w:t>
      </w:r>
      <w:r w:rsidRPr="00680ECD">
        <w:rPr>
          <w:rFonts w:cstheme="minorHAnsi"/>
          <w:noProof/>
        </w:rPr>
        <w:t>was evaluated</w:t>
      </w:r>
      <w:r w:rsidRPr="00660CA5">
        <w:rPr>
          <w:rFonts w:cstheme="minorHAnsi"/>
        </w:rPr>
        <w:t xml:space="preserve">. Metallic copper and stainless steel (304 and 316 types) pieces </w:t>
      </w:r>
      <w:r w:rsidRPr="00680ECD">
        <w:rPr>
          <w:rFonts w:cstheme="minorHAnsi"/>
          <w:noProof/>
        </w:rPr>
        <w:t>were introduced</w:t>
      </w:r>
      <w:r>
        <w:rPr>
          <w:rFonts w:cstheme="minorHAnsi"/>
        </w:rPr>
        <w:t xml:space="preserve"> to three different crops. </w:t>
      </w:r>
      <w:r w:rsidRPr="00660CA5">
        <w:rPr>
          <w:rFonts w:cstheme="minorHAnsi"/>
        </w:rPr>
        <w:t xml:space="preserve">An inhibition of the </w:t>
      </w:r>
      <w:r w:rsidRPr="00660CA5">
        <w:rPr>
          <w:rFonts w:cstheme="minorHAnsi"/>
        </w:rPr>
        <w:lastRenderedPageBreak/>
        <w:t>growth</w:t>
      </w:r>
      <w:r>
        <w:rPr>
          <w:rFonts w:cstheme="minorHAnsi"/>
        </w:rPr>
        <w:t xml:space="preserve"> and the death of the microalgae </w:t>
      </w:r>
      <w:r w:rsidRPr="00680ECD">
        <w:rPr>
          <w:rFonts w:cstheme="minorHAnsi"/>
          <w:noProof/>
        </w:rPr>
        <w:t>were quickly observed</w:t>
      </w:r>
      <w:r w:rsidRPr="00660CA5">
        <w:rPr>
          <w:rFonts w:cstheme="minorHAnsi"/>
        </w:rPr>
        <w:t xml:space="preserve"> in the reactor in contact with metallic copper at pH 7 </w:t>
      </w:r>
      <w:r>
        <w:rPr>
          <w:rFonts w:cstheme="minorHAnsi"/>
        </w:rPr>
        <w:t>(</w:t>
      </w:r>
      <w:r w:rsidRPr="00660CA5">
        <w:rPr>
          <w:rFonts w:cstheme="minorHAnsi"/>
        </w:rPr>
        <w:t>17%</w:t>
      </w:r>
      <w:r>
        <w:rPr>
          <w:rFonts w:cstheme="minorHAnsi"/>
        </w:rPr>
        <w:t xml:space="preserve"> reduction of the turbidity)</w:t>
      </w:r>
      <w:r w:rsidRPr="00660CA5">
        <w:rPr>
          <w:rFonts w:cstheme="minorHAnsi"/>
        </w:rPr>
        <w:t xml:space="preserve">, </w:t>
      </w:r>
      <w:r w:rsidRPr="00680ECD">
        <w:rPr>
          <w:rFonts w:cstheme="minorHAnsi"/>
          <w:noProof/>
        </w:rPr>
        <w:t>meanwhile</w:t>
      </w:r>
      <w:r w:rsidR="00680ECD">
        <w:rPr>
          <w:rFonts w:cstheme="minorHAnsi"/>
          <w:noProof/>
        </w:rPr>
        <w:t>,</w:t>
      </w:r>
      <w:r w:rsidRPr="00660CA5">
        <w:rPr>
          <w:rFonts w:cstheme="minorHAnsi"/>
        </w:rPr>
        <w:t xml:space="preserve"> at pH </w:t>
      </w:r>
      <w:r w:rsidRPr="00680ECD">
        <w:rPr>
          <w:rFonts w:cstheme="minorHAnsi"/>
          <w:noProof/>
        </w:rPr>
        <w:t>6</w:t>
      </w:r>
      <w:r w:rsidRPr="00660CA5">
        <w:rPr>
          <w:rFonts w:cstheme="minorHAnsi"/>
        </w:rPr>
        <w:t xml:space="preserve"> </w:t>
      </w:r>
      <w:r w:rsidRPr="00660CA5">
        <w:t xml:space="preserve">the culture changed </w:t>
      </w:r>
      <w:r w:rsidRPr="00680ECD">
        <w:rPr>
          <w:noProof/>
        </w:rPr>
        <w:t>colour</w:t>
      </w:r>
      <w:r w:rsidRPr="00660CA5">
        <w:t xml:space="preserve"> to yellowish, </w:t>
      </w:r>
      <w:r w:rsidR="00024E76">
        <w:t>indicating</w:t>
      </w:r>
      <w:r>
        <w:t xml:space="preserve"> microalgae death. </w:t>
      </w:r>
      <w:r w:rsidRPr="00660CA5">
        <w:t>The piece of copper introduced in the system had different texture/</w:t>
      </w:r>
      <w:proofErr w:type="spellStart"/>
      <w:r w:rsidRPr="00680ECD">
        <w:rPr>
          <w:noProof/>
        </w:rPr>
        <w:t>color</w:t>
      </w:r>
      <w:proofErr w:type="spellEnd"/>
      <w:r w:rsidRPr="00660CA5">
        <w:t xml:space="preserve"> after the trial, </w:t>
      </w:r>
      <w:r w:rsidR="00024E76">
        <w:t>signifying</w:t>
      </w:r>
      <w:r>
        <w:t xml:space="preserve"> chemical attack of the metal</w:t>
      </w:r>
      <w:r w:rsidRPr="00660CA5">
        <w:t xml:space="preserve">. The corrosion of the </w:t>
      </w:r>
      <w:r w:rsidRPr="00660CA5">
        <w:rPr>
          <w:rFonts w:cstheme="minorHAnsi"/>
        </w:rPr>
        <w:t>copper</w:t>
      </w:r>
      <w:r w:rsidRPr="00660CA5">
        <w:t xml:space="preserve"> and the dissolution of Cu</w:t>
      </w:r>
      <w:r w:rsidRPr="00660CA5">
        <w:rPr>
          <w:vertAlign w:val="superscript"/>
        </w:rPr>
        <w:t>2+</w:t>
      </w:r>
      <w:r w:rsidRPr="00660CA5">
        <w:t xml:space="preserve"> were confirmed by chemical analysis, showing a </w:t>
      </w:r>
      <w:r w:rsidRPr="00660CA5">
        <w:rPr>
          <w:rFonts w:cstheme="minorHAnsi"/>
        </w:rPr>
        <w:t>copper</w:t>
      </w:r>
      <w:r w:rsidRPr="00660CA5">
        <w:t xml:space="preserve"> concentration as high as 6 ppm, 80 times above the upper limit recommended for </w:t>
      </w:r>
      <w:r>
        <w:t>drinkable</w:t>
      </w:r>
      <w:r w:rsidRPr="00147B9F">
        <w:t xml:space="preserve"> water (75 ppb).</w:t>
      </w:r>
      <w:r w:rsidRPr="00147B9F">
        <w:rPr>
          <w:rFonts w:cstheme="minorHAnsi"/>
        </w:rPr>
        <w:t xml:space="preserve"> </w:t>
      </w:r>
      <w:r>
        <w:t>Contrarily, t</w:t>
      </w:r>
      <w:r w:rsidRPr="00147B9F">
        <w:t>he two crops in contact with stainless steel (304 and 316) were successfully grown without any i</w:t>
      </w:r>
      <w:r>
        <w:t>nhibition during a week at pH 6</w:t>
      </w:r>
      <w:r w:rsidRPr="00147B9F">
        <w:t xml:space="preserve">. </w:t>
      </w:r>
      <w:r w:rsidRPr="00660CA5">
        <w:t xml:space="preserve">Moreover, the metal pieces in </w:t>
      </w:r>
      <w:r w:rsidRPr="00680ECD">
        <w:rPr>
          <w:noProof/>
        </w:rPr>
        <w:t>contact</w:t>
      </w:r>
      <w:r w:rsidRPr="00660CA5">
        <w:t xml:space="preserve"> with the culture did not show any sign of corrosion.  </w:t>
      </w:r>
      <w:r w:rsidRPr="00147B9F">
        <w:t xml:space="preserve">In conclusion, PVC, </w:t>
      </w:r>
      <w:r w:rsidRPr="00680ECD">
        <w:rPr>
          <w:noProof/>
        </w:rPr>
        <w:t>SS316</w:t>
      </w:r>
      <w:r w:rsidR="00680ECD">
        <w:rPr>
          <w:noProof/>
        </w:rPr>
        <w:t>,</w:t>
      </w:r>
      <w:r w:rsidRPr="00147B9F">
        <w:t xml:space="preserve"> and SS304 are recommended materials and can be safely used in </w:t>
      </w:r>
      <w:r w:rsidR="00024E76">
        <w:t>PBR</w:t>
      </w:r>
      <w:r w:rsidR="00024E76" w:rsidRPr="00147B9F">
        <w:t xml:space="preserve"> </w:t>
      </w:r>
      <w:r>
        <w:t>in</w:t>
      </w:r>
      <w:r w:rsidRPr="00147B9F">
        <w:t xml:space="preserve"> the operating conditions required for the microalga</w:t>
      </w:r>
      <w:r w:rsidR="00024E76">
        <w:t>e</w:t>
      </w:r>
      <w:r w:rsidRPr="00147B9F">
        <w:t xml:space="preserve"> growth. Copper is strongly </w:t>
      </w:r>
      <w:r>
        <w:t>discouraged</w:t>
      </w:r>
      <w:r w:rsidRPr="00660CA5">
        <w:t xml:space="preserve"> and should not be used </w:t>
      </w:r>
      <w:r w:rsidR="00024E76">
        <w:t xml:space="preserve">in </w:t>
      </w:r>
      <w:r>
        <w:t xml:space="preserve">microalgae </w:t>
      </w:r>
      <w:r w:rsidRPr="00680ECD">
        <w:rPr>
          <w:noProof/>
        </w:rPr>
        <w:t>cultivation</w:t>
      </w:r>
      <w:r w:rsidRPr="00147B9F">
        <w:t xml:space="preserve"> since corrosion release</w:t>
      </w:r>
      <w:r>
        <w:t>s</w:t>
      </w:r>
      <w:r w:rsidRPr="00147B9F">
        <w:t xml:space="preserve"> Cu</w:t>
      </w:r>
      <w:r w:rsidRPr="00147B9F">
        <w:rPr>
          <w:vertAlign w:val="superscript"/>
        </w:rPr>
        <w:t xml:space="preserve">2+ </w:t>
      </w:r>
      <w:r w:rsidRPr="00147B9F">
        <w:t>till bio</w:t>
      </w:r>
      <w:r>
        <w:t>cide levels</w:t>
      </w:r>
      <w:r w:rsidRPr="00147B9F">
        <w:t xml:space="preserve">. </w:t>
      </w:r>
    </w:p>
    <w:p w14:paraId="7329E219" w14:textId="0E0162E9" w:rsidR="009F0240" w:rsidRDefault="00BC09A2" w:rsidP="009F0240">
      <w:pPr>
        <w:pStyle w:val="Titolo2"/>
        <w:rPr>
          <w:lang w:val="en-US"/>
        </w:rPr>
      </w:pPr>
      <w:r>
        <w:rPr>
          <w:lang w:val="en-US"/>
        </w:rPr>
        <w:t>Field tests of the proof-of-concept: r</w:t>
      </w:r>
      <w:r w:rsidR="009F0240">
        <w:rPr>
          <w:lang w:val="en-US"/>
        </w:rPr>
        <w:t>esults</w:t>
      </w:r>
    </w:p>
    <w:p w14:paraId="28D3BB2A" w14:textId="48DE9338" w:rsidR="007D0A82" w:rsidRPr="006922B2" w:rsidRDefault="0035109B" w:rsidP="007D0A82">
      <w:pPr>
        <w:pStyle w:val="Titolo3"/>
        <w:numPr>
          <w:ilvl w:val="1"/>
          <w:numId w:val="2"/>
        </w:numPr>
        <w:ind w:left="1068"/>
        <w:rPr>
          <w:color w:val="4F81BD" w:themeColor="accent1"/>
          <w:sz w:val="24"/>
          <w:lang w:val="en-US"/>
        </w:rPr>
      </w:pPr>
      <w:r w:rsidRPr="006922B2">
        <w:rPr>
          <w:color w:val="4F81BD" w:themeColor="accent1"/>
          <w:sz w:val="24"/>
          <w:lang w:val="en-US"/>
        </w:rPr>
        <w:t>Oxy-combustion of the SOFC anode exhausts</w:t>
      </w:r>
    </w:p>
    <w:p w14:paraId="6827A037" w14:textId="5FC9D8DD" w:rsidR="008B4125" w:rsidRPr="00821BB7" w:rsidRDefault="008B4125" w:rsidP="008B4125">
      <w:r w:rsidRPr="00CB5721">
        <w:t xml:space="preserve">The oxy-combustor </w:t>
      </w:r>
      <w:r w:rsidRPr="00680ECD">
        <w:rPr>
          <w:noProof/>
        </w:rPr>
        <w:t>was designed</w:t>
      </w:r>
      <w:r w:rsidRPr="00CB5721">
        <w:t xml:space="preserve"> with two inlet pipes for oxygen (</w:t>
      </w:r>
      <w:r w:rsidR="00680295">
        <w:fldChar w:fldCharType="begin"/>
      </w:r>
      <w:r w:rsidR="00680295">
        <w:instrText xml:space="preserve"> REF _Ref469580953 \h </w:instrText>
      </w:r>
      <w:r w:rsidR="00680295">
        <w:fldChar w:fldCharType="separate"/>
      </w:r>
      <w:r w:rsidR="00680295">
        <w:t xml:space="preserve">Figure </w:t>
      </w:r>
      <w:r w:rsidR="00680295">
        <w:rPr>
          <w:noProof/>
        </w:rPr>
        <w:t>12</w:t>
      </w:r>
      <w:r w:rsidR="00680295">
        <w:fldChar w:fldCharType="end"/>
      </w:r>
      <w:r w:rsidRPr="00CB5721">
        <w:t xml:space="preserve">). This choice was </w:t>
      </w:r>
      <w:r w:rsidR="007D6F27" w:rsidRPr="00CB5721">
        <w:t>because</w:t>
      </w:r>
      <w:r>
        <w:t xml:space="preserve"> the geometry of the reactor should be able to spread the combustion across the entire length.</w:t>
      </w:r>
    </w:p>
    <w:p w14:paraId="40149E41" w14:textId="77777777" w:rsidR="00680295" w:rsidRDefault="002631BC" w:rsidP="00680295">
      <w:pPr>
        <w:pStyle w:val="Didascalia"/>
        <w:keepNext/>
      </w:pPr>
      <w:r>
        <w:rPr>
          <w:noProof/>
          <w:lang w:val="it-IT" w:eastAsia="it-IT"/>
        </w:rPr>
        <w:drawing>
          <wp:inline distT="0" distB="0" distL="0" distR="0" wp14:anchorId="750ADBC7" wp14:editId="2CCFB780">
            <wp:extent cx="3959514" cy="1670197"/>
            <wp:effectExtent l="0" t="0" r="3175" b="6350"/>
            <wp:docPr id="2049" name="Immagine 20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9" name="Oxy-comb.jpg"/>
                    <pic:cNvPicPr/>
                  </pic:nvPicPr>
                  <pic:blipFill rotWithShape="1">
                    <a:blip r:embed="rId22" cstate="print">
                      <a:extLst>
                        <a:ext uri="{28A0092B-C50C-407E-A947-70E740481C1C}">
                          <a14:useLocalDpi xmlns:a14="http://schemas.microsoft.com/office/drawing/2010/main" val="0"/>
                        </a:ext>
                      </a:extLst>
                    </a:blip>
                    <a:srcRect t="24004"/>
                    <a:stretch/>
                  </pic:blipFill>
                  <pic:spPr bwMode="auto">
                    <a:xfrm>
                      <a:off x="0" y="0"/>
                      <a:ext cx="3960000" cy="1670402"/>
                    </a:xfrm>
                    <a:prstGeom prst="rect">
                      <a:avLst/>
                    </a:prstGeom>
                    <a:ln>
                      <a:noFill/>
                    </a:ln>
                    <a:extLst>
                      <a:ext uri="{53640926-AAD7-44D8-BBD7-CCE9431645EC}">
                        <a14:shadowObscured xmlns:a14="http://schemas.microsoft.com/office/drawing/2010/main"/>
                      </a:ext>
                    </a:extLst>
                  </pic:spPr>
                </pic:pic>
              </a:graphicData>
            </a:graphic>
          </wp:inline>
        </w:drawing>
      </w:r>
    </w:p>
    <w:p w14:paraId="7BCCC156" w14:textId="4410DD74" w:rsidR="008B4125" w:rsidRPr="00EC386E" w:rsidRDefault="00680295" w:rsidP="008B4125">
      <w:pPr>
        <w:pStyle w:val="Didascalia"/>
      </w:pPr>
      <w:bookmarkStart w:id="22" w:name="_Ref469580953"/>
      <w:r>
        <w:t xml:space="preserve">Figure </w:t>
      </w:r>
      <w:r>
        <w:fldChar w:fldCharType="begin"/>
      </w:r>
      <w:r>
        <w:instrText xml:space="preserve"> SEQ Figure \* ARABIC </w:instrText>
      </w:r>
      <w:r>
        <w:fldChar w:fldCharType="separate"/>
      </w:r>
      <w:r w:rsidR="008D619E">
        <w:rPr>
          <w:noProof/>
        </w:rPr>
        <w:t>12</w:t>
      </w:r>
      <w:r>
        <w:fldChar w:fldCharType="end"/>
      </w:r>
      <w:bookmarkEnd w:id="22"/>
      <w:r w:rsidR="008B4125" w:rsidRPr="00EC386E">
        <w:t>. Oxy-combustor oxygen inlets layout.</w:t>
      </w:r>
    </w:p>
    <w:p w14:paraId="7921FFB1" w14:textId="4F964FE9" w:rsidR="008B4125" w:rsidRDefault="008B4125" w:rsidP="008B4125">
      <w:pPr>
        <w:spacing w:after="0"/>
      </w:pPr>
      <w:r w:rsidRPr="00CB5721">
        <w:t xml:space="preserve">Results from the first test with oxygen sent only to inlet #1 </w:t>
      </w:r>
      <w:r w:rsidR="00A81953">
        <w:t>(</w:t>
      </w:r>
      <w:r w:rsidR="00A81953" w:rsidRPr="00680ECD">
        <w:rPr>
          <w:noProof/>
        </w:rPr>
        <w:t>nominal</w:t>
      </w:r>
      <w:r w:rsidR="00A81953">
        <w:t xml:space="preserve"> system configuration) </w:t>
      </w:r>
      <w:r w:rsidRPr="00680ECD">
        <w:rPr>
          <w:noProof/>
        </w:rPr>
        <w:t>are shown</w:t>
      </w:r>
      <w:r w:rsidRPr="00CB5721">
        <w:t xml:space="preserve"> in the figure below (</w:t>
      </w:r>
      <w:r w:rsidR="008D619E">
        <w:fldChar w:fldCharType="begin"/>
      </w:r>
      <w:r w:rsidR="008D619E">
        <w:instrText xml:space="preserve"> REF _Ref469580978 \h </w:instrText>
      </w:r>
      <w:r w:rsidR="008D619E">
        <w:fldChar w:fldCharType="separate"/>
      </w:r>
      <w:r w:rsidR="008D619E">
        <w:t xml:space="preserve">Figure </w:t>
      </w:r>
      <w:r w:rsidR="008D619E">
        <w:rPr>
          <w:noProof/>
        </w:rPr>
        <w:t>13</w:t>
      </w:r>
      <w:r w:rsidR="008D619E">
        <w:fldChar w:fldCharType="end"/>
      </w:r>
      <w:r w:rsidRPr="00CB5721">
        <w:t>). The</w:t>
      </w:r>
      <w:r>
        <w:t xml:space="preserve"> maximum temperature achie</w:t>
      </w:r>
      <w:r w:rsidR="00CB5721">
        <w:t>vable in</w:t>
      </w:r>
      <w:r w:rsidR="00680ECD">
        <w:t xml:space="preserve"> the</w:t>
      </w:r>
      <w:r w:rsidR="00CB5721">
        <w:t xml:space="preserve"> </w:t>
      </w:r>
      <w:r w:rsidR="00CB5721" w:rsidRPr="00680ECD">
        <w:rPr>
          <w:noProof/>
        </w:rPr>
        <w:t>reactor</w:t>
      </w:r>
      <w:r w:rsidR="00CB5721">
        <w:t xml:space="preserve"> should be 1200</w:t>
      </w:r>
      <w:r>
        <w:t xml:space="preserve">°C to avoid problems for materials. With this configuration, </w:t>
      </w:r>
      <w:r w:rsidRPr="00680ECD">
        <w:rPr>
          <w:noProof/>
        </w:rPr>
        <w:t>anyway</w:t>
      </w:r>
      <w:r>
        <w:t xml:space="preserve">, in a standard nominal condition, temperature T1 was higher than the maximum allowable value.  Furthermore, the temperature change across the reactor </w:t>
      </w:r>
      <w:r w:rsidR="00CB5721">
        <w:t xml:space="preserve">was </w:t>
      </w:r>
      <w:r w:rsidR="00CB5721" w:rsidRPr="00680ECD">
        <w:rPr>
          <w:noProof/>
        </w:rPr>
        <w:t>high</w:t>
      </w:r>
      <w:r w:rsidR="00CB5721">
        <w:t>: from T1 @ 1300°C to T3 @ 700</w:t>
      </w:r>
      <w:r>
        <w:t>°C: the combustion reaction was thus taking place only in the first combustor section.</w:t>
      </w:r>
    </w:p>
    <w:p w14:paraId="7C854E98" w14:textId="77777777" w:rsidR="006862A8" w:rsidRDefault="006862A8" w:rsidP="008B4125">
      <w:pPr>
        <w:spacing w:after="0"/>
      </w:pPr>
    </w:p>
    <w:p w14:paraId="2AFC1808" w14:textId="77777777" w:rsidR="008D619E" w:rsidRDefault="00202124" w:rsidP="008D619E">
      <w:pPr>
        <w:keepNext/>
        <w:jc w:val="center"/>
      </w:pPr>
      <w:r>
        <w:rPr>
          <w:noProof/>
          <w:lang w:val="it-IT" w:eastAsia="it-IT"/>
        </w:rPr>
        <w:lastRenderedPageBreak/>
        <w:drawing>
          <wp:inline distT="0" distB="0" distL="0" distR="0" wp14:anchorId="6DABFE29" wp14:editId="020FF8DB">
            <wp:extent cx="5400000" cy="2405530"/>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l="908" t="31096" r="656" b="1604"/>
                    <a:stretch/>
                  </pic:blipFill>
                  <pic:spPr bwMode="auto">
                    <a:xfrm>
                      <a:off x="0" y="0"/>
                      <a:ext cx="5400000" cy="2405530"/>
                    </a:xfrm>
                    <a:prstGeom prst="rect">
                      <a:avLst/>
                    </a:prstGeom>
                    <a:noFill/>
                    <a:ln>
                      <a:noFill/>
                    </a:ln>
                    <a:extLst>
                      <a:ext uri="{53640926-AAD7-44D8-BBD7-CCE9431645EC}">
                        <a14:shadowObscured xmlns:a14="http://schemas.microsoft.com/office/drawing/2010/main"/>
                      </a:ext>
                    </a:extLst>
                  </pic:spPr>
                </pic:pic>
              </a:graphicData>
            </a:graphic>
          </wp:inline>
        </w:drawing>
      </w:r>
    </w:p>
    <w:p w14:paraId="4774758F" w14:textId="7254287B" w:rsidR="008B4125" w:rsidRPr="00EC386E" w:rsidRDefault="008D619E" w:rsidP="008B4125">
      <w:pPr>
        <w:pStyle w:val="Didascalia"/>
      </w:pPr>
      <w:bookmarkStart w:id="23" w:name="_Ref469580978"/>
      <w:r>
        <w:t xml:space="preserve">Figure </w:t>
      </w:r>
      <w:r>
        <w:fldChar w:fldCharType="begin"/>
      </w:r>
      <w:r>
        <w:instrText xml:space="preserve"> SEQ Figure \* ARABIC </w:instrText>
      </w:r>
      <w:r>
        <w:fldChar w:fldCharType="separate"/>
      </w:r>
      <w:r>
        <w:rPr>
          <w:noProof/>
        </w:rPr>
        <w:t>13</w:t>
      </w:r>
      <w:r>
        <w:fldChar w:fldCharType="end"/>
      </w:r>
      <w:bookmarkEnd w:id="23"/>
      <w:r w:rsidR="008B4125" w:rsidRPr="00EC386E">
        <w:t>. Oxygen feed #1. Vertical axis: temperature in °C. Horizontal axis: time in hours.</w:t>
      </w:r>
    </w:p>
    <w:p w14:paraId="14F58F18" w14:textId="7B782C2D" w:rsidR="008B4125" w:rsidRDefault="008B4125" w:rsidP="008B4125">
      <w:pPr>
        <w:spacing w:after="0"/>
      </w:pPr>
      <w:r>
        <w:t xml:space="preserve">The final layout chosen for the tests was to use both inlet #1 and #2 since the reactor design seemed not able to spread the combustion across the overall length. </w:t>
      </w:r>
      <w:r w:rsidR="00A81953">
        <w:t>T</w:t>
      </w:r>
      <w:r>
        <w:t xml:space="preserve">he inlets were already placed and </w:t>
      </w:r>
      <w:r w:rsidRPr="00CB5721">
        <w:t xml:space="preserve">connected in the system, </w:t>
      </w:r>
      <w:r w:rsidR="00A81953">
        <w:t xml:space="preserve">so </w:t>
      </w:r>
      <w:r w:rsidRPr="00CB5721">
        <w:t>the flow would</w:t>
      </w:r>
      <w:r w:rsidR="00A81953">
        <w:t xml:space="preserve"> </w:t>
      </w:r>
      <w:r w:rsidRPr="00CB5721">
        <w:t>n</w:t>
      </w:r>
      <w:r w:rsidR="00A81953">
        <w:t>o</w:t>
      </w:r>
      <w:r w:rsidRPr="00CB5721">
        <w:t xml:space="preserve">t </w:t>
      </w:r>
      <w:r w:rsidRPr="00680ECD">
        <w:rPr>
          <w:noProof/>
        </w:rPr>
        <w:t>be split</w:t>
      </w:r>
      <w:r w:rsidRPr="00CB5721">
        <w:t xml:space="preserve"> in equal part since the</w:t>
      </w:r>
      <w:r>
        <w:t xml:space="preserve"> inlet #2 pipe was longer and thus with higher pressure drops. For this reason, a manual needle valve was inserted before inlet #1, to create the same pressure drop a</w:t>
      </w:r>
      <w:r w:rsidR="00A81953">
        <w:t>s</w:t>
      </w:r>
      <w:r>
        <w:t xml:space="preserve"> for inlet #2 and have a similar flow rate going into the two pipes.</w:t>
      </w:r>
    </w:p>
    <w:p w14:paraId="2B7F3C33" w14:textId="50425824" w:rsidR="008B4125" w:rsidRDefault="008B4125" w:rsidP="008B4125">
      <w:r>
        <w:t xml:space="preserve">Results for this final layout </w:t>
      </w:r>
      <w:r w:rsidRPr="00680ECD">
        <w:rPr>
          <w:noProof/>
        </w:rPr>
        <w:t>are shown</w:t>
      </w:r>
      <w:r>
        <w:t xml:space="preserve"> </w:t>
      </w:r>
      <w:r w:rsidR="00680ECD">
        <w:rPr>
          <w:noProof/>
        </w:rPr>
        <w:t>i</w:t>
      </w:r>
      <w:r w:rsidRPr="00680ECD">
        <w:rPr>
          <w:noProof/>
        </w:rPr>
        <w:t>n</w:t>
      </w:r>
      <w:r w:rsidRPr="005D3EBC">
        <w:t xml:space="preserve"> </w:t>
      </w:r>
      <w:r w:rsidR="008D619E">
        <w:fldChar w:fldCharType="begin"/>
      </w:r>
      <w:r w:rsidR="008D619E">
        <w:instrText xml:space="preserve"> REF _Ref469580995 \h </w:instrText>
      </w:r>
      <w:r w:rsidR="008D619E">
        <w:fldChar w:fldCharType="separate"/>
      </w:r>
      <w:r w:rsidR="008D619E">
        <w:t xml:space="preserve">Figure </w:t>
      </w:r>
      <w:r w:rsidR="008D619E">
        <w:rPr>
          <w:noProof/>
        </w:rPr>
        <w:t>14</w:t>
      </w:r>
      <w:r w:rsidR="008D619E">
        <w:fldChar w:fldCharType="end"/>
      </w:r>
      <w:r>
        <w:t xml:space="preserve">. All the temperature are lower than </w:t>
      </w:r>
      <w:r w:rsidR="005D3EBC">
        <w:t xml:space="preserve">the acceptable max. </w:t>
      </w:r>
      <w:r w:rsidR="005D3EBC" w:rsidRPr="00680ECD">
        <w:rPr>
          <w:noProof/>
        </w:rPr>
        <w:t>value</w:t>
      </w:r>
      <w:r w:rsidR="005D3EBC">
        <w:t xml:space="preserve"> (1200</w:t>
      </w:r>
      <w:r w:rsidR="00A81953">
        <w:t>°C) and the temperature difference</w:t>
      </w:r>
      <w:r>
        <w:t xml:space="preserve"> </w:t>
      </w:r>
      <w:r w:rsidR="006862A8">
        <w:t xml:space="preserve">across the combustor </w:t>
      </w:r>
      <w:r w:rsidR="006862A8" w:rsidRPr="00680ECD">
        <w:rPr>
          <w:noProof/>
        </w:rPr>
        <w:t xml:space="preserve">was </w:t>
      </w:r>
      <w:r w:rsidRPr="00680ECD">
        <w:rPr>
          <w:noProof/>
        </w:rPr>
        <w:t>re</w:t>
      </w:r>
      <w:r w:rsidR="005D3EBC" w:rsidRPr="00680ECD">
        <w:rPr>
          <w:noProof/>
        </w:rPr>
        <w:t>duced</w:t>
      </w:r>
      <w:r w:rsidR="005D3EBC">
        <w:t xml:space="preserve"> from 500 to less than 300</w:t>
      </w:r>
      <w:r>
        <w:t xml:space="preserve">°C. A staged combustion seems to </w:t>
      </w:r>
      <w:r w:rsidRPr="00680ECD">
        <w:rPr>
          <w:noProof/>
        </w:rPr>
        <w:t>be achieved</w:t>
      </w:r>
      <w:r>
        <w:t xml:space="preserve"> with this new layout, with a diffusion of the flame along all the combustion chamber. </w:t>
      </w:r>
    </w:p>
    <w:p w14:paraId="3A263A0F" w14:textId="77777777" w:rsidR="008D619E" w:rsidRDefault="002631BC" w:rsidP="008D619E">
      <w:pPr>
        <w:keepNext/>
        <w:jc w:val="center"/>
      </w:pPr>
      <w:r>
        <w:rPr>
          <w:noProof/>
          <w:lang w:val="it-IT" w:eastAsia="it-IT"/>
        </w:rPr>
        <w:drawing>
          <wp:inline distT="0" distB="0" distL="0" distR="0" wp14:anchorId="712D27F5" wp14:editId="6C62C535">
            <wp:extent cx="5400000" cy="2695814"/>
            <wp:effectExtent l="0" t="0" r="0" b="0"/>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l="1209" t="23470" r="1260" b="1699"/>
                    <a:stretch/>
                  </pic:blipFill>
                  <pic:spPr bwMode="auto">
                    <a:xfrm>
                      <a:off x="0" y="0"/>
                      <a:ext cx="5400000" cy="2695814"/>
                    </a:xfrm>
                    <a:prstGeom prst="rect">
                      <a:avLst/>
                    </a:prstGeom>
                    <a:noFill/>
                    <a:ln>
                      <a:noFill/>
                    </a:ln>
                    <a:extLst>
                      <a:ext uri="{53640926-AAD7-44D8-BBD7-CCE9431645EC}">
                        <a14:shadowObscured xmlns:a14="http://schemas.microsoft.com/office/drawing/2010/main"/>
                      </a:ext>
                    </a:extLst>
                  </pic:spPr>
                </pic:pic>
              </a:graphicData>
            </a:graphic>
          </wp:inline>
        </w:drawing>
      </w:r>
    </w:p>
    <w:p w14:paraId="53B28981" w14:textId="5B3A2C46" w:rsidR="008B4125" w:rsidRPr="00EC386E" w:rsidRDefault="008D619E" w:rsidP="008B4125">
      <w:pPr>
        <w:pStyle w:val="Didascalia"/>
      </w:pPr>
      <w:bookmarkStart w:id="24" w:name="_Ref469580995"/>
      <w:r>
        <w:t xml:space="preserve">Figure </w:t>
      </w:r>
      <w:r>
        <w:fldChar w:fldCharType="begin"/>
      </w:r>
      <w:r>
        <w:instrText xml:space="preserve"> SEQ Figure \* ARABIC </w:instrText>
      </w:r>
      <w:r>
        <w:fldChar w:fldCharType="separate"/>
      </w:r>
      <w:r>
        <w:rPr>
          <w:noProof/>
        </w:rPr>
        <w:t>14</w:t>
      </w:r>
      <w:r>
        <w:fldChar w:fldCharType="end"/>
      </w:r>
      <w:bookmarkEnd w:id="24"/>
      <w:r w:rsidR="008B4125" w:rsidRPr="00EC386E">
        <w:t>. Oxygen feed #1 + #2.</w:t>
      </w:r>
      <w:r w:rsidR="008B4125" w:rsidRPr="00EC386E">
        <w:rPr>
          <w:noProof/>
          <w:lang w:val="en-US" w:eastAsia="it-IT"/>
        </w:rPr>
        <w:t xml:space="preserve"> </w:t>
      </w:r>
      <w:r w:rsidR="008B4125" w:rsidRPr="00EC386E">
        <w:t>Vertical axis: temperature in °C. Horizontal axis: time in hours.</w:t>
      </w:r>
    </w:p>
    <w:p w14:paraId="2B7CA404" w14:textId="268DC8E6" w:rsidR="007D0A82" w:rsidRPr="006922B2" w:rsidRDefault="00A81953" w:rsidP="007D0A82">
      <w:pPr>
        <w:pStyle w:val="Titolo3"/>
        <w:numPr>
          <w:ilvl w:val="1"/>
          <w:numId w:val="2"/>
        </w:numPr>
        <w:ind w:left="1068"/>
        <w:rPr>
          <w:color w:val="4F81BD" w:themeColor="accent1"/>
          <w:sz w:val="24"/>
          <w:lang w:val="en-US"/>
        </w:rPr>
      </w:pPr>
      <w:r w:rsidRPr="006922B2">
        <w:rPr>
          <w:color w:val="4F81BD" w:themeColor="accent1"/>
          <w:sz w:val="24"/>
          <w:lang w:val="en-US"/>
        </w:rPr>
        <w:lastRenderedPageBreak/>
        <w:t xml:space="preserve"> </w:t>
      </w:r>
      <w:r w:rsidR="0035109B" w:rsidRPr="006922B2">
        <w:rPr>
          <w:color w:val="4F81BD" w:themeColor="accent1"/>
          <w:sz w:val="24"/>
          <w:lang w:val="en-US"/>
        </w:rPr>
        <w:t>Separation of H</w:t>
      </w:r>
      <w:r w:rsidR="0035109B" w:rsidRPr="006922B2">
        <w:rPr>
          <w:color w:val="4F81BD" w:themeColor="accent1"/>
          <w:sz w:val="24"/>
          <w:vertAlign w:val="subscript"/>
          <w:lang w:val="en-US"/>
        </w:rPr>
        <w:t>2</w:t>
      </w:r>
      <w:r w:rsidR="0035109B" w:rsidRPr="006922B2">
        <w:rPr>
          <w:color w:val="4F81BD" w:themeColor="accent1"/>
          <w:sz w:val="24"/>
          <w:lang w:val="en-US"/>
        </w:rPr>
        <w:t>O and CO</w:t>
      </w:r>
      <w:r w:rsidR="0035109B" w:rsidRPr="006922B2">
        <w:rPr>
          <w:color w:val="4F81BD" w:themeColor="accent1"/>
          <w:sz w:val="24"/>
          <w:vertAlign w:val="subscript"/>
          <w:lang w:val="en-US"/>
        </w:rPr>
        <w:t>2</w:t>
      </w:r>
      <w:r w:rsidR="0035109B" w:rsidRPr="006922B2">
        <w:rPr>
          <w:color w:val="4F81BD" w:themeColor="accent1"/>
          <w:sz w:val="24"/>
          <w:lang w:val="en-US"/>
        </w:rPr>
        <w:t xml:space="preserve"> </w:t>
      </w:r>
    </w:p>
    <w:p w14:paraId="303DBAC7" w14:textId="53B186BD" w:rsidR="008B4125" w:rsidRDefault="008B4125" w:rsidP="008B4125">
      <w:pPr>
        <w:rPr>
          <w:lang w:eastAsia="de-DE"/>
        </w:rPr>
      </w:pPr>
      <w:r>
        <w:rPr>
          <w:lang w:eastAsia="de-DE"/>
        </w:rPr>
        <w:t>The condenser system has been tested for several times during the demo working period. No specific test has been performed in this unit since it</w:t>
      </w:r>
      <w:r w:rsidR="00A81953">
        <w:rPr>
          <w:lang w:eastAsia="de-DE"/>
        </w:rPr>
        <w:t>s</w:t>
      </w:r>
      <w:r>
        <w:rPr>
          <w:lang w:eastAsia="de-DE"/>
        </w:rPr>
        <w:t xml:space="preserve"> working mode was suitable for the system and no change was needed. The only modification, respect to the nominal working conditions set in its user manual, is related to the compressor outlet pressure.</w:t>
      </w:r>
    </w:p>
    <w:p w14:paraId="4B333CDC" w14:textId="0E4B67E4" w:rsidR="008B4125" w:rsidRDefault="008B4125" w:rsidP="00A81953">
      <w:pPr>
        <w:rPr>
          <w:lang w:eastAsia="de-DE"/>
        </w:rPr>
      </w:pPr>
      <w:r>
        <w:rPr>
          <w:lang w:eastAsia="de-DE"/>
        </w:rPr>
        <w:t xml:space="preserve">The flow rate reaching the condenser was lower than the one for which the system </w:t>
      </w:r>
      <w:r w:rsidRPr="00680ECD">
        <w:rPr>
          <w:noProof/>
          <w:lang w:eastAsia="de-DE"/>
        </w:rPr>
        <w:t>was designed</w:t>
      </w:r>
      <w:r>
        <w:rPr>
          <w:lang w:eastAsia="de-DE"/>
        </w:rPr>
        <w:t xml:space="preserve"> since the major part of the water was already condensed in the anode CHP cooler. Furthermore, a long run @ 50% of nominal power has </w:t>
      </w:r>
      <w:r w:rsidRPr="00680ECD">
        <w:rPr>
          <w:noProof/>
          <w:lang w:eastAsia="de-DE"/>
        </w:rPr>
        <w:t>been performed</w:t>
      </w:r>
      <w:r>
        <w:rPr>
          <w:lang w:eastAsia="de-DE"/>
        </w:rPr>
        <w:t xml:space="preserve">. In these low-flow conditions, the compressor showed some difficulties in reaching a stable operation since a too low rotation speed </w:t>
      </w:r>
      <w:r w:rsidRPr="00680ECD">
        <w:rPr>
          <w:noProof/>
          <w:lang w:eastAsia="de-DE"/>
        </w:rPr>
        <w:t>was</w:t>
      </w:r>
      <w:r>
        <w:rPr>
          <w:lang w:eastAsia="de-DE"/>
        </w:rPr>
        <w:t xml:space="preserve"> required and the system was going in continuous on/off operation. One of the solutions adopted for reducing this problem was to increase the compressor outlet pressure from 5 to 7 </w:t>
      </w:r>
      <w:r w:rsidRPr="00680ECD">
        <w:rPr>
          <w:noProof/>
          <w:lang w:eastAsia="de-DE"/>
        </w:rPr>
        <w:t>bar</w:t>
      </w:r>
      <w:r w:rsidR="00680ECD" w:rsidRPr="00680ECD">
        <w:rPr>
          <w:noProof/>
          <w:lang w:eastAsia="de-DE"/>
        </w:rPr>
        <w:t>g</w:t>
      </w:r>
      <w:r>
        <w:rPr>
          <w:lang w:eastAsia="de-DE"/>
        </w:rPr>
        <w:t>.</w:t>
      </w:r>
    </w:p>
    <w:p w14:paraId="6F23A9AB" w14:textId="77777777" w:rsidR="008D619E" w:rsidRDefault="002631BC" w:rsidP="008D619E">
      <w:pPr>
        <w:keepNext/>
        <w:spacing w:after="120" w:line="240" w:lineRule="auto"/>
        <w:jc w:val="center"/>
      </w:pPr>
      <w:r>
        <w:rPr>
          <w:noProof/>
          <w:lang w:val="it-IT" w:eastAsia="it-IT"/>
        </w:rPr>
        <w:drawing>
          <wp:inline distT="0" distB="0" distL="0" distR="0" wp14:anchorId="29E7DBB1" wp14:editId="3F45562F">
            <wp:extent cx="5104401" cy="3139034"/>
            <wp:effectExtent l="0" t="0" r="1270" b="4445"/>
            <wp:docPr id="2050" name="Immagine 20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l="1454" t="6288" r="1293" b="2011"/>
                    <a:stretch/>
                  </pic:blipFill>
                  <pic:spPr bwMode="auto">
                    <a:xfrm>
                      <a:off x="0" y="0"/>
                      <a:ext cx="5131904" cy="3155947"/>
                    </a:xfrm>
                    <a:prstGeom prst="rect">
                      <a:avLst/>
                    </a:prstGeom>
                    <a:noFill/>
                    <a:ln>
                      <a:noFill/>
                    </a:ln>
                    <a:extLst>
                      <a:ext uri="{53640926-AAD7-44D8-BBD7-CCE9431645EC}">
                        <a14:shadowObscured xmlns:a14="http://schemas.microsoft.com/office/drawing/2010/main"/>
                      </a:ext>
                    </a:extLst>
                  </pic:spPr>
                </pic:pic>
              </a:graphicData>
            </a:graphic>
          </wp:inline>
        </w:drawing>
      </w:r>
    </w:p>
    <w:p w14:paraId="68A0676D" w14:textId="10B55023" w:rsidR="008B4125" w:rsidRDefault="008D619E" w:rsidP="008B4125">
      <w:pPr>
        <w:pStyle w:val="Didascalia"/>
      </w:pPr>
      <w:bookmarkStart w:id="25" w:name="_Ref470797850"/>
      <w:r>
        <w:t xml:space="preserve">Figure </w:t>
      </w:r>
      <w:r>
        <w:fldChar w:fldCharType="begin"/>
      </w:r>
      <w:r>
        <w:instrText xml:space="preserve"> SEQ Figure \* ARABIC </w:instrText>
      </w:r>
      <w:r>
        <w:fldChar w:fldCharType="separate"/>
      </w:r>
      <w:r>
        <w:rPr>
          <w:noProof/>
        </w:rPr>
        <w:t>15</w:t>
      </w:r>
      <w:r>
        <w:fldChar w:fldCharType="end"/>
      </w:r>
      <w:bookmarkEnd w:id="25"/>
      <w:r w:rsidR="008B4125" w:rsidRPr="00EC386E">
        <w:t>. Condenser test results.</w:t>
      </w:r>
    </w:p>
    <w:p w14:paraId="5B5DC673" w14:textId="3FEBD95D" w:rsidR="009B27AE" w:rsidRPr="005A3CEF" w:rsidRDefault="009B27AE" w:rsidP="009B27AE">
      <w:pPr>
        <w:rPr>
          <w:lang w:val="en-US"/>
        </w:rPr>
      </w:pPr>
      <w:r w:rsidRPr="005A3CEF">
        <w:rPr>
          <w:lang w:val="en-US"/>
        </w:rPr>
        <w:t>The global CCS institute stated that existing long-distance US CO</w:t>
      </w:r>
      <w:r w:rsidRPr="005A3CEF">
        <w:rPr>
          <w:vertAlign w:val="subscript"/>
          <w:lang w:val="en-US"/>
        </w:rPr>
        <w:t>2</w:t>
      </w:r>
      <w:r w:rsidRPr="005A3CEF">
        <w:rPr>
          <w:lang w:val="en-US"/>
        </w:rPr>
        <w:t xml:space="preserve"> pipelines typically operate with a maximum specified water content around 25–30 </w:t>
      </w:r>
      <w:proofErr w:type="spellStart"/>
      <w:r w:rsidRPr="005A3CEF">
        <w:rPr>
          <w:lang w:val="en-US"/>
        </w:rPr>
        <w:t>lb</w:t>
      </w:r>
      <w:proofErr w:type="spellEnd"/>
      <w:r w:rsidRPr="005A3CEF">
        <w:rPr>
          <w:lang w:val="en-US"/>
        </w:rPr>
        <w:t>/</w:t>
      </w:r>
      <w:proofErr w:type="spellStart"/>
      <w:r w:rsidRPr="005A3CEF">
        <w:rPr>
          <w:lang w:val="en-US"/>
        </w:rPr>
        <w:t>MMscf</w:t>
      </w:r>
      <w:proofErr w:type="spellEnd"/>
      <w:r w:rsidRPr="005A3CEF">
        <w:rPr>
          <w:lang w:val="en-US"/>
        </w:rPr>
        <w:t xml:space="preserve"> (which corresponds to approximately 200-245 ppm w/w) </w:t>
      </w:r>
      <w:r w:rsidRPr="005A3CEF">
        <w:rPr>
          <w:lang w:val="en-US"/>
        </w:rPr>
        <w:fldChar w:fldCharType="begin" w:fldLock="1"/>
      </w:r>
      <w:r w:rsidRPr="005A3CEF">
        <w:rPr>
          <w:lang w:val="en-US"/>
        </w:rPr>
        <w:instrText>ADDIN CSL_CITATION { "citationItems" : [ { "id" : "ITEM-1", "itemData" : { "author" : [ { "dropping-particle" : "", "family" : "International Energy Agency- Greenhouse Gas R&amp;D Programme (IEAGHG)", "given" : "", "non-dropping-particle" : "", "parse-names" : false, "suffix" : "" } ], "id" : "ITEM-1", "issued" : { "date-parts" : [ [ "2010" ] ] }, "title" : "Corrosion and materials selection in CCS systems", "type" : "report" }, "uris" : [ "http://www.mendeley.com/documents/?uuid=da353de1-8c90-3eea-81f5-8f8bf502fd55" ] } ], "mendeley" : { "formattedCitation" : "[12]", "plainTextFormattedCitation" : "[12]", "previouslyFormattedCitation" : "[12]" }, "properties" : { "noteIndex" : 0 }, "schema" : "https://github.com/citation-style-language/schema/raw/master/csl-citation.json" }</w:instrText>
      </w:r>
      <w:r w:rsidRPr="005A3CEF">
        <w:rPr>
          <w:lang w:val="en-US"/>
        </w:rPr>
        <w:fldChar w:fldCharType="separate"/>
      </w:r>
      <w:r w:rsidRPr="005A3CEF">
        <w:rPr>
          <w:noProof/>
          <w:lang w:val="en-US"/>
        </w:rPr>
        <w:t>[12]</w:t>
      </w:r>
      <w:r w:rsidRPr="005A3CEF">
        <w:rPr>
          <w:lang w:val="en-US"/>
        </w:rPr>
        <w:fldChar w:fldCharType="end"/>
      </w:r>
      <w:r w:rsidRPr="005A3CEF">
        <w:rPr>
          <w:lang w:val="en-US"/>
        </w:rPr>
        <w:t xml:space="preserve"> </w:t>
      </w:r>
      <w:proofErr w:type="spellStart"/>
      <w:r w:rsidRPr="005A3CEF">
        <w:rPr>
          <w:lang w:val="en-US"/>
        </w:rPr>
        <w:t>Buit</w:t>
      </w:r>
      <w:proofErr w:type="spellEnd"/>
      <w:r w:rsidRPr="005A3CEF">
        <w:rPr>
          <w:lang w:val="en-US"/>
        </w:rPr>
        <w:t xml:space="preserve"> el al. </w:t>
      </w:r>
      <w:r w:rsidR="009829B8" w:rsidRPr="005A3CEF">
        <w:rPr>
          <w:lang w:val="en-US"/>
        </w:rPr>
        <w:fldChar w:fldCharType="begin" w:fldLock="1"/>
      </w:r>
      <w:r w:rsidR="00844B4D" w:rsidRPr="005A3CEF">
        <w:rPr>
          <w:lang w:val="en-US"/>
        </w:rPr>
        <w:instrText>ADDIN CSL_CITATION { "citationItems" : [ { "id" : "ITEM-1", "itemData" : { "DOI" : "10.1016/j.egypro.2011.02.217", "author" : [ { "dropping-particle" : "", "family" : "Buit", "given" : "Luuk", "non-dropping-particle" : "", "parse-names" : false, "suffix" : "" }, { "dropping-particle" : "", "family" : "Ahmad", "given" : "Mohammad", "non-dropping-particle" : "", "parse-names" : false, "suffix" : "" }, { "dropping-particle" : "", "family" : "Mallon", "given" : "Wim", "non-dropping-particle" : "", "parse-names" : false, "suffix" : "" }, { "dropping-particle" : "", "family" : "Hage", "given" : "Fred", "non-dropping-particle" : "", "parse-names" : false, "suffix" : "" } ], "container-title" : "Energy Procedia", "id" : "ITEM-1", "issued" : { "date-parts" : [ [ "2011" ] ] }, "page" : "3056-3062", "title" : "CO2 EuroPipe study of the occurrence of free water in dense phase CO2 transport", "type" : "article-journal", "volume" : "4" }, "uris" : [ "http://www.mendeley.com/documents/?uuid=1165d82c-08f7-3f53-b211-93740881a067" ] } ], "mendeley" : { "formattedCitation" : "[13]", "plainTextFormattedCitation" : "[13]", "previouslyFormattedCitation" : "[13]" }, "properties" : { "noteIndex" : 0 }, "schema" : "https://github.com/citation-style-language/schema/raw/master/csl-citation.json" }</w:instrText>
      </w:r>
      <w:r w:rsidR="009829B8" w:rsidRPr="005A3CEF">
        <w:rPr>
          <w:lang w:val="en-US"/>
        </w:rPr>
        <w:fldChar w:fldCharType="separate"/>
      </w:r>
      <w:r w:rsidR="009829B8" w:rsidRPr="005A3CEF">
        <w:rPr>
          <w:noProof/>
          <w:lang w:val="en-US"/>
        </w:rPr>
        <w:t>[13]</w:t>
      </w:r>
      <w:r w:rsidR="009829B8" w:rsidRPr="005A3CEF">
        <w:rPr>
          <w:lang w:val="en-US"/>
        </w:rPr>
        <w:fldChar w:fldCharType="end"/>
      </w:r>
      <w:r w:rsidR="009829B8" w:rsidRPr="005A3CEF">
        <w:rPr>
          <w:lang w:val="en-US"/>
        </w:rPr>
        <w:t xml:space="preserve"> </w:t>
      </w:r>
      <w:r w:rsidRPr="005A3CEF">
        <w:rPr>
          <w:lang w:val="en-US"/>
        </w:rPr>
        <w:t>have also analyzed different references for the limiting water concentrations in CO</w:t>
      </w:r>
      <w:r w:rsidRPr="005A3CEF">
        <w:rPr>
          <w:vertAlign w:val="subscript"/>
          <w:lang w:val="en-US"/>
        </w:rPr>
        <w:t>2</w:t>
      </w:r>
      <w:r w:rsidRPr="005A3CEF">
        <w:rPr>
          <w:lang w:val="en-US"/>
        </w:rPr>
        <w:t xml:space="preserve"> pipelines, which ranges from 40 to over 500 ppm </w:t>
      </w:r>
      <w:r w:rsidRPr="005A3CEF">
        <w:rPr>
          <w:lang w:val="en-US"/>
        </w:rPr>
        <w:fldChar w:fldCharType="begin" w:fldLock="1"/>
      </w:r>
      <w:r w:rsidR="00844B4D" w:rsidRPr="005A3CEF">
        <w:rPr>
          <w:lang w:val="en-US"/>
        </w:rPr>
        <w:instrText>ADDIN CSL_CITATION { "citationItems" : [ { "id" : "ITEM-1", "itemData" : { "ISBN" : "0080457487", "abstract" : "Over the past decade, the prospect of climate change resulting from anthropogenic CO&lt;sub&gt;2&lt;/sub&gt; has become a matter of growing public concern. Not only is the reduction of CO&lt;sub&gt;2&lt;/sub&gt; emissions extremely important, but keeping the cost at a manageable level is a prime priority for companies and the public, alike. The CO&lt;sub&gt;2&lt;/sub&gt; capture project (CCP) came together with a common goal in mind: find a technological process to capture CO&lt;sub&gt;2&lt;/sub&gt; emissions that is relatively low-cost and able be to be expanded to industrial applications. The Carbon Dioxide Capture and Storage Project outlines the research and findings of all the participating companies and associations involved in the CCP. The final results of thousands of hours of research are outlined in the book, showing a successful achievement of the CCPs goals for lower cost CO&lt;sub&gt;2&lt;/sub&gt; capture technology and furthering the safe, reliable option of geological storage. The Carbon Dioxide Capture and Storage Project is a valuable reference for any scientists, industrialists, government agencies, and companies interested in a safer, more cost-efficient response to the CO&lt;sub&gt;2&lt;/sub&gt; crisis. *Succeeds in tackling the most important issues at the heart of the CO&lt;sub&gt;2&lt;/sub&gt; crisis: lower-cost and safer solutions, and making the technology available at an industrial level. *Contains technical papers and findings of all researchers involved in the CO&lt;sub&gt;2&lt;/sub&gt; capture and storage project (CCP) *Consolidates thousands of hours of research into a concise and valuable reference work, providing up-to-the minute information on CO&lt;sub&gt;2&lt;/sub&gt; capture and underground storage alternatives. Vol. 1. Capture and separation of carbon dioxide from. combustion sources / edited by David C. Thomas -- Vol. 2. Geologic storage of carbon dioxide with monitoring and verification / edited by Sally M. Benson.", "author" : [ { "dropping-particle" : "", "family" : "Thomas", "given" : "David C.", "non-dropping-particle" : "", "parse-names" : false, "suffix" : "" }, { "dropping-particle" : "", "family" : "Benson", "given" : "Sally.", "non-dropping-particle" : "", "parse-names" : false, "suffix" : "" } ], "id" : "ITEM-1", "issued" : { "date-parts" : [ [ "2005" ] ] }, "publisher" : "Elsevier", "title" : "Carbon dioxide capture for storage in deep geologic formations: results from the CO\u2082 capture project", "type" : "book" }, "uris" : [ "http://www.mendeley.com/documents/?uuid=1232d7e8-51af-39e9-8289-56b93769b28e" ] }, { "id" : "ITEM-2", "itemData" : { "abstract" : "For subscription orders or information about subscription terms, please use distribution@dnv.com Comprehensive information about DNV services, research and publications can be found at http://www.dnv.com, or can be obtained from DNV, Veritas-veien 1, NO-1322 H\u00f8vik, Norway; Tel +47 67 57 99 00, Fax +47 67 57 99 11. If any person suffers loss or damage which is proved to have been caused by any negligent act or omission of Det Norske Veritas, then Det Norske Veritas shall pay compensation to such person for his proved direct loss or damage. However, the compensation shall not exceed an amount equal to ten times the fee charged for the service in question, provided that the maximum compen-sation shall never exceed USD 2 million. In this provision \"Det Norske Veritas\" shall mean the Foundation Det Norske Veritas as well as all its subsidiaries, directors, officers, employees, agents and any other acting on behalf of Det Norske Veritas. FOREWORD DET NORSKE VERITAS (DNV) is an autonomous and independent foundation with the objectives of safeguarding life, prop-erty and the environment, at sea and onshore. DNV undertakes classification, certification, and other verification and consultancy services relating to quality of ships, offshore units and installations, and onshore industries worldwide, and carries out research in relation to these functions. DNV Offshore Codes consist of a three level hierarchy of documents:", "author" : [ { "dropping-particle" : "", "family" : "Det Norske Veritas", "given" : "", "non-dropping-particle" : "", "parse-names" : false, "suffix" : "" } ], "id" : "ITEM-2", "issued" : { "date-parts" : [ [ "2010" ] ] }, "title" : "RECOMMENDED PRACTICE DNV-RP-J202: DESIGN AND OPERATION OF CO2 PIPELINES", "type" : "report" }, "uris" : [ "http://www.mendeley.com/documents/?uuid=ff8635fa-5dd2-3396-abf6-021ccdc38d15" ] } ], "mendeley" : { "formattedCitation" : "[14,15]", "plainTextFormattedCitation" : "[14,15]", "previouslyFormattedCitation" : "[14,15]" }, "properties" : { "noteIndex" : 0 }, "schema" : "https://github.com/citation-style-language/schema/raw/master/csl-citation.json" }</w:instrText>
      </w:r>
      <w:r w:rsidRPr="005A3CEF">
        <w:rPr>
          <w:lang w:val="en-US"/>
        </w:rPr>
        <w:fldChar w:fldCharType="separate"/>
      </w:r>
      <w:r w:rsidR="009829B8" w:rsidRPr="005A3CEF">
        <w:rPr>
          <w:noProof/>
          <w:lang w:val="en-US"/>
        </w:rPr>
        <w:t>[14,15]</w:t>
      </w:r>
      <w:r w:rsidRPr="005A3CEF">
        <w:rPr>
          <w:lang w:val="en-US"/>
        </w:rPr>
        <w:fldChar w:fldCharType="end"/>
      </w:r>
      <w:r w:rsidRPr="005A3CEF">
        <w:rPr>
          <w:lang w:val="en-US"/>
        </w:rPr>
        <w:t>. As a conclusion, the authors confirm that under normal operating conditions, dense phase CO</w:t>
      </w:r>
      <w:r w:rsidRPr="005A3CEF">
        <w:rPr>
          <w:vertAlign w:val="subscript"/>
          <w:lang w:val="en-US"/>
        </w:rPr>
        <w:t>2</w:t>
      </w:r>
      <w:r w:rsidRPr="005A3CEF">
        <w:rPr>
          <w:lang w:val="en-US"/>
        </w:rPr>
        <w:t xml:space="preserve"> can be transported when containing 500 ppm water without any risk of free water formation, because the water solubility is at least 1,500 ppm under these circumstances (see Figure 1). For this reason, the lower extremes of 40 and 50 ppm are probably rather conservative values. </w:t>
      </w:r>
    </w:p>
    <w:p w14:paraId="37932170" w14:textId="0F15FF52" w:rsidR="009B27AE" w:rsidRPr="005A3CEF" w:rsidRDefault="009B27AE" w:rsidP="009B27AE">
      <w:pPr>
        <w:rPr>
          <w:lang w:val="en-US"/>
        </w:rPr>
      </w:pPr>
      <w:r w:rsidRPr="005A3CEF">
        <w:rPr>
          <w:lang w:val="en-US"/>
        </w:rPr>
        <w:lastRenderedPageBreak/>
        <w:t>The water content inside the outlet CO</w:t>
      </w:r>
      <w:r w:rsidRPr="005A3CEF">
        <w:rPr>
          <w:vertAlign w:val="subscript"/>
          <w:lang w:val="en-US"/>
        </w:rPr>
        <w:t>2</w:t>
      </w:r>
      <w:r w:rsidRPr="005A3CEF">
        <w:rPr>
          <w:lang w:val="en-US"/>
        </w:rPr>
        <w:t xml:space="preserve"> stream was extremely lo</w:t>
      </w:r>
      <w:r w:rsidR="004E4E96" w:rsidRPr="005A3CEF">
        <w:rPr>
          <w:lang w:val="en-US"/>
        </w:rPr>
        <w:t>w in the proposed SOFCOM system</w:t>
      </w:r>
      <w:r w:rsidRPr="005A3CEF">
        <w:rPr>
          <w:lang w:val="en-US"/>
        </w:rPr>
        <w:t xml:space="preserve">: the water content in the outlet stream reaches a value around </w:t>
      </w:r>
      <w:r w:rsidR="004E4E96" w:rsidRPr="005A3CEF">
        <w:rPr>
          <w:lang w:val="en-US"/>
        </w:rPr>
        <w:t xml:space="preserve">and lower than </w:t>
      </w:r>
      <w:r w:rsidRPr="005A3CEF">
        <w:rPr>
          <w:lang w:val="en-US"/>
        </w:rPr>
        <w:t>100 ppm</w:t>
      </w:r>
      <w:r w:rsidR="004E4E96" w:rsidRPr="005A3CEF">
        <w:rPr>
          <w:lang w:val="en-US"/>
        </w:rPr>
        <w:t xml:space="preserve"> (v) (</w:t>
      </w:r>
      <w:r w:rsidR="004E4E96" w:rsidRPr="005A3CEF">
        <w:rPr>
          <w:lang w:val="en-US"/>
        </w:rPr>
        <w:fldChar w:fldCharType="begin"/>
      </w:r>
      <w:r w:rsidR="004E4E96" w:rsidRPr="005A3CEF">
        <w:rPr>
          <w:lang w:val="en-US"/>
        </w:rPr>
        <w:instrText xml:space="preserve"> REF _Ref470797850 \h </w:instrText>
      </w:r>
      <w:r w:rsidR="004E4E96" w:rsidRPr="005A3CEF">
        <w:rPr>
          <w:lang w:val="en-US"/>
        </w:rPr>
      </w:r>
      <w:r w:rsidR="004E4E96" w:rsidRPr="005A3CEF">
        <w:rPr>
          <w:lang w:val="en-US"/>
        </w:rPr>
        <w:fldChar w:fldCharType="separate"/>
      </w:r>
      <w:r w:rsidR="004E4E96" w:rsidRPr="005A3CEF">
        <w:t xml:space="preserve">Figure </w:t>
      </w:r>
      <w:r w:rsidR="004E4E96" w:rsidRPr="005A3CEF">
        <w:rPr>
          <w:noProof/>
        </w:rPr>
        <w:t>15</w:t>
      </w:r>
      <w:r w:rsidR="004E4E96" w:rsidRPr="005A3CEF">
        <w:rPr>
          <w:lang w:val="en-US"/>
        </w:rPr>
        <w:fldChar w:fldCharType="end"/>
      </w:r>
      <w:r w:rsidR="004E4E96" w:rsidRPr="005A3CEF">
        <w:rPr>
          <w:lang w:val="en-US"/>
        </w:rPr>
        <w:t>)</w:t>
      </w:r>
      <w:r w:rsidRPr="005A3CEF">
        <w:rPr>
          <w:lang w:val="en-US"/>
        </w:rPr>
        <w:t>. Hence, the water content that was achieved is safe in term of water condensation and related corrosion issues.</w:t>
      </w:r>
    </w:p>
    <w:p w14:paraId="362710B1" w14:textId="335AD71D" w:rsidR="0035109B" w:rsidRPr="006922B2" w:rsidRDefault="0035109B" w:rsidP="0035109B">
      <w:pPr>
        <w:pStyle w:val="Titolo3"/>
        <w:numPr>
          <w:ilvl w:val="1"/>
          <w:numId w:val="2"/>
        </w:numPr>
        <w:ind w:left="1068"/>
        <w:rPr>
          <w:color w:val="4F81BD" w:themeColor="accent1"/>
          <w:sz w:val="24"/>
          <w:lang w:val="en-US"/>
        </w:rPr>
      </w:pPr>
      <w:r w:rsidRPr="006922B2">
        <w:rPr>
          <w:color w:val="4F81BD" w:themeColor="accent1"/>
          <w:sz w:val="24"/>
          <w:lang w:val="en-US"/>
        </w:rPr>
        <w:t>Photo-bio-reactor</w:t>
      </w:r>
    </w:p>
    <w:p w14:paraId="7535B715" w14:textId="21E0C63C" w:rsidR="008B4125" w:rsidRPr="00CF344B" w:rsidRDefault="008B4125" w:rsidP="008B4125">
      <w:pPr>
        <w:spacing w:after="0"/>
      </w:pPr>
      <w:proofErr w:type="spellStart"/>
      <w:r>
        <w:t>Photobioreactor</w:t>
      </w:r>
      <w:proofErr w:type="spellEnd"/>
      <w:r>
        <w:t xml:space="preserve"> specific tests have been </w:t>
      </w:r>
      <w:r w:rsidR="00F02815">
        <w:t xml:space="preserve">performed </w:t>
      </w:r>
      <w:r>
        <w:t>related to the direct feeding of biogas and non-</w:t>
      </w:r>
      <w:r w:rsidR="006862A8">
        <w:t>combusted exhaust to the system, to check if the feeding with purified CO</w:t>
      </w:r>
      <w:r w:rsidR="006862A8" w:rsidRPr="0009416C">
        <w:rPr>
          <w:vertAlign w:val="subscript"/>
        </w:rPr>
        <w:t>2</w:t>
      </w:r>
      <w:r w:rsidR="006862A8">
        <w:t xml:space="preserve"> was indeed a more </w:t>
      </w:r>
      <w:r w:rsidR="006862A8" w:rsidRPr="00680ECD">
        <w:rPr>
          <w:noProof/>
        </w:rPr>
        <w:t>effective</w:t>
      </w:r>
      <w:r w:rsidR="006862A8">
        <w:t xml:space="preserve"> solution.</w:t>
      </w:r>
    </w:p>
    <w:p w14:paraId="4915697B" w14:textId="3DFE033A" w:rsidR="008B4125" w:rsidRDefault="008B4125" w:rsidP="008B4125">
      <w:pPr>
        <w:spacing w:after="0"/>
      </w:pPr>
      <w:r>
        <w:t xml:space="preserve">Results from the biogas feeding test </w:t>
      </w:r>
      <w:r w:rsidRPr="00680ECD">
        <w:rPr>
          <w:noProof/>
        </w:rPr>
        <w:t>are shown</w:t>
      </w:r>
      <w:r>
        <w:t xml:space="preserve"> </w:t>
      </w:r>
      <w:r w:rsidR="00680ECD">
        <w:rPr>
          <w:noProof/>
        </w:rPr>
        <w:t>i</w:t>
      </w:r>
      <w:r w:rsidRPr="00680ECD">
        <w:rPr>
          <w:noProof/>
        </w:rPr>
        <w:t>n</w:t>
      </w:r>
      <w:r>
        <w:t xml:space="preserve"> </w:t>
      </w:r>
      <w:r w:rsidR="008D619E">
        <w:fldChar w:fldCharType="begin"/>
      </w:r>
      <w:r w:rsidR="008D619E">
        <w:instrText xml:space="preserve"> REF _Ref469581035 \h </w:instrText>
      </w:r>
      <w:r w:rsidR="008D619E">
        <w:fldChar w:fldCharType="separate"/>
      </w:r>
      <w:r w:rsidR="008D619E">
        <w:t xml:space="preserve">Figure </w:t>
      </w:r>
      <w:r w:rsidR="008D619E">
        <w:rPr>
          <w:noProof/>
        </w:rPr>
        <w:t>16</w:t>
      </w:r>
      <w:r w:rsidR="008D619E">
        <w:fldChar w:fldCharType="end"/>
      </w:r>
      <w:r>
        <w:t xml:space="preserve">. As can be seen, the injection of biogas in the autochthone algae </w:t>
      </w:r>
      <w:r w:rsidRPr="00680ECD">
        <w:rPr>
          <w:noProof/>
        </w:rPr>
        <w:t>specie</w:t>
      </w:r>
      <w:r w:rsidR="00680ECD">
        <w:rPr>
          <w:noProof/>
        </w:rPr>
        <w:t>s</w:t>
      </w:r>
      <w:r>
        <w:t xml:space="preserve"> Chlorella </w:t>
      </w:r>
      <w:r w:rsidR="00312156">
        <w:t xml:space="preserve">Vulgaris </w:t>
      </w:r>
      <w:r>
        <w:t xml:space="preserve">for Turin cause growth inhibition. The oxygen curve (oxygen production means that algae are growing), which is </w:t>
      </w:r>
      <w:r w:rsidRPr="00680ECD">
        <w:rPr>
          <w:noProof/>
        </w:rPr>
        <w:t>normally</w:t>
      </w:r>
      <w:r>
        <w:t xml:space="preserve"> following the temperature/irradiation trend during the day, presents a decrease when biogas </w:t>
      </w:r>
      <w:r w:rsidRPr="00680ECD">
        <w:rPr>
          <w:noProof/>
        </w:rPr>
        <w:t>is fed</w:t>
      </w:r>
      <w:r>
        <w:t xml:space="preserve">. This standard </w:t>
      </w:r>
      <w:r w:rsidR="00312156">
        <w:t>C</w:t>
      </w:r>
      <w:r>
        <w:t xml:space="preserve">hlorella is thus not suitable, in its current operating conditions, for biogas feed. </w:t>
      </w:r>
    </w:p>
    <w:p w14:paraId="64EC92A0" w14:textId="27532A57" w:rsidR="008B4125" w:rsidRDefault="008B4125">
      <w:pPr>
        <w:spacing w:after="0"/>
      </w:pPr>
      <w:r>
        <w:t xml:space="preserve">When biogas feeding </w:t>
      </w:r>
      <w:r w:rsidRPr="00680ECD">
        <w:rPr>
          <w:noProof/>
        </w:rPr>
        <w:t>was stopped</w:t>
      </w:r>
      <w:r>
        <w:t xml:space="preserve">, the PBR was able to recover the inhibition </w:t>
      </w:r>
      <w:r w:rsidRPr="00680ECD">
        <w:rPr>
          <w:noProof/>
        </w:rPr>
        <w:t>phase</w:t>
      </w:r>
      <w:r w:rsidR="00680ECD">
        <w:rPr>
          <w:noProof/>
        </w:rPr>
        <w:t>,</w:t>
      </w:r>
      <w:r>
        <w:t xml:space="preserve"> and the trend was again proportional to the irradiation one.  When the system growing phase </w:t>
      </w:r>
      <w:r w:rsidRPr="00680ECD">
        <w:rPr>
          <w:noProof/>
        </w:rPr>
        <w:t>was started</w:t>
      </w:r>
      <w:r>
        <w:t xml:space="preserve"> again (O</w:t>
      </w:r>
      <w:r w:rsidRPr="0009416C">
        <w:rPr>
          <w:vertAlign w:val="subscript"/>
        </w:rPr>
        <w:t>2</w:t>
      </w:r>
      <w:r>
        <w:t xml:space="preserve"> proportional to temperature), the non-combusted stream was fed to the PBR.</w:t>
      </w:r>
    </w:p>
    <w:p w14:paraId="62C1E049" w14:textId="7FB5FD28" w:rsidR="008B4125" w:rsidRDefault="008B4125" w:rsidP="00FD0C2B">
      <w:pPr>
        <w:spacing w:after="0"/>
      </w:pPr>
      <w:r>
        <w:t xml:space="preserve">The choice of </w:t>
      </w:r>
      <w:r w:rsidRPr="00680ECD">
        <w:rPr>
          <w:noProof/>
        </w:rPr>
        <w:t>analy</w:t>
      </w:r>
      <w:r w:rsidR="00680ECD">
        <w:rPr>
          <w:noProof/>
        </w:rPr>
        <w:t>z</w:t>
      </w:r>
      <w:r w:rsidRPr="00680ECD">
        <w:rPr>
          <w:noProof/>
        </w:rPr>
        <w:t>ing</w:t>
      </w:r>
      <w:r>
        <w:t xml:space="preserve"> the effect of non-combusted fuel feeding to the PBR was due </w:t>
      </w:r>
      <w:r w:rsidR="00F02815">
        <w:t xml:space="preserve">to the following </w:t>
      </w:r>
      <w:r>
        <w:t>reasons:</w:t>
      </w:r>
    </w:p>
    <w:p w14:paraId="42C63A65" w14:textId="71B848FE" w:rsidR="008B4125" w:rsidRDefault="008B4125" w:rsidP="00EC386E">
      <w:pPr>
        <w:pStyle w:val="Paragrafoelenco"/>
        <w:numPr>
          <w:ilvl w:val="0"/>
          <w:numId w:val="29"/>
        </w:numPr>
      </w:pPr>
      <w:r>
        <w:t>In differe</w:t>
      </w:r>
      <w:r w:rsidR="006862A8">
        <w:t xml:space="preserve">nt </w:t>
      </w:r>
      <w:r w:rsidR="006862A8" w:rsidRPr="00680ECD">
        <w:rPr>
          <w:noProof/>
        </w:rPr>
        <w:t>literature</w:t>
      </w:r>
      <w:r w:rsidR="006862A8">
        <w:t xml:space="preserve"> works</w:t>
      </w:r>
      <w:r w:rsidR="00680ECD">
        <w:t>, it</w:t>
      </w:r>
      <w:r w:rsidR="006862A8">
        <w:t xml:space="preserve"> </w:t>
      </w:r>
      <w:r w:rsidR="006862A8" w:rsidRPr="00680ECD">
        <w:rPr>
          <w:noProof/>
        </w:rPr>
        <w:t>is</w:t>
      </w:r>
      <w:r w:rsidR="006862A8">
        <w:t xml:space="preserve"> </w:t>
      </w:r>
      <w:r w:rsidR="00680ECD">
        <w:rPr>
          <w:noProof/>
        </w:rPr>
        <w:t>shown</w:t>
      </w:r>
      <w:r>
        <w:t xml:space="preserve"> </w:t>
      </w:r>
      <w:r w:rsidR="00680ECD">
        <w:t>how the</w:t>
      </w:r>
      <w:r>
        <w:t xml:space="preserve"> CO</w:t>
      </w:r>
      <w:r w:rsidRPr="00EC386E">
        <w:rPr>
          <w:vertAlign w:val="subscript"/>
        </w:rPr>
        <w:t>2</w:t>
      </w:r>
      <w:r>
        <w:t xml:space="preserve"> feed to PBR </w:t>
      </w:r>
      <w:r w:rsidR="00F02815">
        <w:t>does not need</w:t>
      </w:r>
      <w:r>
        <w:t xml:space="preserve"> </w:t>
      </w:r>
      <w:r w:rsidR="00F02815">
        <w:t xml:space="preserve">to </w:t>
      </w:r>
      <w:r>
        <w:t>be 100% pure. A more diluted CO</w:t>
      </w:r>
      <w:r w:rsidRPr="00EC386E">
        <w:rPr>
          <w:vertAlign w:val="subscript"/>
        </w:rPr>
        <w:t>2</w:t>
      </w:r>
      <w:r>
        <w:t xml:space="preserve"> is also suitable for alga</w:t>
      </w:r>
      <w:r w:rsidR="006862A8">
        <w:t xml:space="preserve">e growth. The anode exhaust is </w:t>
      </w:r>
      <w:r>
        <w:t>a diluted CO</w:t>
      </w:r>
      <w:r w:rsidRPr="00312156">
        <w:rPr>
          <w:vertAlign w:val="subscript"/>
        </w:rPr>
        <w:t>2</w:t>
      </w:r>
      <w:r>
        <w:t xml:space="preserve"> stream, even if carbon dioxide </w:t>
      </w:r>
      <w:r w:rsidRPr="00680ECD">
        <w:rPr>
          <w:noProof/>
        </w:rPr>
        <w:t>is diluted</w:t>
      </w:r>
      <w:r>
        <w:t xml:space="preserve"> with fuels such as hydrogen and carbon monoxide. </w:t>
      </w:r>
    </w:p>
    <w:p w14:paraId="49BB016B" w14:textId="2D49AC9D" w:rsidR="008B4125" w:rsidRDefault="008B4125" w:rsidP="00EC386E">
      <w:pPr>
        <w:pStyle w:val="Paragrafoelenco"/>
        <w:numPr>
          <w:ilvl w:val="0"/>
          <w:numId w:val="29"/>
        </w:numPr>
      </w:pPr>
      <w:r>
        <w:t>To avoid the oxy-combustion stage would be interesting from and economic point of view</w:t>
      </w:r>
      <w:r w:rsidR="006862A8">
        <w:t>,</w:t>
      </w:r>
      <w:r>
        <w:t xml:space="preserve"> since pure oxygen is required with a consequent energy and economic cost. </w:t>
      </w:r>
    </w:p>
    <w:p w14:paraId="26323FB6" w14:textId="6A9D5A26" w:rsidR="008B4125" w:rsidRDefault="008B4125" w:rsidP="00EC386E">
      <w:pPr>
        <w:pStyle w:val="Paragrafoelenco"/>
        <w:numPr>
          <w:ilvl w:val="0"/>
          <w:numId w:val="29"/>
        </w:numPr>
      </w:pPr>
      <w:r>
        <w:t>Despite th</w:t>
      </w:r>
      <w:r w:rsidR="00546F8A">
        <w:t>ese</w:t>
      </w:r>
      <w:r>
        <w:t xml:space="preserve"> advantages in feeding the non-combusted stream to the PBR, </w:t>
      </w:r>
      <w:r w:rsidRPr="00680ECD">
        <w:rPr>
          <w:noProof/>
        </w:rPr>
        <w:t>results</w:t>
      </w:r>
      <w:r w:rsidR="00680ECD">
        <w:rPr>
          <w:noProof/>
        </w:rPr>
        <w:t xml:space="preserve"> in</w:t>
      </w:r>
      <w:r>
        <w:t xml:space="preserve"> </w:t>
      </w:r>
      <w:r w:rsidRPr="005D3EBC">
        <w:t>(</w:t>
      </w:r>
      <w:r w:rsidR="008D619E">
        <w:fldChar w:fldCharType="begin"/>
      </w:r>
      <w:r w:rsidR="008D619E">
        <w:instrText xml:space="preserve"> REF _Ref469581035 \h </w:instrText>
      </w:r>
      <w:r w:rsidR="008D619E">
        <w:fldChar w:fldCharType="separate"/>
      </w:r>
      <w:r w:rsidR="008D619E">
        <w:t xml:space="preserve">Figure </w:t>
      </w:r>
      <w:r w:rsidR="008D619E">
        <w:rPr>
          <w:noProof/>
        </w:rPr>
        <w:t>16</w:t>
      </w:r>
      <w:r w:rsidR="008D619E">
        <w:fldChar w:fldCharType="end"/>
      </w:r>
      <w:r w:rsidRPr="005D3EBC">
        <w:t>)</w:t>
      </w:r>
      <w:r>
        <w:t xml:space="preserve"> show again an inhibition of the algae growth. The </w:t>
      </w:r>
      <w:r w:rsidRPr="00680ECD">
        <w:rPr>
          <w:noProof/>
        </w:rPr>
        <w:t>behavior</w:t>
      </w:r>
      <w:r>
        <w:t xml:space="preserve"> of the system is the same presented before </w:t>
      </w:r>
      <w:r w:rsidR="00546F8A">
        <w:t xml:space="preserve">when </w:t>
      </w:r>
      <w:r>
        <w:t xml:space="preserve">biogas </w:t>
      </w:r>
      <w:r w:rsidR="00546F8A" w:rsidRPr="00680ECD">
        <w:rPr>
          <w:noProof/>
        </w:rPr>
        <w:t>was injected</w:t>
      </w:r>
      <w:r>
        <w:t>.</w:t>
      </w:r>
    </w:p>
    <w:p w14:paraId="70C2FAC9" w14:textId="44BFCFF8" w:rsidR="008B4125" w:rsidRDefault="008B4125" w:rsidP="00FD0C2B">
      <w:pPr>
        <w:spacing w:after="0"/>
      </w:pPr>
      <w:r>
        <w:t xml:space="preserve">Furthermore, if the derivative trend is </w:t>
      </w:r>
      <w:r w:rsidRPr="00680ECD">
        <w:rPr>
          <w:noProof/>
        </w:rPr>
        <w:t>analy</w:t>
      </w:r>
      <w:r w:rsidR="00680ECD">
        <w:rPr>
          <w:noProof/>
        </w:rPr>
        <w:t>z</w:t>
      </w:r>
      <w:r w:rsidRPr="00680ECD">
        <w:rPr>
          <w:noProof/>
        </w:rPr>
        <w:t>ed</w:t>
      </w:r>
      <w:r>
        <w:t>, the non-combusted stream seems to have a higher slope than the biogas one. The CO</w:t>
      </w:r>
      <w:r w:rsidRPr="0009416C">
        <w:rPr>
          <w:vertAlign w:val="subscript"/>
        </w:rPr>
        <w:t>2</w:t>
      </w:r>
      <w:r>
        <w:t xml:space="preserve"> content in the anode exhaust, on a dry basis, is 58% on nominal conditions, thus </w:t>
      </w:r>
      <w:r w:rsidRPr="00680ECD">
        <w:rPr>
          <w:noProof/>
        </w:rPr>
        <w:t>higher</w:t>
      </w:r>
      <w:r>
        <w:t xml:space="preserve"> than 40% content in pure biogas.</w:t>
      </w:r>
    </w:p>
    <w:p w14:paraId="031BF0C7" w14:textId="77777777" w:rsidR="008B4125" w:rsidRPr="00DC064A" w:rsidRDefault="008B4125" w:rsidP="00FD0C2B">
      <w:pPr>
        <w:spacing w:after="0"/>
      </w:pPr>
      <w:r>
        <w:t>Despite a higher CO</w:t>
      </w:r>
      <w:r w:rsidRPr="0009416C">
        <w:rPr>
          <w:vertAlign w:val="subscript"/>
        </w:rPr>
        <w:t>2</w:t>
      </w:r>
      <w:r>
        <w:t xml:space="preserve"> stream concentration, the presence of H</w:t>
      </w:r>
      <w:r w:rsidRPr="0009416C">
        <w:rPr>
          <w:vertAlign w:val="subscript"/>
        </w:rPr>
        <w:t>2</w:t>
      </w:r>
      <w:r>
        <w:t xml:space="preserve"> and CO seems to have a more </w:t>
      </w:r>
      <w:r w:rsidRPr="00680ECD">
        <w:rPr>
          <w:noProof/>
        </w:rPr>
        <w:t>negative</w:t>
      </w:r>
      <w:r>
        <w:t xml:space="preserve"> effect on the PBR performance.</w:t>
      </w:r>
    </w:p>
    <w:p w14:paraId="3203905C" w14:textId="77777777" w:rsidR="008D619E" w:rsidRDefault="002631BC" w:rsidP="008D619E">
      <w:pPr>
        <w:keepNext/>
        <w:spacing w:after="0"/>
        <w:jc w:val="center"/>
      </w:pPr>
      <w:r>
        <w:rPr>
          <w:noProof/>
          <w:lang w:val="it-IT" w:eastAsia="it-IT"/>
        </w:rPr>
        <w:lastRenderedPageBreak/>
        <w:drawing>
          <wp:inline distT="0" distB="0" distL="0" distR="0" wp14:anchorId="329ECFE7" wp14:editId="119AAE22">
            <wp:extent cx="4892040" cy="3185160"/>
            <wp:effectExtent l="0" t="0" r="3810" b="0"/>
            <wp:docPr id="46" name="Immagin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l="1209" t="1623" r="1714" b="1466"/>
                    <a:stretch/>
                  </pic:blipFill>
                  <pic:spPr bwMode="auto">
                    <a:xfrm>
                      <a:off x="0" y="0"/>
                      <a:ext cx="4892662" cy="3185565"/>
                    </a:xfrm>
                    <a:prstGeom prst="rect">
                      <a:avLst/>
                    </a:prstGeom>
                    <a:noFill/>
                    <a:ln>
                      <a:noFill/>
                    </a:ln>
                    <a:extLst>
                      <a:ext uri="{53640926-AAD7-44D8-BBD7-CCE9431645EC}">
                        <a14:shadowObscured xmlns:a14="http://schemas.microsoft.com/office/drawing/2010/main"/>
                      </a:ext>
                    </a:extLst>
                  </pic:spPr>
                </pic:pic>
              </a:graphicData>
            </a:graphic>
          </wp:inline>
        </w:drawing>
      </w:r>
    </w:p>
    <w:p w14:paraId="68BF6C28" w14:textId="7D3D4C74" w:rsidR="008B4125" w:rsidRDefault="008D619E" w:rsidP="00FD0C2B">
      <w:pPr>
        <w:pStyle w:val="Didascalia"/>
      </w:pPr>
      <w:bookmarkStart w:id="26" w:name="_Ref469581035"/>
      <w:r>
        <w:t xml:space="preserve">Figure </w:t>
      </w:r>
      <w:r>
        <w:fldChar w:fldCharType="begin"/>
      </w:r>
      <w:r>
        <w:instrText xml:space="preserve"> SEQ Figure \* ARABIC </w:instrText>
      </w:r>
      <w:r>
        <w:fldChar w:fldCharType="separate"/>
      </w:r>
      <w:r>
        <w:rPr>
          <w:noProof/>
        </w:rPr>
        <w:t>16</w:t>
      </w:r>
      <w:r>
        <w:fldChar w:fldCharType="end"/>
      </w:r>
      <w:bookmarkEnd w:id="26"/>
      <w:r w:rsidR="008B4125" w:rsidRPr="00EC386E">
        <w:t xml:space="preserve">. </w:t>
      </w:r>
      <w:r w:rsidR="008B4125" w:rsidRPr="00680ECD">
        <w:rPr>
          <w:noProof/>
        </w:rPr>
        <w:t>PBR specific</w:t>
      </w:r>
      <w:r w:rsidR="008B4125" w:rsidRPr="00EC386E">
        <w:t xml:space="preserve"> tests results.</w:t>
      </w:r>
    </w:p>
    <w:p w14:paraId="3346FA1D" w14:textId="1146085A" w:rsidR="0035109B" w:rsidRPr="006922B2" w:rsidRDefault="006862A8" w:rsidP="0035109B">
      <w:pPr>
        <w:pStyle w:val="Titolo3"/>
        <w:numPr>
          <w:ilvl w:val="1"/>
          <w:numId w:val="2"/>
        </w:numPr>
        <w:ind w:left="1068"/>
        <w:rPr>
          <w:color w:val="4F81BD" w:themeColor="accent1"/>
          <w:sz w:val="24"/>
          <w:lang w:val="en-US"/>
        </w:rPr>
      </w:pPr>
      <w:r w:rsidRPr="006922B2">
        <w:rPr>
          <w:color w:val="4F81BD" w:themeColor="accent1"/>
          <w:sz w:val="24"/>
          <w:lang w:val="en-US"/>
        </w:rPr>
        <w:t xml:space="preserve">Analysis of actual </w:t>
      </w:r>
      <w:r w:rsidR="00FD2D52" w:rsidRPr="006922B2">
        <w:rPr>
          <w:color w:val="4F81BD" w:themeColor="accent1"/>
          <w:sz w:val="24"/>
          <w:lang w:val="en-US"/>
        </w:rPr>
        <w:t>CO</w:t>
      </w:r>
      <w:r w:rsidR="00FD2D52" w:rsidRPr="006922B2">
        <w:rPr>
          <w:color w:val="4F81BD" w:themeColor="accent1"/>
          <w:sz w:val="24"/>
          <w:vertAlign w:val="subscript"/>
          <w:lang w:val="en-US"/>
        </w:rPr>
        <w:t>2</w:t>
      </w:r>
      <w:r w:rsidR="00FD2D52" w:rsidRPr="006922B2">
        <w:rPr>
          <w:color w:val="4F81BD" w:themeColor="accent1"/>
          <w:sz w:val="24"/>
          <w:lang w:val="en-US"/>
        </w:rPr>
        <w:t xml:space="preserve"> capture in </w:t>
      </w:r>
      <w:r w:rsidRPr="006922B2">
        <w:rPr>
          <w:color w:val="4F81BD" w:themeColor="accent1"/>
          <w:sz w:val="24"/>
          <w:lang w:val="en-US"/>
        </w:rPr>
        <w:t>micro-algae</w:t>
      </w:r>
    </w:p>
    <w:p w14:paraId="181608BE" w14:textId="3AA40125" w:rsidR="00DE1434" w:rsidRDefault="0009416C" w:rsidP="00DE1434">
      <w:pPr>
        <w:spacing w:after="0"/>
      </w:pPr>
      <w:r>
        <w:t>T</w:t>
      </w:r>
      <w:r w:rsidR="00DE1434">
        <w:t>he main result achieved</w:t>
      </w:r>
      <w:r>
        <w:t xml:space="preserve"> during the PBR </w:t>
      </w:r>
      <w:r w:rsidRPr="00680ECD">
        <w:rPr>
          <w:noProof/>
        </w:rPr>
        <w:t>operation</w:t>
      </w:r>
      <w:r w:rsidR="00680ECD">
        <w:rPr>
          <w:noProof/>
        </w:rPr>
        <w:t>, in the long run,</w:t>
      </w:r>
      <w:r>
        <w:t xml:space="preserve"> is</w:t>
      </w:r>
      <w:r w:rsidR="00DE1434">
        <w:t xml:space="preserve"> the growing rate of algae</w:t>
      </w:r>
      <w:r w:rsidR="00DE1434" w:rsidRPr="005D3EBC">
        <w:t>.</w:t>
      </w:r>
      <w:r w:rsidR="00DE1434">
        <w:t xml:space="preserve"> The </w:t>
      </w:r>
      <w:r w:rsidR="00DE1434" w:rsidRPr="00680ECD">
        <w:rPr>
          <w:noProof/>
        </w:rPr>
        <w:t>growing</w:t>
      </w:r>
      <w:r w:rsidR="00DE1434">
        <w:t xml:space="preserve"> rate </w:t>
      </w:r>
      <w:r w:rsidR="00DE1434" w:rsidRPr="00680ECD">
        <w:rPr>
          <w:noProof/>
        </w:rPr>
        <w:t>was calculated</w:t>
      </w:r>
      <w:r w:rsidR="00DE1434">
        <w:t xml:space="preserve"> </w:t>
      </w:r>
      <w:r w:rsidR="006862A8">
        <w:t>with</w:t>
      </w:r>
      <w:r w:rsidR="00DE1434">
        <w:t xml:space="preserve"> algae sampling and </w:t>
      </w:r>
      <w:r w:rsidR="00DE1434" w:rsidRPr="00680ECD">
        <w:rPr>
          <w:noProof/>
        </w:rPr>
        <w:t>elementary</w:t>
      </w:r>
      <w:r w:rsidR="00DE1434">
        <w:t xml:space="preserve"> analysis done by SMAT laboratories. </w:t>
      </w:r>
    </w:p>
    <w:p w14:paraId="146B379F" w14:textId="09EA19F8" w:rsidR="00EF12B7" w:rsidRDefault="001D3584" w:rsidP="00DE1434">
      <w:pPr>
        <w:spacing w:after="0"/>
      </w:pPr>
      <w:r>
        <w:t xml:space="preserve">The growing rate </w:t>
      </w:r>
      <w:r w:rsidRPr="00680ECD">
        <w:rPr>
          <w:noProof/>
        </w:rPr>
        <w:t>is calculated</w:t>
      </w:r>
      <w:r>
        <w:t xml:space="preserve"> by dividing the measured dry algae quantity per the time required for the growth and the total PBR surface (</w:t>
      </w:r>
      <w:r w:rsidR="00312156">
        <w:t xml:space="preserve">area of the system exposed to sun radiation, equal to </w:t>
      </w:r>
      <w:r>
        <w:t xml:space="preserve">9 </w:t>
      </w:r>
      <w:r w:rsidRPr="00680ECD">
        <w:rPr>
          <w:noProof/>
        </w:rPr>
        <w:t>m</w:t>
      </w:r>
      <w:r w:rsidRPr="00680ECD">
        <w:rPr>
          <w:noProof/>
          <w:vertAlign w:val="superscript"/>
        </w:rPr>
        <w:t>2</w:t>
      </w:r>
      <w:r w:rsidRPr="00680ECD">
        <w:rPr>
          <w:noProof/>
        </w:rPr>
        <w:t>).</w:t>
      </w:r>
    </w:p>
    <w:p w14:paraId="205A24FC" w14:textId="3A3B4922" w:rsidR="00DE1434" w:rsidRDefault="00DE1434" w:rsidP="00DE1434">
      <w:pPr>
        <w:spacing w:after="0"/>
      </w:pPr>
      <w:r>
        <w:t xml:space="preserve">The working operation of the system can </w:t>
      </w:r>
      <w:r w:rsidRPr="00680ECD">
        <w:rPr>
          <w:noProof/>
        </w:rPr>
        <w:t>be divided</w:t>
      </w:r>
      <w:r>
        <w:t xml:space="preserve"> into different operation intervals:</w:t>
      </w:r>
    </w:p>
    <w:p w14:paraId="3D49A7B8" w14:textId="0BFCA6BF" w:rsidR="00DE1434" w:rsidRDefault="0009416C" w:rsidP="00EF12B7">
      <w:pPr>
        <w:pStyle w:val="Paragrafoelenco"/>
        <w:numPr>
          <w:ilvl w:val="0"/>
          <w:numId w:val="20"/>
        </w:numPr>
      </w:pPr>
      <w:r>
        <w:rPr>
          <w:b/>
        </w:rPr>
        <w:t>Test A (</w:t>
      </w:r>
      <w:r w:rsidR="00DE1434" w:rsidRPr="003802F3">
        <w:rPr>
          <w:b/>
        </w:rPr>
        <w:t>January-February 2015</w:t>
      </w:r>
      <w:r>
        <w:rPr>
          <w:b/>
        </w:rPr>
        <w:t>)</w:t>
      </w:r>
      <w:r w:rsidR="00DE1434">
        <w:t xml:space="preserve">: almost no algae growth </w:t>
      </w:r>
      <w:r w:rsidR="00DE1434" w:rsidRPr="00680ECD">
        <w:rPr>
          <w:noProof/>
        </w:rPr>
        <w:t>was observed</w:t>
      </w:r>
      <w:r w:rsidR="00DE1434">
        <w:t xml:space="preserve">. </w:t>
      </w:r>
      <w:r w:rsidR="00DE1434" w:rsidRPr="00680ECD">
        <w:rPr>
          <w:noProof/>
        </w:rPr>
        <w:t>This was</w:t>
      </w:r>
      <w:r w:rsidR="00DE1434">
        <w:t xml:space="preserve"> mainly due to the cold we</w:t>
      </w:r>
      <w:r w:rsidR="006862A8">
        <w:t>ather with few sunny days and a</w:t>
      </w:r>
      <w:r w:rsidR="00DE1434">
        <w:t xml:space="preserve"> consequent unstable operation of the system due to maintenance and freezing problems.</w:t>
      </w:r>
    </w:p>
    <w:p w14:paraId="4DB42552" w14:textId="01C054A9" w:rsidR="00DE1434" w:rsidRDefault="0009416C" w:rsidP="00EF12B7">
      <w:pPr>
        <w:pStyle w:val="Paragrafoelenco"/>
        <w:numPr>
          <w:ilvl w:val="0"/>
          <w:numId w:val="20"/>
        </w:numPr>
      </w:pPr>
      <w:r>
        <w:rPr>
          <w:b/>
        </w:rPr>
        <w:t>Test B (</w:t>
      </w:r>
      <w:r w:rsidR="00DE1434">
        <w:rPr>
          <w:b/>
        </w:rPr>
        <w:t>March 2015</w:t>
      </w:r>
      <w:r>
        <w:rPr>
          <w:b/>
        </w:rPr>
        <w:t>)</w:t>
      </w:r>
      <w:r w:rsidR="00DE1434" w:rsidRPr="003802F3">
        <w:t>:</w:t>
      </w:r>
      <w:r w:rsidR="00DE1434">
        <w:t xml:space="preserve"> during March 2015 the algae started to </w:t>
      </w:r>
      <w:r w:rsidR="00DE1434" w:rsidRPr="00680ECD">
        <w:rPr>
          <w:noProof/>
        </w:rPr>
        <w:t>grow</w:t>
      </w:r>
      <w:r w:rsidR="00680ECD">
        <w:rPr>
          <w:noProof/>
        </w:rPr>
        <w:t>,</w:t>
      </w:r>
      <w:r w:rsidR="00DE1434">
        <w:t xml:space="preserve"> and pipes </w:t>
      </w:r>
      <w:r w:rsidR="00DE1434" w:rsidRPr="00680ECD">
        <w:rPr>
          <w:noProof/>
        </w:rPr>
        <w:t>start</w:t>
      </w:r>
      <w:r w:rsidR="00546F8A" w:rsidRPr="00680ECD">
        <w:rPr>
          <w:noProof/>
        </w:rPr>
        <w:t>ed</w:t>
      </w:r>
      <w:r w:rsidR="00546F8A">
        <w:t xml:space="preserve"> to</w:t>
      </w:r>
      <w:r w:rsidR="00DE1434">
        <w:t xml:space="preserve"> </w:t>
      </w:r>
      <w:r w:rsidR="00546F8A">
        <w:t xml:space="preserve">become </w:t>
      </w:r>
      <w:r w:rsidR="00DE1434">
        <w:t xml:space="preserve">green. A high irradiation </w:t>
      </w:r>
      <w:r w:rsidR="00DE1434" w:rsidRPr="00680ECD">
        <w:rPr>
          <w:noProof/>
        </w:rPr>
        <w:t>was reached</w:t>
      </w:r>
      <w:r w:rsidR="00DE1434">
        <w:t xml:space="preserve"> in mid</w:t>
      </w:r>
      <w:r w:rsidR="00546F8A">
        <w:t>-</w:t>
      </w:r>
      <w:r w:rsidR="00DE1434">
        <w:t xml:space="preserve">March </w:t>
      </w:r>
      <w:r w:rsidR="00546F8A">
        <w:t xml:space="preserve">leading to </w:t>
      </w:r>
      <w:r w:rsidR="00DE1434">
        <w:t>the maximum growing rate. After the 6 g/m</w:t>
      </w:r>
      <w:r w:rsidR="00DE1434" w:rsidRPr="000E614E">
        <w:rPr>
          <w:vertAlign w:val="superscript"/>
        </w:rPr>
        <w:t>2</w:t>
      </w:r>
      <w:r w:rsidR="00DE1434">
        <w:t xml:space="preserve">/day maximum value, the system had a decrease </w:t>
      </w:r>
      <w:r w:rsidR="00DE1434" w:rsidRPr="00680ECD">
        <w:rPr>
          <w:noProof/>
        </w:rPr>
        <w:t>of</w:t>
      </w:r>
      <w:r w:rsidR="00DE1434">
        <w:t xml:space="preserve"> the performance. </w:t>
      </w:r>
      <w:r w:rsidR="00DE1434" w:rsidRPr="00680ECD">
        <w:rPr>
          <w:noProof/>
        </w:rPr>
        <w:t>This was</w:t>
      </w:r>
      <w:r w:rsidR="00DE1434">
        <w:t xml:space="preserve"> due to a high attachment of the algae to the pipes, probably because of a too high irradiation (no protective system for reducing sunlight irradiation </w:t>
      </w:r>
      <w:r w:rsidR="00DE1434" w:rsidRPr="00680ECD">
        <w:rPr>
          <w:noProof/>
        </w:rPr>
        <w:t>was used</w:t>
      </w:r>
      <w:r w:rsidR="00DE1434">
        <w:t xml:space="preserve">). The system was completely dark and full of algae, and no sunlight was able to penetrate the surface and reach the inlet water. A degradation </w:t>
      </w:r>
      <w:r w:rsidR="00DE1434" w:rsidRPr="00680ECD">
        <w:rPr>
          <w:noProof/>
        </w:rPr>
        <w:t>was thus observed</w:t>
      </w:r>
      <w:r w:rsidR="00DE1434">
        <w:t>.</w:t>
      </w:r>
    </w:p>
    <w:p w14:paraId="13088EB6" w14:textId="0484DAEB" w:rsidR="00DE1434" w:rsidRDefault="0009416C" w:rsidP="00EF12B7">
      <w:pPr>
        <w:pStyle w:val="Paragrafoelenco"/>
        <w:numPr>
          <w:ilvl w:val="0"/>
          <w:numId w:val="20"/>
        </w:numPr>
      </w:pPr>
      <w:r>
        <w:rPr>
          <w:b/>
        </w:rPr>
        <w:t>Test C (</w:t>
      </w:r>
      <w:r w:rsidR="00DE1434">
        <w:rPr>
          <w:b/>
        </w:rPr>
        <w:t>April 2015</w:t>
      </w:r>
      <w:r>
        <w:rPr>
          <w:b/>
        </w:rPr>
        <w:t>)</w:t>
      </w:r>
      <w:r w:rsidR="00DE1434" w:rsidRPr="005F6FF9">
        <w:t>:</w:t>
      </w:r>
      <w:r w:rsidR="00DE1434">
        <w:t xml:space="preserve"> the system degradation was </w:t>
      </w:r>
      <w:r w:rsidR="00DE1434" w:rsidRPr="00680ECD">
        <w:rPr>
          <w:noProof/>
        </w:rPr>
        <w:t>increasing</w:t>
      </w:r>
      <w:r w:rsidR="00680ECD">
        <w:rPr>
          <w:noProof/>
        </w:rPr>
        <w:t>,</w:t>
      </w:r>
      <w:r w:rsidR="00DE1434">
        <w:t xml:space="preserve"> and algae changed their </w:t>
      </w:r>
      <w:r w:rsidR="00DE1434" w:rsidRPr="00680ECD">
        <w:rPr>
          <w:noProof/>
        </w:rPr>
        <w:t>color</w:t>
      </w:r>
      <w:r w:rsidR="00DE1434">
        <w:t xml:space="preserve"> from green to brown, probably because of starvation</w:t>
      </w:r>
      <w:r w:rsidR="00546F8A">
        <w:t>, as previously observed in the lab experiments</w:t>
      </w:r>
      <w:r w:rsidR="00DE1434">
        <w:t xml:space="preserve">. The PBR was thus cleaned and re-started until the end of April. A new but reduced </w:t>
      </w:r>
      <w:r w:rsidR="006862A8">
        <w:t>(</w:t>
      </w:r>
      <w:r w:rsidR="00DE1434">
        <w:t>because of the time</w:t>
      </w:r>
      <w:r w:rsidR="006862A8">
        <w:t xml:space="preserve"> length)</w:t>
      </w:r>
      <w:r w:rsidR="00DE1434">
        <w:t xml:space="preserve">, growth was observed. Sunlight protective systems </w:t>
      </w:r>
      <w:r w:rsidR="00DE1434" w:rsidRPr="00680ECD">
        <w:rPr>
          <w:noProof/>
        </w:rPr>
        <w:t>were also included</w:t>
      </w:r>
      <w:r w:rsidR="00DE1434">
        <w:t xml:space="preserve"> in this second phase.  </w:t>
      </w:r>
    </w:p>
    <w:p w14:paraId="4A57A060" w14:textId="29D5706B" w:rsidR="00DE1434" w:rsidRDefault="00DE1434" w:rsidP="00DE1434">
      <w:pPr>
        <w:spacing w:after="0"/>
      </w:pPr>
      <w:r>
        <w:t>Moving from January to April, the average maximum temperature in Turi</w:t>
      </w:r>
      <w:r w:rsidR="005D3EBC">
        <w:t>n usually increase</w:t>
      </w:r>
      <w:r w:rsidR="00546F8A">
        <w:t>s</w:t>
      </w:r>
      <w:r w:rsidR="005D3EBC">
        <w:t xml:space="preserve"> from 6 to 17</w:t>
      </w:r>
      <w:r>
        <w:t>°C</w:t>
      </w:r>
      <w:r w:rsidR="0009416C">
        <w:t>. T</w:t>
      </w:r>
      <w:r>
        <w:t xml:space="preserve">he temperature increase has played a fundamental role </w:t>
      </w:r>
      <w:r w:rsidR="00680ECD">
        <w:rPr>
          <w:noProof/>
        </w:rPr>
        <w:t>in</w:t>
      </w:r>
      <w:r>
        <w:t xml:space="preserve"> the PBR operation and algae growth.</w:t>
      </w:r>
    </w:p>
    <w:p w14:paraId="3C6A80F0" w14:textId="308B10A5" w:rsidR="00273A6A" w:rsidRPr="00273A6A" w:rsidRDefault="00273A6A" w:rsidP="00273A6A">
      <w:pPr>
        <w:spacing w:after="0"/>
      </w:pPr>
      <w:r w:rsidRPr="00273A6A">
        <w:lastRenderedPageBreak/>
        <w:t>The cumulative growing rate (</w:t>
      </w:r>
      <w:r w:rsidR="008D619E">
        <w:fldChar w:fldCharType="begin"/>
      </w:r>
      <w:r w:rsidR="008D619E">
        <w:instrText xml:space="preserve"> REF _Ref469581075 \h </w:instrText>
      </w:r>
      <w:r w:rsidR="008D619E">
        <w:fldChar w:fldCharType="separate"/>
      </w:r>
      <w:r w:rsidR="008D619E">
        <w:t xml:space="preserve">Table </w:t>
      </w:r>
      <w:r w:rsidR="008D619E">
        <w:rPr>
          <w:noProof/>
        </w:rPr>
        <w:t>6</w:t>
      </w:r>
      <w:r w:rsidR="008D619E">
        <w:fldChar w:fldCharType="end"/>
      </w:r>
      <w:r w:rsidRPr="00273A6A">
        <w:t xml:space="preserve">) for the longest performed test (test B, from 25/02/2015 to 15/04/2015) </w:t>
      </w:r>
      <w:r w:rsidRPr="00680ECD">
        <w:rPr>
          <w:noProof/>
        </w:rPr>
        <w:t>is shown</w:t>
      </w:r>
      <w:r w:rsidRPr="00273A6A">
        <w:t xml:space="preserve">. </w:t>
      </w:r>
      <w:r w:rsidRPr="00680ECD">
        <w:rPr>
          <w:noProof/>
        </w:rPr>
        <w:t>The first growing period was strongly influenced by the temperature</w:t>
      </w:r>
      <w:r w:rsidRPr="00273A6A">
        <w:t xml:space="preserve"> and thus by the sun irradiation. From March on, despite higher temperatures, problems related to the algae attachments were the reason for the decrease in the growing rate. A maximum cumulative growing rate of 6 g/m</w:t>
      </w:r>
      <w:r w:rsidRPr="00273A6A">
        <w:rPr>
          <w:vertAlign w:val="superscript"/>
        </w:rPr>
        <w:t>2</w:t>
      </w:r>
      <w:r w:rsidRPr="00273A6A">
        <w:t xml:space="preserve">/day </w:t>
      </w:r>
      <w:r w:rsidRPr="00680ECD">
        <w:rPr>
          <w:noProof/>
        </w:rPr>
        <w:t>was reached</w:t>
      </w:r>
      <w:r w:rsidRPr="00273A6A">
        <w:t xml:space="preserve"> on the second sampling point.</w:t>
      </w:r>
    </w:p>
    <w:p w14:paraId="295A006F" w14:textId="262C5F12" w:rsidR="008D619E" w:rsidRDefault="008D619E" w:rsidP="008D619E">
      <w:pPr>
        <w:pStyle w:val="Didascalia"/>
        <w:keepNext/>
      </w:pPr>
      <w:bookmarkStart w:id="27" w:name="_Ref469581075"/>
      <w:bookmarkStart w:id="28" w:name="_Ref469581070"/>
      <w:r>
        <w:t xml:space="preserve">Table </w:t>
      </w:r>
      <w:r>
        <w:fldChar w:fldCharType="begin"/>
      </w:r>
      <w:r>
        <w:instrText xml:space="preserve"> SEQ Table \* ARABIC </w:instrText>
      </w:r>
      <w:r>
        <w:fldChar w:fldCharType="separate"/>
      </w:r>
      <w:r>
        <w:rPr>
          <w:noProof/>
        </w:rPr>
        <w:t>6</w:t>
      </w:r>
      <w:r>
        <w:fldChar w:fldCharType="end"/>
      </w:r>
      <w:bookmarkEnd w:id="27"/>
      <w:r>
        <w:t>.</w:t>
      </w:r>
      <w:r w:rsidRPr="008D619E">
        <w:t xml:space="preserve"> Cumulative growing rate.</w:t>
      </w:r>
      <w:bookmarkEnd w:id="28"/>
    </w:p>
    <w:tbl>
      <w:tblPr>
        <w:tblW w:w="5545" w:type="dxa"/>
        <w:jc w:val="center"/>
        <w:tblCellMar>
          <w:left w:w="70" w:type="dxa"/>
          <w:right w:w="70" w:type="dxa"/>
        </w:tblCellMar>
        <w:tblLook w:val="04A0" w:firstRow="1" w:lastRow="0" w:firstColumn="1" w:lastColumn="0" w:noHBand="0" w:noVBand="1"/>
      </w:tblPr>
      <w:tblGrid>
        <w:gridCol w:w="284"/>
        <w:gridCol w:w="1591"/>
        <w:gridCol w:w="284"/>
        <w:gridCol w:w="1746"/>
        <w:gridCol w:w="1640"/>
      </w:tblGrid>
      <w:tr w:rsidR="00273A6A" w:rsidRPr="008D619E" w14:paraId="1B84D3C3" w14:textId="77777777" w:rsidTr="008D619E">
        <w:trPr>
          <w:trHeight w:val="340"/>
          <w:jc w:val="center"/>
        </w:trPr>
        <w:tc>
          <w:tcPr>
            <w:tcW w:w="1875"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486A682F" w14:textId="77777777" w:rsidR="00273A6A" w:rsidRPr="008D619E" w:rsidRDefault="00273A6A" w:rsidP="008D619E">
            <w:pPr>
              <w:pStyle w:val="Table"/>
              <w:spacing w:line="240" w:lineRule="auto"/>
              <w:rPr>
                <w:rFonts w:eastAsia="Times New Roman"/>
                <w:b/>
                <w:sz w:val="20"/>
                <w:lang w:val="en-US"/>
              </w:rPr>
            </w:pPr>
            <w:r w:rsidRPr="008D619E">
              <w:rPr>
                <w:rFonts w:eastAsia="Times New Roman"/>
                <w:b/>
                <w:sz w:val="20"/>
                <w:lang w:val="en-US"/>
              </w:rPr>
              <w:t>Star time</w:t>
            </w:r>
          </w:p>
        </w:tc>
        <w:tc>
          <w:tcPr>
            <w:tcW w:w="2030" w:type="dxa"/>
            <w:gridSpan w:val="2"/>
            <w:tcBorders>
              <w:top w:val="single" w:sz="4" w:space="0" w:color="auto"/>
              <w:left w:val="nil"/>
              <w:bottom w:val="single" w:sz="4" w:space="0" w:color="auto"/>
              <w:right w:val="single" w:sz="4" w:space="0" w:color="000000"/>
            </w:tcBorders>
            <w:shd w:val="clear" w:color="auto" w:fill="auto"/>
            <w:vAlign w:val="center"/>
            <w:hideMark/>
          </w:tcPr>
          <w:p w14:paraId="352BAEDD" w14:textId="77777777" w:rsidR="00273A6A" w:rsidRPr="008D619E" w:rsidRDefault="00273A6A" w:rsidP="008D619E">
            <w:pPr>
              <w:pStyle w:val="Table"/>
              <w:spacing w:line="240" w:lineRule="auto"/>
              <w:rPr>
                <w:rFonts w:eastAsia="Times New Roman"/>
                <w:b/>
                <w:sz w:val="20"/>
                <w:lang w:val="en-US"/>
              </w:rPr>
            </w:pPr>
            <w:r w:rsidRPr="008D619E">
              <w:rPr>
                <w:rFonts w:eastAsia="Times New Roman"/>
                <w:b/>
                <w:sz w:val="20"/>
                <w:lang w:val="en-US"/>
              </w:rPr>
              <w:t>End time</w:t>
            </w:r>
          </w:p>
        </w:tc>
        <w:tc>
          <w:tcPr>
            <w:tcW w:w="1640" w:type="dxa"/>
            <w:tcBorders>
              <w:top w:val="single" w:sz="4" w:space="0" w:color="auto"/>
              <w:left w:val="nil"/>
              <w:bottom w:val="single" w:sz="4" w:space="0" w:color="auto"/>
              <w:right w:val="single" w:sz="4" w:space="0" w:color="auto"/>
            </w:tcBorders>
            <w:shd w:val="clear" w:color="auto" w:fill="auto"/>
            <w:vAlign w:val="center"/>
            <w:hideMark/>
          </w:tcPr>
          <w:p w14:paraId="67E01B51" w14:textId="77777777" w:rsidR="00273A6A" w:rsidRPr="008D619E" w:rsidRDefault="00273A6A" w:rsidP="008D619E">
            <w:pPr>
              <w:pStyle w:val="Table"/>
              <w:spacing w:line="240" w:lineRule="auto"/>
              <w:rPr>
                <w:rFonts w:eastAsia="Times New Roman"/>
                <w:b/>
                <w:sz w:val="20"/>
                <w:lang w:val="en-US"/>
              </w:rPr>
            </w:pPr>
            <w:r w:rsidRPr="008D619E">
              <w:rPr>
                <w:rFonts w:eastAsia="Times New Roman"/>
                <w:b/>
                <w:sz w:val="20"/>
                <w:lang w:val="en-US"/>
              </w:rPr>
              <w:t>Growing rate [g/m</w:t>
            </w:r>
            <w:r w:rsidRPr="008D619E">
              <w:rPr>
                <w:rFonts w:eastAsia="Times New Roman"/>
                <w:b/>
                <w:sz w:val="20"/>
                <w:vertAlign w:val="superscript"/>
                <w:lang w:val="en-US"/>
              </w:rPr>
              <w:t>2</w:t>
            </w:r>
            <w:r w:rsidRPr="008D619E">
              <w:rPr>
                <w:rFonts w:eastAsia="Times New Roman"/>
                <w:b/>
                <w:sz w:val="20"/>
                <w:lang w:val="en-US"/>
              </w:rPr>
              <w:t>/day]</w:t>
            </w:r>
          </w:p>
        </w:tc>
      </w:tr>
      <w:tr w:rsidR="00273A6A" w:rsidRPr="008D619E" w14:paraId="25342A34" w14:textId="77777777" w:rsidTr="008D619E">
        <w:trPr>
          <w:trHeight w:val="340"/>
          <w:jc w:val="center"/>
        </w:trPr>
        <w:tc>
          <w:tcPr>
            <w:tcW w:w="284" w:type="dxa"/>
            <w:tcBorders>
              <w:top w:val="nil"/>
              <w:left w:val="single" w:sz="4" w:space="0" w:color="auto"/>
              <w:bottom w:val="nil"/>
              <w:right w:val="nil"/>
            </w:tcBorders>
            <w:shd w:val="clear" w:color="auto" w:fill="auto"/>
            <w:noWrap/>
            <w:vAlign w:val="center"/>
            <w:hideMark/>
          </w:tcPr>
          <w:p w14:paraId="51BC9171" w14:textId="77777777" w:rsidR="00273A6A" w:rsidRPr="008D619E" w:rsidRDefault="00273A6A" w:rsidP="008D619E">
            <w:pPr>
              <w:pStyle w:val="Table"/>
              <w:spacing w:line="240" w:lineRule="auto"/>
              <w:rPr>
                <w:rFonts w:eastAsia="Times New Roman"/>
                <w:b/>
                <w:sz w:val="20"/>
                <w:lang w:val="en-US"/>
              </w:rPr>
            </w:pPr>
            <w:r w:rsidRPr="008D619E">
              <w:rPr>
                <w:rFonts w:eastAsia="Times New Roman"/>
                <w:b/>
                <w:sz w:val="20"/>
                <w:lang w:val="en-US"/>
              </w:rPr>
              <w:t>t</w:t>
            </w:r>
            <w:r w:rsidRPr="008D619E">
              <w:rPr>
                <w:rFonts w:eastAsia="Times New Roman"/>
                <w:b/>
                <w:sz w:val="20"/>
                <w:vertAlign w:val="subscript"/>
                <w:lang w:val="en-US"/>
              </w:rPr>
              <w:t>0</w:t>
            </w:r>
          </w:p>
        </w:tc>
        <w:tc>
          <w:tcPr>
            <w:tcW w:w="1591" w:type="dxa"/>
            <w:tcBorders>
              <w:top w:val="nil"/>
              <w:left w:val="nil"/>
              <w:bottom w:val="nil"/>
              <w:right w:val="single" w:sz="4" w:space="0" w:color="auto"/>
            </w:tcBorders>
            <w:shd w:val="clear" w:color="auto" w:fill="auto"/>
            <w:noWrap/>
            <w:vAlign w:val="center"/>
            <w:hideMark/>
          </w:tcPr>
          <w:p w14:paraId="4A247F55" w14:textId="77777777" w:rsidR="00273A6A" w:rsidRPr="008D619E" w:rsidRDefault="00273A6A" w:rsidP="008D619E">
            <w:pPr>
              <w:pStyle w:val="Table"/>
              <w:spacing w:line="240" w:lineRule="auto"/>
              <w:rPr>
                <w:rFonts w:eastAsia="Times New Roman"/>
                <w:b/>
                <w:sz w:val="20"/>
                <w:lang w:val="en-US"/>
              </w:rPr>
            </w:pPr>
            <w:r w:rsidRPr="008D619E">
              <w:rPr>
                <w:rFonts w:eastAsia="Times New Roman"/>
                <w:b/>
                <w:sz w:val="20"/>
                <w:lang w:val="en-US"/>
              </w:rPr>
              <w:t>25/02/2015</w:t>
            </w:r>
          </w:p>
        </w:tc>
        <w:tc>
          <w:tcPr>
            <w:tcW w:w="284" w:type="dxa"/>
            <w:tcBorders>
              <w:top w:val="nil"/>
              <w:left w:val="nil"/>
              <w:bottom w:val="nil"/>
              <w:right w:val="nil"/>
            </w:tcBorders>
            <w:shd w:val="clear" w:color="auto" w:fill="auto"/>
            <w:noWrap/>
            <w:vAlign w:val="center"/>
            <w:hideMark/>
          </w:tcPr>
          <w:p w14:paraId="7535AD34" w14:textId="78D2247D" w:rsidR="00273A6A" w:rsidRPr="008D619E" w:rsidRDefault="00273A6A" w:rsidP="008D619E">
            <w:pPr>
              <w:pStyle w:val="Table"/>
              <w:spacing w:line="240" w:lineRule="auto"/>
              <w:rPr>
                <w:rFonts w:eastAsia="Times New Roman"/>
                <w:b/>
                <w:sz w:val="20"/>
                <w:lang w:val="en-US"/>
              </w:rPr>
            </w:pPr>
            <w:r w:rsidRPr="008D619E">
              <w:rPr>
                <w:rFonts w:eastAsia="Times New Roman"/>
                <w:b/>
                <w:sz w:val="20"/>
                <w:lang w:val="en-US"/>
              </w:rPr>
              <w:t>t</w:t>
            </w:r>
            <w:r w:rsidRPr="008D619E">
              <w:rPr>
                <w:rFonts w:eastAsia="Times New Roman"/>
                <w:b/>
                <w:sz w:val="20"/>
                <w:vertAlign w:val="subscript"/>
                <w:lang w:val="en-US"/>
              </w:rPr>
              <w:t>1</w:t>
            </w:r>
          </w:p>
        </w:tc>
        <w:tc>
          <w:tcPr>
            <w:tcW w:w="1746" w:type="dxa"/>
            <w:tcBorders>
              <w:top w:val="nil"/>
              <w:left w:val="nil"/>
              <w:bottom w:val="nil"/>
              <w:right w:val="single" w:sz="4" w:space="0" w:color="auto"/>
            </w:tcBorders>
            <w:shd w:val="clear" w:color="auto" w:fill="auto"/>
            <w:noWrap/>
            <w:vAlign w:val="center"/>
            <w:hideMark/>
          </w:tcPr>
          <w:p w14:paraId="27428F1D" w14:textId="77777777" w:rsidR="00273A6A" w:rsidRPr="008D619E" w:rsidRDefault="00273A6A" w:rsidP="008D619E">
            <w:pPr>
              <w:pStyle w:val="Table"/>
              <w:spacing w:line="240" w:lineRule="auto"/>
              <w:rPr>
                <w:rFonts w:eastAsia="Times New Roman"/>
                <w:b/>
                <w:sz w:val="20"/>
                <w:lang w:val="en-US"/>
              </w:rPr>
            </w:pPr>
            <w:r w:rsidRPr="008D619E">
              <w:rPr>
                <w:rFonts w:eastAsia="Times New Roman"/>
                <w:b/>
                <w:sz w:val="20"/>
                <w:lang w:val="en-US"/>
              </w:rPr>
              <w:t>13/03/2015</w:t>
            </w:r>
          </w:p>
        </w:tc>
        <w:tc>
          <w:tcPr>
            <w:tcW w:w="1640" w:type="dxa"/>
            <w:tcBorders>
              <w:top w:val="nil"/>
              <w:left w:val="nil"/>
              <w:bottom w:val="nil"/>
              <w:right w:val="single" w:sz="4" w:space="0" w:color="auto"/>
            </w:tcBorders>
            <w:shd w:val="clear" w:color="auto" w:fill="auto"/>
            <w:noWrap/>
            <w:vAlign w:val="center"/>
            <w:hideMark/>
          </w:tcPr>
          <w:p w14:paraId="3F7922AD" w14:textId="77777777" w:rsidR="00273A6A" w:rsidRPr="008D619E" w:rsidRDefault="00273A6A" w:rsidP="008D619E">
            <w:pPr>
              <w:pStyle w:val="Table"/>
              <w:spacing w:line="240" w:lineRule="auto"/>
              <w:rPr>
                <w:rFonts w:eastAsia="Times New Roman"/>
                <w:b/>
                <w:sz w:val="20"/>
                <w:lang w:val="en-US"/>
              </w:rPr>
            </w:pPr>
            <w:r w:rsidRPr="008D619E">
              <w:rPr>
                <w:rFonts w:eastAsia="Times New Roman"/>
                <w:b/>
                <w:sz w:val="20"/>
                <w:lang w:val="en-US"/>
              </w:rPr>
              <w:t>1,34</w:t>
            </w:r>
          </w:p>
        </w:tc>
      </w:tr>
      <w:tr w:rsidR="00273A6A" w:rsidRPr="008D619E" w14:paraId="73348D0C" w14:textId="77777777" w:rsidTr="008D619E">
        <w:trPr>
          <w:trHeight w:val="340"/>
          <w:jc w:val="center"/>
        </w:trPr>
        <w:tc>
          <w:tcPr>
            <w:tcW w:w="284" w:type="dxa"/>
            <w:tcBorders>
              <w:top w:val="nil"/>
              <w:left w:val="single" w:sz="4" w:space="0" w:color="auto"/>
              <w:bottom w:val="nil"/>
              <w:right w:val="nil"/>
            </w:tcBorders>
            <w:shd w:val="clear" w:color="auto" w:fill="auto"/>
            <w:noWrap/>
            <w:vAlign w:val="center"/>
            <w:hideMark/>
          </w:tcPr>
          <w:p w14:paraId="5D43E12F" w14:textId="77777777" w:rsidR="00273A6A" w:rsidRPr="008D619E" w:rsidRDefault="00273A6A" w:rsidP="008D619E">
            <w:pPr>
              <w:pStyle w:val="Table"/>
              <w:spacing w:line="240" w:lineRule="auto"/>
              <w:rPr>
                <w:rFonts w:eastAsia="Times New Roman"/>
                <w:b/>
                <w:sz w:val="20"/>
                <w:lang w:val="en-US"/>
              </w:rPr>
            </w:pPr>
            <w:r w:rsidRPr="008D619E">
              <w:rPr>
                <w:rFonts w:eastAsia="Times New Roman"/>
                <w:b/>
                <w:sz w:val="20"/>
                <w:lang w:val="en-US"/>
              </w:rPr>
              <w:t>t</w:t>
            </w:r>
            <w:r w:rsidRPr="008D619E">
              <w:rPr>
                <w:rFonts w:eastAsia="Times New Roman"/>
                <w:b/>
                <w:sz w:val="20"/>
                <w:vertAlign w:val="subscript"/>
                <w:lang w:val="en-US"/>
              </w:rPr>
              <w:t>0</w:t>
            </w:r>
          </w:p>
        </w:tc>
        <w:tc>
          <w:tcPr>
            <w:tcW w:w="1591" w:type="dxa"/>
            <w:tcBorders>
              <w:top w:val="nil"/>
              <w:left w:val="nil"/>
              <w:bottom w:val="nil"/>
              <w:right w:val="single" w:sz="4" w:space="0" w:color="auto"/>
            </w:tcBorders>
            <w:shd w:val="clear" w:color="auto" w:fill="auto"/>
            <w:noWrap/>
            <w:vAlign w:val="center"/>
            <w:hideMark/>
          </w:tcPr>
          <w:p w14:paraId="1022AF2E" w14:textId="77777777" w:rsidR="00273A6A" w:rsidRPr="008D619E" w:rsidRDefault="00273A6A" w:rsidP="008D619E">
            <w:pPr>
              <w:pStyle w:val="Table"/>
              <w:spacing w:line="240" w:lineRule="auto"/>
              <w:rPr>
                <w:rFonts w:eastAsia="Times New Roman"/>
                <w:b/>
                <w:sz w:val="20"/>
                <w:lang w:val="en-US"/>
              </w:rPr>
            </w:pPr>
            <w:r w:rsidRPr="008D619E">
              <w:rPr>
                <w:rFonts w:eastAsia="Times New Roman"/>
                <w:b/>
                <w:sz w:val="20"/>
                <w:lang w:val="en-US"/>
              </w:rPr>
              <w:t>25/02/2015</w:t>
            </w:r>
          </w:p>
        </w:tc>
        <w:tc>
          <w:tcPr>
            <w:tcW w:w="284" w:type="dxa"/>
            <w:tcBorders>
              <w:top w:val="nil"/>
              <w:left w:val="nil"/>
              <w:bottom w:val="nil"/>
              <w:right w:val="nil"/>
            </w:tcBorders>
            <w:shd w:val="clear" w:color="auto" w:fill="auto"/>
            <w:noWrap/>
            <w:vAlign w:val="center"/>
            <w:hideMark/>
          </w:tcPr>
          <w:p w14:paraId="1DA728CB" w14:textId="77777777" w:rsidR="00273A6A" w:rsidRPr="008D619E" w:rsidRDefault="00273A6A" w:rsidP="008D619E">
            <w:pPr>
              <w:pStyle w:val="Table"/>
              <w:spacing w:line="240" w:lineRule="auto"/>
              <w:rPr>
                <w:rFonts w:eastAsia="Times New Roman"/>
                <w:b/>
                <w:sz w:val="20"/>
                <w:lang w:val="en-US"/>
              </w:rPr>
            </w:pPr>
            <w:r w:rsidRPr="008D619E">
              <w:rPr>
                <w:rFonts w:eastAsia="Times New Roman"/>
                <w:b/>
                <w:sz w:val="20"/>
                <w:lang w:val="en-US"/>
              </w:rPr>
              <w:t>t</w:t>
            </w:r>
            <w:r w:rsidRPr="008D619E">
              <w:rPr>
                <w:rFonts w:eastAsia="Times New Roman"/>
                <w:b/>
                <w:sz w:val="20"/>
                <w:vertAlign w:val="subscript"/>
                <w:lang w:val="en-US"/>
              </w:rPr>
              <w:t>2</w:t>
            </w:r>
          </w:p>
        </w:tc>
        <w:tc>
          <w:tcPr>
            <w:tcW w:w="1746" w:type="dxa"/>
            <w:tcBorders>
              <w:top w:val="nil"/>
              <w:left w:val="nil"/>
              <w:bottom w:val="nil"/>
              <w:right w:val="single" w:sz="4" w:space="0" w:color="auto"/>
            </w:tcBorders>
            <w:shd w:val="clear" w:color="auto" w:fill="auto"/>
            <w:noWrap/>
            <w:vAlign w:val="center"/>
            <w:hideMark/>
          </w:tcPr>
          <w:p w14:paraId="30D4A640" w14:textId="77777777" w:rsidR="00273A6A" w:rsidRPr="008D619E" w:rsidRDefault="00273A6A" w:rsidP="008D619E">
            <w:pPr>
              <w:pStyle w:val="Table"/>
              <w:spacing w:line="240" w:lineRule="auto"/>
              <w:rPr>
                <w:rFonts w:eastAsia="Times New Roman"/>
                <w:b/>
                <w:sz w:val="20"/>
                <w:lang w:val="en-US"/>
              </w:rPr>
            </w:pPr>
            <w:r w:rsidRPr="008D619E">
              <w:rPr>
                <w:rFonts w:eastAsia="Times New Roman"/>
                <w:b/>
                <w:sz w:val="20"/>
                <w:lang w:val="en-US"/>
              </w:rPr>
              <w:t>19/03/2015</w:t>
            </w:r>
          </w:p>
        </w:tc>
        <w:tc>
          <w:tcPr>
            <w:tcW w:w="1640" w:type="dxa"/>
            <w:tcBorders>
              <w:top w:val="nil"/>
              <w:left w:val="nil"/>
              <w:bottom w:val="nil"/>
              <w:right w:val="single" w:sz="4" w:space="0" w:color="auto"/>
            </w:tcBorders>
            <w:shd w:val="clear" w:color="auto" w:fill="auto"/>
            <w:noWrap/>
            <w:vAlign w:val="center"/>
            <w:hideMark/>
          </w:tcPr>
          <w:p w14:paraId="68FAA90F" w14:textId="77777777" w:rsidR="00273A6A" w:rsidRPr="008D619E" w:rsidRDefault="00273A6A" w:rsidP="008D619E">
            <w:pPr>
              <w:pStyle w:val="Table"/>
              <w:spacing w:line="240" w:lineRule="auto"/>
              <w:rPr>
                <w:rFonts w:eastAsia="Times New Roman"/>
                <w:b/>
                <w:sz w:val="20"/>
                <w:lang w:val="en-US"/>
              </w:rPr>
            </w:pPr>
            <w:r w:rsidRPr="008D619E">
              <w:rPr>
                <w:rFonts w:eastAsia="Times New Roman"/>
                <w:b/>
                <w:sz w:val="20"/>
                <w:lang w:val="en-US"/>
              </w:rPr>
              <w:t>6,13</w:t>
            </w:r>
          </w:p>
        </w:tc>
      </w:tr>
      <w:tr w:rsidR="00273A6A" w:rsidRPr="008D619E" w14:paraId="649A3344" w14:textId="77777777" w:rsidTr="008D619E">
        <w:trPr>
          <w:trHeight w:val="340"/>
          <w:jc w:val="center"/>
        </w:trPr>
        <w:tc>
          <w:tcPr>
            <w:tcW w:w="284" w:type="dxa"/>
            <w:tcBorders>
              <w:top w:val="nil"/>
              <w:left w:val="single" w:sz="4" w:space="0" w:color="auto"/>
              <w:bottom w:val="nil"/>
              <w:right w:val="nil"/>
            </w:tcBorders>
            <w:shd w:val="clear" w:color="auto" w:fill="auto"/>
            <w:noWrap/>
            <w:vAlign w:val="center"/>
            <w:hideMark/>
          </w:tcPr>
          <w:p w14:paraId="4213F514" w14:textId="77777777" w:rsidR="00273A6A" w:rsidRPr="008D619E" w:rsidRDefault="00273A6A" w:rsidP="008D619E">
            <w:pPr>
              <w:pStyle w:val="Table"/>
              <w:spacing w:line="240" w:lineRule="auto"/>
              <w:rPr>
                <w:rFonts w:eastAsia="Times New Roman"/>
                <w:b/>
                <w:sz w:val="20"/>
                <w:lang w:val="en-US"/>
              </w:rPr>
            </w:pPr>
            <w:r w:rsidRPr="008D619E">
              <w:rPr>
                <w:rFonts w:eastAsia="Times New Roman"/>
                <w:b/>
                <w:sz w:val="20"/>
                <w:lang w:val="en-US"/>
              </w:rPr>
              <w:t>t</w:t>
            </w:r>
            <w:r w:rsidRPr="008D619E">
              <w:rPr>
                <w:rFonts w:eastAsia="Times New Roman"/>
                <w:b/>
                <w:sz w:val="20"/>
                <w:vertAlign w:val="subscript"/>
                <w:lang w:val="en-US"/>
              </w:rPr>
              <w:t>0</w:t>
            </w:r>
          </w:p>
        </w:tc>
        <w:tc>
          <w:tcPr>
            <w:tcW w:w="1591" w:type="dxa"/>
            <w:tcBorders>
              <w:top w:val="nil"/>
              <w:left w:val="nil"/>
              <w:bottom w:val="nil"/>
              <w:right w:val="single" w:sz="4" w:space="0" w:color="auto"/>
            </w:tcBorders>
            <w:shd w:val="clear" w:color="auto" w:fill="auto"/>
            <w:noWrap/>
            <w:vAlign w:val="center"/>
            <w:hideMark/>
          </w:tcPr>
          <w:p w14:paraId="12ADD384" w14:textId="77777777" w:rsidR="00273A6A" w:rsidRPr="008D619E" w:rsidRDefault="00273A6A" w:rsidP="008D619E">
            <w:pPr>
              <w:pStyle w:val="Table"/>
              <w:spacing w:line="240" w:lineRule="auto"/>
              <w:rPr>
                <w:rFonts w:eastAsia="Times New Roman"/>
                <w:b/>
                <w:sz w:val="20"/>
                <w:lang w:val="en-US"/>
              </w:rPr>
            </w:pPr>
            <w:r w:rsidRPr="008D619E">
              <w:rPr>
                <w:rFonts w:eastAsia="Times New Roman"/>
                <w:b/>
                <w:sz w:val="20"/>
                <w:lang w:val="en-US"/>
              </w:rPr>
              <w:t>25/02/2015</w:t>
            </w:r>
          </w:p>
        </w:tc>
        <w:tc>
          <w:tcPr>
            <w:tcW w:w="284" w:type="dxa"/>
            <w:tcBorders>
              <w:top w:val="nil"/>
              <w:left w:val="nil"/>
              <w:bottom w:val="nil"/>
              <w:right w:val="nil"/>
            </w:tcBorders>
            <w:shd w:val="clear" w:color="auto" w:fill="auto"/>
            <w:noWrap/>
            <w:vAlign w:val="center"/>
            <w:hideMark/>
          </w:tcPr>
          <w:p w14:paraId="31981ADD" w14:textId="77777777" w:rsidR="00273A6A" w:rsidRPr="008D619E" w:rsidRDefault="00273A6A" w:rsidP="008D619E">
            <w:pPr>
              <w:pStyle w:val="Table"/>
              <w:spacing w:line="240" w:lineRule="auto"/>
              <w:rPr>
                <w:rFonts w:eastAsia="Times New Roman"/>
                <w:b/>
                <w:sz w:val="20"/>
                <w:lang w:val="it-IT"/>
              </w:rPr>
            </w:pPr>
            <w:r w:rsidRPr="008D619E">
              <w:rPr>
                <w:rFonts w:eastAsia="Times New Roman"/>
                <w:b/>
                <w:sz w:val="20"/>
                <w:lang w:val="it-IT"/>
              </w:rPr>
              <w:t>t</w:t>
            </w:r>
            <w:r w:rsidRPr="008D619E">
              <w:rPr>
                <w:rFonts w:eastAsia="Times New Roman"/>
                <w:b/>
                <w:sz w:val="20"/>
                <w:vertAlign w:val="subscript"/>
                <w:lang w:val="it-IT"/>
              </w:rPr>
              <w:t>3</w:t>
            </w:r>
          </w:p>
        </w:tc>
        <w:tc>
          <w:tcPr>
            <w:tcW w:w="1746" w:type="dxa"/>
            <w:tcBorders>
              <w:top w:val="nil"/>
              <w:left w:val="nil"/>
              <w:bottom w:val="nil"/>
              <w:right w:val="single" w:sz="4" w:space="0" w:color="auto"/>
            </w:tcBorders>
            <w:shd w:val="clear" w:color="auto" w:fill="auto"/>
            <w:noWrap/>
            <w:vAlign w:val="center"/>
            <w:hideMark/>
          </w:tcPr>
          <w:p w14:paraId="334B54B2" w14:textId="77777777" w:rsidR="00273A6A" w:rsidRPr="008D619E" w:rsidRDefault="00273A6A" w:rsidP="008D619E">
            <w:pPr>
              <w:pStyle w:val="Table"/>
              <w:spacing w:line="240" w:lineRule="auto"/>
              <w:rPr>
                <w:rFonts w:eastAsia="Times New Roman"/>
                <w:b/>
                <w:sz w:val="20"/>
                <w:lang w:val="it-IT"/>
              </w:rPr>
            </w:pPr>
            <w:r w:rsidRPr="008D619E">
              <w:rPr>
                <w:rFonts w:eastAsia="Times New Roman"/>
                <w:b/>
                <w:sz w:val="20"/>
                <w:lang w:val="it-IT"/>
              </w:rPr>
              <w:t>02/04/2015</w:t>
            </w:r>
          </w:p>
        </w:tc>
        <w:tc>
          <w:tcPr>
            <w:tcW w:w="1640" w:type="dxa"/>
            <w:tcBorders>
              <w:top w:val="nil"/>
              <w:left w:val="nil"/>
              <w:bottom w:val="nil"/>
              <w:right w:val="single" w:sz="4" w:space="0" w:color="auto"/>
            </w:tcBorders>
            <w:shd w:val="clear" w:color="auto" w:fill="auto"/>
            <w:noWrap/>
            <w:vAlign w:val="center"/>
            <w:hideMark/>
          </w:tcPr>
          <w:p w14:paraId="6BFD0448" w14:textId="77777777" w:rsidR="00273A6A" w:rsidRPr="008D619E" w:rsidRDefault="00273A6A" w:rsidP="008D619E">
            <w:pPr>
              <w:pStyle w:val="Table"/>
              <w:spacing w:line="240" w:lineRule="auto"/>
              <w:rPr>
                <w:rFonts w:eastAsia="Times New Roman"/>
                <w:b/>
                <w:sz w:val="20"/>
                <w:lang w:val="it-IT"/>
              </w:rPr>
            </w:pPr>
            <w:r w:rsidRPr="008D619E">
              <w:rPr>
                <w:rFonts w:eastAsia="Times New Roman"/>
                <w:b/>
                <w:sz w:val="20"/>
                <w:lang w:val="it-IT"/>
              </w:rPr>
              <w:t>3,14</w:t>
            </w:r>
          </w:p>
        </w:tc>
      </w:tr>
      <w:tr w:rsidR="00273A6A" w:rsidRPr="008D619E" w14:paraId="27C10B47" w14:textId="77777777" w:rsidTr="008D619E">
        <w:trPr>
          <w:trHeight w:val="340"/>
          <w:jc w:val="center"/>
        </w:trPr>
        <w:tc>
          <w:tcPr>
            <w:tcW w:w="284" w:type="dxa"/>
            <w:tcBorders>
              <w:top w:val="nil"/>
              <w:left w:val="single" w:sz="4" w:space="0" w:color="auto"/>
              <w:bottom w:val="nil"/>
              <w:right w:val="nil"/>
            </w:tcBorders>
            <w:shd w:val="clear" w:color="auto" w:fill="auto"/>
            <w:noWrap/>
            <w:vAlign w:val="center"/>
            <w:hideMark/>
          </w:tcPr>
          <w:p w14:paraId="0AADB450" w14:textId="77777777" w:rsidR="00273A6A" w:rsidRPr="008D619E" w:rsidRDefault="00273A6A" w:rsidP="008D619E">
            <w:pPr>
              <w:pStyle w:val="Table"/>
              <w:spacing w:line="240" w:lineRule="auto"/>
              <w:rPr>
                <w:rFonts w:eastAsia="Times New Roman"/>
                <w:b/>
                <w:sz w:val="20"/>
                <w:lang w:val="it-IT"/>
              </w:rPr>
            </w:pPr>
            <w:r w:rsidRPr="008D619E">
              <w:rPr>
                <w:rFonts w:eastAsia="Times New Roman"/>
                <w:b/>
                <w:sz w:val="20"/>
                <w:lang w:val="it-IT"/>
              </w:rPr>
              <w:t>t</w:t>
            </w:r>
            <w:r w:rsidRPr="008D619E">
              <w:rPr>
                <w:rFonts w:eastAsia="Times New Roman"/>
                <w:b/>
                <w:sz w:val="20"/>
                <w:vertAlign w:val="subscript"/>
                <w:lang w:val="it-IT"/>
              </w:rPr>
              <w:t>0</w:t>
            </w:r>
          </w:p>
        </w:tc>
        <w:tc>
          <w:tcPr>
            <w:tcW w:w="1591" w:type="dxa"/>
            <w:tcBorders>
              <w:top w:val="nil"/>
              <w:left w:val="nil"/>
              <w:bottom w:val="nil"/>
              <w:right w:val="single" w:sz="4" w:space="0" w:color="auto"/>
            </w:tcBorders>
            <w:shd w:val="clear" w:color="auto" w:fill="auto"/>
            <w:noWrap/>
            <w:vAlign w:val="center"/>
            <w:hideMark/>
          </w:tcPr>
          <w:p w14:paraId="44EB1729" w14:textId="77777777" w:rsidR="00273A6A" w:rsidRPr="008D619E" w:rsidRDefault="00273A6A" w:rsidP="008D619E">
            <w:pPr>
              <w:pStyle w:val="Table"/>
              <w:spacing w:line="240" w:lineRule="auto"/>
              <w:rPr>
                <w:rFonts w:eastAsia="Times New Roman"/>
                <w:b/>
                <w:sz w:val="20"/>
                <w:lang w:val="it-IT"/>
              </w:rPr>
            </w:pPr>
            <w:r w:rsidRPr="008D619E">
              <w:rPr>
                <w:rFonts w:eastAsia="Times New Roman"/>
                <w:b/>
                <w:sz w:val="20"/>
                <w:lang w:val="it-IT"/>
              </w:rPr>
              <w:t>25/02/2015</w:t>
            </w:r>
          </w:p>
        </w:tc>
        <w:tc>
          <w:tcPr>
            <w:tcW w:w="284" w:type="dxa"/>
            <w:tcBorders>
              <w:top w:val="nil"/>
              <w:left w:val="nil"/>
              <w:bottom w:val="nil"/>
              <w:right w:val="nil"/>
            </w:tcBorders>
            <w:shd w:val="clear" w:color="auto" w:fill="auto"/>
            <w:noWrap/>
            <w:vAlign w:val="center"/>
            <w:hideMark/>
          </w:tcPr>
          <w:p w14:paraId="09E45F48" w14:textId="77777777" w:rsidR="00273A6A" w:rsidRPr="008D619E" w:rsidRDefault="00273A6A" w:rsidP="008D619E">
            <w:pPr>
              <w:pStyle w:val="Table"/>
              <w:spacing w:line="240" w:lineRule="auto"/>
              <w:rPr>
                <w:rFonts w:eastAsia="Times New Roman"/>
                <w:b/>
                <w:sz w:val="20"/>
                <w:lang w:val="it-IT"/>
              </w:rPr>
            </w:pPr>
            <w:r w:rsidRPr="008D619E">
              <w:rPr>
                <w:rFonts w:eastAsia="Times New Roman"/>
                <w:b/>
                <w:sz w:val="20"/>
                <w:lang w:val="it-IT"/>
              </w:rPr>
              <w:t>t</w:t>
            </w:r>
            <w:r w:rsidRPr="008D619E">
              <w:rPr>
                <w:rFonts w:eastAsia="Times New Roman"/>
                <w:b/>
                <w:sz w:val="20"/>
                <w:vertAlign w:val="subscript"/>
                <w:lang w:val="it-IT"/>
              </w:rPr>
              <w:t>4</w:t>
            </w:r>
          </w:p>
        </w:tc>
        <w:tc>
          <w:tcPr>
            <w:tcW w:w="1746" w:type="dxa"/>
            <w:tcBorders>
              <w:top w:val="nil"/>
              <w:left w:val="nil"/>
              <w:bottom w:val="nil"/>
              <w:right w:val="single" w:sz="4" w:space="0" w:color="auto"/>
            </w:tcBorders>
            <w:shd w:val="clear" w:color="auto" w:fill="auto"/>
            <w:noWrap/>
            <w:vAlign w:val="center"/>
            <w:hideMark/>
          </w:tcPr>
          <w:p w14:paraId="19280967" w14:textId="77777777" w:rsidR="00273A6A" w:rsidRPr="008D619E" w:rsidRDefault="00273A6A" w:rsidP="008D619E">
            <w:pPr>
              <w:pStyle w:val="Table"/>
              <w:spacing w:line="240" w:lineRule="auto"/>
              <w:rPr>
                <w:rFonts w:eastAsia="Times New Roman"/>
                <w:b/>
                <w:sz w:val="20"/>
                <w:lang w:val="it-IT"/>
              </w:rPr>
            </w:pPr>
            <w:r w:rsidRPr="008D619E">
              <w:rPr>
                <w:rFonts w:eastAsia="Times New Roman"/>
                <w:b/>
                <w:sz w:val="20"/>
                <w:lang w:val="it-IT"/>
              </w:rPr>
              <w:t>07/04/2015</w:t>
            </w:r>
          </w:p>
        </w:tc>
        <w:tc>
          <w:tcPr>
            <w:tcW w:w="1640" w:type="dxa"/>
            <w:tcBorders>
              <w:top w:val="nil"/>
              <w:left w:val="nil"/>
              <w:bottom w:val="nil"/>
              <w:right w:val="single" w:sz="4" w:space="0" w:color="auto"/>
            </w:tcBorders>
            <w:shd w:val="clear" w:color="auto" w:fill="auto"/>
            <w:noWrap/>
            <w:vAlign w:val="center"/>
            <w:hideMark/>
          </w:tcPr>
          <w:p w14:paraId="2FFD6965" w14:textId="77777777" w:rsidR="00273A6A" w:rsidRPr="008D619E" w:rsidRDefault="00273A6A" w:rsidP="008D619E">
            <w:pPr>
              <w:pStyle w:val="Table"/>
              <w:spacing w:line="240" w:lineRule="auto"/>
              <w:rPr>
                <w:rFonts w:eastAsia="Times New Roman"/>
                <w:b/>
                <w:sz w:val="20"/>
                <w:lang w:val="it-IT"/>
              </w:rPr>
            </w:pPr>
            <w:r w:rsidRPr="008D619E">
              <w:rPr>
                <w:rFonts w:eastAsia="Times New Roman"/>
                <w:b/>
                <w:sz w:val="20"/>
                <w:lang w:val="it-IT"/>
              </w:rPr>
              <w:t>1,54</w:t>
            </w:r>
          </w:p>
        </w:tc>
      </w:tr>
      <w:tr w:rsidR="00273A6A" w:rsidRPr="008D619E" w14:paraId="7982E0A6" w14:textId="77777777" w:rsidTr="008D619E">
        <w:trPr>
          <w:trHeight w:val="340"/>
          <w:jc w:val="center"/>
        </w:trPr>
        <w:tc>
          <w:tcPr>
            <w:tcW w:w="284" w:type="dxa"/>
            <w:tcBorders>
              <w:top w:val="nil"/>
              <w:left w:val="single" w:sz="4" w:space="0" w:color="auto"/>
              <w:bottom w:val="single" w:sz="4" w:space="0" w:color="auto"/>
              <w:right w:val="nil"/>
            </w:tcBorders>
            <w:shd w:val="clear" w:color="auto" w:fill="auto"/>
            <w:noWrap/>
            <w:vAlign w:val="center"/>
            <w:hideMark/>
          </w:tcPr>
          <w:p w14:paraId="33DA767D" w14:textId="77777777" w:rsidR="00273A6A" w:rsidRPr="008D619E" w:rsidRDefault="00273A6A" w:rsidP="008D619E">
            <w:pPr>
              <w:pStyle w:val="Table"/>
              <w:spacing w:line="240" w:lineRule="auto"/>
              <w:rPr>
                <w:rFonts w:eastAsia="Times New Roman"/>
                <w:b/>
                <w:sz w:val="20"/>
                <w:lang w:val="it-IT"/>
              </w:rPr>
            </w:pPr>
            <w:r w:rsidRPr="008D619E">
              <w:rPr>
                <w:rFonts w:eastAsia="Times New Roman"/>
                <w:b/>
                <w:sz w:val="20"/>
                <w:lang w:val="it-IT"/>
              </w:rPr>
              <w:t>t</w:t>
            </w:r>
            <w:r w:rsidRPr="008D619E">
              <w:rPr>
                <w:rFonts w:eastAsia="Times New Roman"/>
                <w:b/>
                <w:sz w:val="20"/>
                <w:vertAlign w:val="subscript"/>
                <w:lang w:val="it-IT"/>
              </w:rPr>
              <w:t>0</w:t>
            </w:r>
          </w:p>
        </w:tc>
        <w:tc>
          <w:tcPr>
            <w:tcW w:w="1591" w:type="dxa"/>
            <w:tcBorders>
              <w:top w:val="nil"/>
              <w:left w:val="nil"/>
              <w:bottom w:val="single" w:sz="4" w:space="0" w:color="auto"/>
              <w:right w:val="single" w:sz="4" w:space="0" w:color="auto"/>
            </w:tcBorders>
            <w:shd w:val="clear" w:color="auto" w:fill="auto"/>
            <w:noWrap/>
            <w:vAlign w:val="center"/>
            <w:hideMark/>
          </w:tcPr>
          <w:p w14:paraId="5F006F20" w14:textId="77777777" w:rsidR="00273A6A" w:rsidRPr="008D619E" w:rsidRDefault="00273A6A" w:rsidP="008D619E">
            <w:pPr>
              <w:pStyle w:val="Table"/>
              <w:spacing w:line="240" w:lineRule="auto"/>
              <w:rPr>
                <w:rFonts w:eastAsia="Times New Roman"/>
                <w:b/>
                <w:sz w:val="20"/>
                <w:lang w:val="it-IT"/>
              </w:rPr>
            </w:pPr>
            <w:r w:rsidRPr="008D619E">
              <w:rPr>
                <w:rFonts w:eastAsia="Times New Roman"/>
                <w:b/>
                <w:sz w:val="20"/>
                <w:lang w:val="it-IT"/>
              </w:rPr>
              <w:t>25/02/2015</w:t>
            </w:r>
          </w:p>
        </w:tc>
        <w:tc>
          <w:tcPr>
            <w:tcW w:w="284" w:type="dxa"/>
            <w:tcBorders>
              <w:top w:val="nil"/>
              <w:left w:val="nil"/>
              <w:bottom w:val="single" w:sz="4" w:space="0" w:color="auto"/>
              <w:right w:val="nil"/>
            </w:tcBorders>
            <w:shd w:val="clear" w:color="auto" w:fill="auto"/>
            <w:noWrap/>
            <w:vAlign w:val="center"/>
            <w:hideMark/>
          </w:tcPr>
          <w:p w14:paraId="2EB41709" w14:textId="77777777" w:rsidR="00273A6A" w:rsidRPr="008D619E" w:rsidRDefault="00273A6A" w:rsidP="008D619E">
            <w:pPr>
              <w:pStyle w:val="Table"/>
              <w:spacing w:line="240" w:lineRule="auto"/>
              <w:rPr>
                <w:rFonts w:eastAsia="Times New Roman"/>
                <w:b/>
                <w:sz w:val="20"/>
                <w:lang w:val="it-IT"/>
              </w:rPr>
            </w:pPr>
            <w:r w:rsidRPr="008D619E">
              <w:rPr>
                <w:rFonts w:eastAsia="Times New Roman"/>
                <w:b/>
                <w:sz w:val="20"/>
                <w:lang w:val="it-IT"/>
              </w:rPr>
              <w:t>t</w:t>
            </w:r>
            <w:r w:rsidRPr="008D619E">
              <w:rPr>
                <w:rFonts w:eastAsia="Times New Roman"/>
                <w:b/>
                <w:sz w:val="20"/>
                <w:vertAlign w:val="subscript"/>
                <w:lang w:val="it-IT"/>
              </w:rPr>
              <w:t>5</w:t>
            </w:r>
          </w:p>
        </w:tc>
        <w:tc>
          <w:tcPr>
            <w:tcW w:w="1746" w:type="dxa"/>
            <w:tcBorders>
              <w:top w:val="nil"/>
              <w:left w:val="nil"/>
              <w:bottom w:val="single" w:sz="4" w:space="0" w:color="auto"/>
              <w:right w:val="single" w:sz="4" w:space="0" w:color="auto"/>
            </w:tcBorders>
            <w:shd w:val="clear" w:color="auto" w:fill="auto"/>
            <w:noWrap/>
            <w:vAlign w:val="center"/>
            <w:hideMark/>
          </w:tcPr>
          <w:p w14:paraId="4DE48A23" w14:textId="77777777" w:rsidR="00273A6A" w:rsidRPr="008D619E" w:rsidRDefault="00273A6A" w:rsidP="008D619E">
            <w:pPr>
              <w:pStyle w:val="Table"/>
              <w:spacing w:line="240" w:lineRule="auto"/>
              <w:rPr>
                <w:rFonts w:eastAsia="Times New Roman"/>
                <w:b/>
                <w:sz w:val="20"/>
                <w:lang w:val="it-IT"/>
              </w:rPr>
            </w:pPr>
            <w:r w:rsidRPr="008D619E">
              <w:rPr>
                <w:rFonts w:eastAsia="Times New Roman"/>
                <w:b/>
                <w:sz w:val="20"/>
                <w:lang w:val="it-IT"/>
              </w:rPr>
              <w:t>13/04/2015</w:t>
            </w:r>
          </w:p>
        </w:tc>
        <w:tc>
          <w:tcPr>
            <w:tcW w:w="1640" w:type="dxa"/>
            <w:tcBorders>
              <w:top w:val="nil"/>
              <w:left w:val="nil"/>
              <w:bottom w:val="single" w:sz="4" w:space="0" w:color="auto"/>
              <w:right w:val="single" w:sz="4" w:space="0" w:color="auto"/>
            </w:tcBorders>
            <w:shd w:val="clear" w:color="auto" w:fill="auto"/>
            <w:noWrap/>
            <w:vAlign w:val="center"/>
            <w:hideMark/>
          </w:tcPr>
          <w:p w14:paraId="539440B2" w14:textId="77777777" w:rsidR="00273A6A" w:rsidRPr="008D619E" w:rsidRDefault="00273A6A" w:rsidP="008D619E">
            <w:pPr>
              <w:pStyle w:val="Table"/>
              <w:spacing w:line="240" w:lineRule="auto"/>
              <w:rPr>
                <w:rFonts w:eastAsia="Times New Roman"/>
                <w:b/>
                <w:sz w:val="20"/>
                <w:lang w:val="it-IT"/>
              </w:rPr>
            </w:pPr>
            <w:r w:rsidRPr="008D619E">
              <w:rPr>
                <w:rFonts w:eastAsia="Times New Roman"/>
                <w:b/>
                <w:sz w:val="20"/>
                <w:lang w:val="it-IT"/>
              </w:rPr>
              <w:t>1,66</w:t>
            </w:r>
          </w:p>
        </w:tc>
      </w:tr>
    </w:tbl>
    <w:p w14:paraId="2CF14767" w14:textId="77777777" w:rsidR="00273A6A" w:rsidRPr="00261572" w:rsidRDefault="00273A6A" w:rsidP="00273A6A">
      <w:pPr>
        <w:pStyle w:val="Didascalia"/>
        <w:spacing w:after="0"/>
        <w:rPr>
          <w:i w:val="0"/>
        </w:rPr>
      </w:pPr>
    </w:p>
    <w:p w14:paraId="7BB76435" w14:textId="6549AB7D" w:rsidR="00DE1434" w:rsidRDefault="0009416C" w:rsidP="00DE1434">
      <w:pPr>
        <w:spacing w:after="0"/>
      </w:pPr>
      <w:r>
        <w:t xml:space="preserve">When </w:t>
      </w:r>
      <w:r w:rsidR="00DE1434">
        <w:t xml:space="preserve">algae sampling </w:t>
      </w:r>
      <w:r w:rsidRPr="00680ECD">
        <w:rPr>
          <w:noProof/>
        </w:rPr>
        <w:t>was performed</w:t>
      </w:r>
      <w:r>
        <w:t xml:space="preserve"> by</w:t>
      </w:r>
      <w:r w:rsidR="00DE1434">
        <w:t xml:space="preserve"> cleaning a pipe of the PBR, not only the </w:t>
      </w:r>
      <w:r w:rsidR="00DE1434" w:rsidRPr="00680ECD">
        <w:rPr>
          <w:noProof/>
        </w:rPr>
        <w:t>growing</w:t>
      </w:r>
      <w:r w:rsidR="00DE1434">
        <w:t xml:space="preserve"> rate was measured but also the elemental analysis</w:t>
      </w:r>
      <w:r w:rsidR="0056489E">
        <w:t xml:space="preserve"> </w:t>
      </w:r>
      <w:r w:rsidR="0056489E" w:rsidRPr="00680ECD">
        <w:rPr>
          <w:noProof/>
        </w:rPr>
        <w:t>was performed</w:t>
      </w:r>
      <w:r w:rsidR="0056489E">
        <w:t xml:space="preserve"> in the WWTP laboratories</w:t>
      </w:r>
      <w:r w:rsidR="00765725">
        <w:t xml:space="preserve"> at SMAT</w:t>
      </w:r>
      <w:r w:rsidR="00DE1434">
        <w:t>.</w:t>
      </w:r>
    </w:p>
    <w:p w14:paraId="458C465B" w14:textId="1FB89960" w:rsidR="00DE1434" w:rsidRDefault="00DE1434" w:rsidP="0056489E">
      <w:pPr>
        <w:spacing w:after="0"/>
      </w:pPr>
      <w:r w:rsidRPr="005D3EBC">
        <w:t xml:space="preserve">As can be seen </w:t>
      </w:r>
      <w:r w:rsidR="00680ECD">
        <w:rPr>
          <w:noProof/>
        </w:rPr>
        <w:t>i</w:t>
      </w:r>
      <w:r w:rsidRPr="00680ECD">
        <w:rPr>
          <w:noProof/>
        </w:rPr>
        <w:t>n</w:t>
      </w:r>
      <w:r w:rsidR="0056489E">
        <w:t xml:space="preserve"> </w:t>
      </w:r>
      <w:r w:rsidR="008D619E">
        <w:fldChar w:fldCharType="begin"/>
      </w:r>
      <w:r w:rsidR="008D619E">
        <w:instrText xml:space="preserve"> REF _Ref469581094 \h </w:instrText>
      </w:r>
      <w:r w:rsidR="008D619E">
        <w:fldChar w:fldCharType="separate"/>
      </w:r>
      <w:r w:rsidR="008D619E">
        <w:t xml:space="preserve">Figure </w:t>
      </w:r>
      <w:r w:rsidR="008D619E">
        <w:rPr>
          <w:noProof/>
        </w:rPr>
        <w:t>17</w:t>
      </w:r>
      <w:r w:rsidR="008D619E">
        <w:fldChar w:fldCharType="end"/>
      </w:r>
      <w:r w:rsidRPr="005D3EBC">
        <w:t>, the total carbon content was always close to 40%. Other elements were</w:t>
      </w:r>
      <w:r>
        <w:t xml:space="preserve"> nitrogen, </w:t>
      </w:r>
      <w:r w:rsidRPr="00680ECD">
        <w:rPr>
          <w:noProof/>
        </w:rPr>
        <w:t>hydrogen</w:t>
      </w:r>
      <w:r w:rsidR="00680ECD">
        <w:rPr>
          <w:noProof/>
        </w:rPr>
        <w:t>,</w:t>
      </w:r>
      <w:r>
        <w:t xml:space="preserve"> and </w:t>
      </w:r>
      <w:r w:rsidRPr="00680ECD">
        <w:rPr>
          <w:noProof/>
        </w:rPr>
        <w:t>sul</w:t>
      </w:r>
      <w:r w:rsidR="00680ECD">
        <w:rPr>
          <w:noProof/>
        </w:rPr>
        <w:t>f</w:t>
      </w:r>
      <w:r w:rsidRPr="00680ECD">
        <w:rPr>
          <w:noProof/>
        </w:rPr>
        <w:t>ur</w:t>
      </w:r>
      <w:r>
        <w:t xml:space="preserve">. </w:t>
      </w:r>
    </w:p>
    <w:p w14:paraId="3224EBF5" w14:textId="77777777" w:rsidR="008D619E" w:rsidRDefault="002631BC" w:rsidP="008D619E">
      <w:pPr>
        <w:keepNext/>
        <w:spacing w:after="0"/>
        <w:jc w:val="center"/>
      </w:pPr>
      <w:r>
        <w:rPr>
          <w:noProof/>
          <w:lang w:val="it-IT" w:eastAsia="it-IT"/>
        </w:rPr>
        <w:drawing>
          <wp:inline distT="0" distB="0" distL="0" distR="0" wp14:anchorId="4862DADF" wp14:editId="1373738F">
            <wp:extent cx="4945380" cy="2324100"/>
            <wp:effectExtent l="0" t="0" r="7620" b="0"/>
            <wp:docPr id="22" name="Immagin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l="454" t="28545" r="1412" b="676"/>
                    <a:stretch/>
                  </pic:blipFill>
                  <pic:spPr bwMode="auto">
                    <a:xfrm>
                      <a:off x="0" y="0"/>
                      <a:ext cx="4946008" cy="2324395"/>
                    </a:xfrm>
                    <a:prstGeom prst="rect">
                      <a:avLst/>
                    </a:prstGeom>
                    <a:noFill/>
                    <a:ln>
                      <a:noFill/>
                    </a:ln>
                    <a:extLst>
                      <a:ext uri="{53640926-AAD7-44D8-BBD7-CCE9431645EC}">
                        <a14:shadowObscured xmlns:a14="http://schemas.microsoft.com/office/drawing/2010/main"/>
                      </a:ext>
                    </a:extLst>
                  </pic:spPr>
                </pic:pic>
              </a:graphicData>
            </a:graphic>
          </wp:inline>
        </w:drawing>
      </w:r>
    </w:p>
    <w:p w14:paraId="19772B36" w14:textId="6B9D3603" w:rsidR="00DE1434" w:rsidRPr="00EC386E" w:rsidRDefault="008D619E" w:rsidP="00DE1434">
      <w:pPr>
        <w:pStyle w:val="Didascalia"/>
      </w:pPr>
      <w:bookmarkStart w:id="29" w:name="_Ref469581094"/>
      <w:r>
        <w:t xml:space="preserve">Figure </w:t>
      </w:r>
      <w:r>
        <w:fldChar w:fldCharType="begin"/>
      </w:r>
      <w:r>
        <w:instrText xml:space="preserve"> SEQ Figure \* ARABIC </w:instrText>
      </w:r>
      <w:r>
        <w:fldChar w:fldCharType="separate"/>
      </w:r>
      <w:r>
        <w:rPr>
          <w:noProof/>
        </w:rPr>
        <w:t>17</w:t>
      </w:r>
      <w:r>
        <w:fldChar w:fldCharType="end"/>
      </w:r>
      <w:bookmarkEnd w:id="29"/>
      <w:r w:rsidR="00DE1434" w:rsidRPr="00EC386E">
        <w:t xml:space="preserve">. Single </w:t>
      </w:r>
      <w:r w:rsidR="00DE1434" w:rsidRPr="00680ECD">
        <w:rPr>
          <w:noProof/>
        </w:rPr>
        <w:t>element</w:t>
      </w:r>
      <w:r w:rsidR="00DE1434" w:rsidRPr="00EC386E">
        <w:t xml:space="preserve"> analysis for the algae.</w:t>
      </w:r>
    </w:p>
    <w:p w14:paraId="0BC17EDA" w14:textId="193DB014" w:rsidR="00DE1434" w:rsidRDefault="00DE1434" w:rsidP="00DE1434">
      <w:pPr>
        <w:spacing w:after="0"/>
      </w:pPr>
      <w:r w:rsidRPr="005D3EBC">
        <w:t xml:space="preserve">Furthermore, the quota of carbon related to organic C has been calculated and can </w:t>
      </w:r>
      <w:r w:rsidRPr="00680ECD">
        <w:rPr>
          <w:noProof/>
        </w:rPr>
        <w:t>be seen</w:t>
      </w:r>
      <w:r w:rsidRPr="005D3EBC">
        <w:t xml:space="preserve"> </w:t>
      </w:r>
      <w:r w:rsidR="00680ECD">
        <w:rPr>
          <w:noProof/>
        </w:rPr>
        <w:t>i</w:t>
      </w:r>
      <w:r w:rsidR="008D619E" w:rsidRPr="00680ECD">
        <w:rPr>
          <w:noProof/>
        </w:rPr>
        <w:t>n</w:t>
      </w:r>
      <w:r w:rsidR="008D619E">
        <w:t xml:space="preserve"> </w:t>
      </w:r>
      <w:r w:rsidR="008D619E">
        <w:fldChar w:fldCharType="begin"/>
      </w:r>
      <w:r w:rsidR="008D619E">
        <w:instrText xml:space="preserve"> REF _Ref469581108 \h </w:instrText>
      </w:r>
      <w:r w:rsidR="008D619E">
        <w:fldChar w:fldCharType="separate"/>
      </w:r>
      <w:r w:rsidR="008D619E">
        <w:t xml:space="preserve">Figure </w:t>
      </w:r>
      <w:r w:rsidR="008D619E">
        <w:rPr>
          <w:noProof/>
        </w:rPr>
        <w:t>18</w:t>
      </w:r>
      <w:r w:rsidR="008D619E">
        <w:fldChar w:fldCharType="end"/>
      </w:r>
      <w:r w:rsidRPr="005D3EBC">
        <w:t>.</w:t>
      </w:r>
      <w:r>
        <w:t xml:space="preserve"> The ration </w:t>
      </w:r>
      <w:r w:rsidRPr="00680ECD">
        <w:rPr>
          <w:noProof/>
        </w:rPr>
        <w:t>C</w:t>
      </w:r>
      <w:r w:rsidRPr="00680ECD">
        <w:rPr>
          <w:noProof/>
          <w:vertAlign w:val="subscript"/>
        </w:rPr>
        <w:t>org</w:t>
      </w:r>
      <w:r>
        <w:t>/</w:t>
      </w:r>
      <w:proofErr w:type="spellStart"/>
      <w:r>
        <w:t>C</w:t>
      </w:r>
      <w:r w:rsidRPr="006E31D0">
        <w:rPr>
          <w:vertAlign w:val="subscript"/>
        </w:rPr>
        <w:t>tot</w:t>
      </w:r>
      <w:proofErr w:type="spellEnd"/>
      <w:r>
        <w:t xml:space="preserve"> is almost kept constant during the tests and the </w:t>
      </w:r>
      <w:r w:rsidRPr="00680ECD">
        <w:rPr>
          <w:noProof/>
        </w:rPr>
        <w:t>C</w:t>
      </w:r>
      <w:r w:rsidRPr="00680ECD">
        <w:rPr>
          <w:noProof/>
          <w:vertAlign w:val="subscript"/>
        </w:rPr>
        <w:t>org</w:t>
      </w:r>
      <w:r>
        <w:t xml:space="preserve"> percentage is around 34-35%.</w:t>
      </w:r>
    </w:p>
    <w:p w14:paraId="192C2892" w14:textId="34E67ABC" w:rsidR="00DE1434" w:rsidRDefault="00DE1434" w:rsidP="00DE1434">
      <w:pPr>
        <w:spacing w:after="0"/>
      </w:pPr>
      <w:r>
        <w:t>The fact that algae prefer to grow attached to the pipes, confirmed by the PBR producer</w:t>
      </w:r>
      <w:r w:rsidR="00765725">
        <w:t>, the lab experiments explained in the previous section,</w:t>
      </w:r>
      <w:r>
        <w:t xml:space="preserve"> and by literature, has also been confirmed during two sampling points in which the percentage of algae attached to the </w:t>
      </w:r>
      <w:r w:rsidRPr="005D3EBC">
        <w:t xml:space="preserve">pipe and suspended in the contained water </w:t>
      </w:r>
      <w:r w:rsidRPr="00680ECD">
        <w:rPr>
          <w:noProof/>
        </w:rPr>
        <w:t>were measured</w:t>
      </w:r>
      <w:r w:rsidRPr="005D3EBC">
        <w:t xml:space="preserve"> separately. Results can be seen </w:t>
      </w:r>
      <w:r w:rsidR="00680ECD">
        <w:rPr>
          <w:noProof/>
        </w:rPr>
        <w:t>i</w:t>
      </w:r>
      <w:r w:rsidRPr="00680ECD">
        <w:rPr>
          <w:noProof/>
        </w:rPr>
        <w:t>n</w:t>
      </w:r>
      <w:r w:rsidRPr="005D3EBC">
        <w:t xml:space="preserve"> </w:t>
      </w:r>
      <w:r w:rsidR="008D619E">
        <w:fldChar w:fldCharType="begin"/>
      </w:r>
      <w:r w:rsidR="008D619E">
        <w:instrText xml:space="preserve"> REF _Ref469581121 \h </w:instrText>
      </w:r>
      <w:r w:rsidR="008D619E">
        <w:fldChar w:fldCharType="separate"/>
      </w:r>
      <w:r w:rsidR="008D619E">
        <w:t xml:space="preserve">Figure </w:t>
      </w:r>
      <w:r w:rsidR="008D619E">
        <w:rPr>
          <w:noProof/>
        </w:rPr>
        <w:t>19</w:t>
      </w:r>
      <w:r w:rsidR="008D619E">
        <w:fldChar w:fldCharType="end"/>
      </w:r>
      <w:r>
        <w:t xml:space="preserve"> and show that 90% of the algae are found to be attached to the pipe. </w:t>
      </w:r>
    </w:p>
    <w:p w14:paraId="3E78EA01" w14:textId="77777777" w:rsidR="00DE1434" w:rsidRDefault="00DE1434" w:rsidP="00DE1434">
      <w:pPr>
        <w:spacing w:after="0"/>
      </w:pPr>
    </w:p>
    <w:p w14:paraId="2F94983B" w14:textId="77777777" w:rsidR="008D619E" w:rsidRDefault="002631BC" w:rsidP="008D619E">
      <w:pPr>
        <w:keepNext/>
        <w:spacing w:after="0"/>
        <w:jc w:val="center"/>
      </w:pPr>
      <w:r>
        <w:rPr>
          <w:noProof/>
          <w:lang w:val="it-IT" w:eastAsia="it-IT"/>
        </w:rPr>
        <w:lastRenderedPageBreak/>
        <w:drawing>
          <wp:inline distT="0" distB="0" distL="0" distR="0" wp14:anchorId="04647AAD" wp14:editId="1DC2F46C">
            <wp:extent cx="4594860" cy="1699260"/>
            <wp:effectExtent l="0" t="0" r="0" b="0"/>
            <wp:docPr id="27" name="Immagin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l="977" t="43232" r="828" b="1036"/>
                    <a:stretch/>
                  </pic:blipFill>
                  <pic:spPr bwMode="auto">
                    <a:xfrm>
                      <a:off x="0" y="0"/>
                      <a:ext cx="4595533" cy="1699509"/>
                    </a:xfrm>
                    <a:prstGeom prst="rect">
                      <a:avLst/>
                    </a:prstGeom>
                    <a:noFill/>
                    <a:ln>
                      <a:noFill/>
                    </a:ln>
                    <a:extLst>
                      <a:ext uri="{53640926-AAD7-44D8-BBD7-CCE9431645EC}">
                        <a14:shadowObscured xmlns:a14="http://schemas.microsoft.com/office/drawing/2010/main"/>
                      </a:ext>
                    </a:extLst>
                  </pic:spPr>
                </pic:pic>
              </a:graphicData>
            </a:graphic>
          </wp:inline>
        </w:drawing>
      </w:r>
    </w:p>
    <w:p w14:paraId="4F31D63C" w14:textId="76F5DE9D" w:rsidR="00DE1434" w:rsidRPr="00EC386E" w:rsidRDefault="008D619E" w:rsidP="00DE1434">
      <w:pPr>
        <w:pStyle w:val="Didascalia"/>
      </w:pPr>
      <w:bookmarkStart w:id="30" w:name="_Ref469581108"/>
      <w:r>
        <w:t xml:space="preserve">Figure </w:t>
      </w:r>
      <w:r>
        <w:fldChar w:fldCharType="begin"/>
      </w:r>
      <w:r>
        <w:instrText xml:space="preserve"> SEQ Figure \* ARABIC </w:instrText>
      </w:r>
      <w:r>
        <w:fldChar w:fldCharType="separate"/>
      </w:r>
      <w:r>
        <w:rPr>
          <w:noProof/>
        </w:rPr>
        <w:t>18</w:t>
      </w:r>
      <w:r>
        <w:fldChar w:fldCharType="end"/>
      </w:r>
      <w:bookmarkEnd w:id="30"/>
      <w:r w:rsidR="00DE1434" w:rsidRPr="00EC386E">
        <w:t>. Total and organic carbon ratio.</w:t>
      </w:r>
    </w:p>
    <w:p w14:paraId="71004BD0" w14:textId="77777777" w:rsidR="008D619E" w:rsidRDefault="002631BC" w:rsidP="008D619E">
      <w:pPr>
        <w:keepNext/>
        <w:spacing w:after="0"/>
        <w:jc w:val="center"/>
      </w:pPr>
      <w:r>
        <w:rPr>
          <w:noProof/>
          <w:lang w:val="it-IT" w:eastAsia="it-IT"/>
        </w:rPr>
        <w:drawing>
          <wp:inline distT="0" distB="0" distL="0" distR="0" wp14:anchorId="1DEC9510" wp14:editId="181F54F7">
            <wp:extent cx="4579620" cy="1920240"/>
            <wp:effectExtent l="0" t="0" r="0" b="3810"/>
            <wp:docPr id="2048" name="Immagine 2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29">
                      <a:extLst>
                        <a:ext uri="{28A0092B-C50C-407E-A947-70E740481C1C}">
                          <a14:useLocalDpi xmlns:a14="http://schemas.microsoft.com/office/drawing/2010/main" val="0"/>
                        </a:ext>
                      </a:extLst>
                    </a:blip>
                    <a:srcRect l="1140" t="2618" r="976" b="3144"/>
                    <a:stretch/>
                  </pic:blipFill>
                  <pic:spPr bwMode="auto">
                    <a:xfrm>
                      <a:off x="0" y="0"/>
                      <a:ext cx="4580914" cy="1920783"/>
                    </a:xfrm>
                    <a:prstGeom prst="rect">
                      <a:avLst/>
                    </a:prstGeom>
                    <a:noFill/>
                    <a:ln>
                      <a:noFill/>
                    </a:ln>
                    <a:extLst>
                      <a:ext uri="{53640926-AAD7-44D8-BBD7-CCE9431645EC}">
                        <a14:shadowObscured xmlns:a14="http://schemas.microsoft.com/office/drawing/2010/main"/>
                      </a:ext>
                    </a:extLst>
                  </pic:spPr>
                </pic:pic>
              </a:graphicData>
            </a:graphic>
          </wp:inline>
        </w:drawing>
      </w:r>
    </w:p>
    <w:p w14:paraId="544B324E" w14:textId="3DF01964" w:rsidR="00DE1434" w:rsidRDefault="008D619E" w:rsidP="00DE1434">
      <w:pPr>
        <w:pStyle w:val="Didascalia"/>
      </w:pPr>
      <w:bookmarkStart w:id="31" w:name="_Ref469581121"/>
      <w:r>
        <w:t xml:space="preserve">Figure </w:t>
      </w:r>
      <w:r>
        <w:fldChar w:fldCharType="begin"/>
      </w:r>
      <w:r>
        <w:instrText xml:space="preserve"> SEQ Figure \* ARABIC </w:instrText>
      </w:r>
      <w:r>
        <w:fldChar w:fldCharType="separate"/>
      </w:r>
      <w:r>
        <w:rPr>
          <w:noProof/>
        </w:rPr>
        <w:t>19</w:t>
      </w:r>
      <w:r>
        <w:fldChar w:fldCharType="end"/>
      </w:r>
      <w:bookmarkEnd w:id="31"/>
      <w:r w:rsidR="00DE1434" w:rsidRPr="00EC386E">
        <w:t>. Distribution of detected algae in the PBR.</w:t>
      </w:r>
    </w:p>
    <w:p w14:paraId="2C9E365C" w14:textId="77777777" w:rsidR="00EC386E" w:rsidRPr="00EC386E" w:rsidRDefault="00EC386E" w:rsidP="00EC386E"/>
    <w:p w14:paraId="4BB78091" w14:textId="77777777" w:rsidR="00122413" w:rsidRPr="00122413" w:rsidRDefault="009F0240" w:rsidP="00122413">
      <w:pPr>
        <w:pStyle w:val="Titolo2"/>
        <w:rPr>
          <w:lang w:val="en-US"/>
        </w:rPr>
      </w:pPr>
      <w:r>
        <w:rPr>
          <w:lang w:val="en-US"/>
        </w:rPr>
        <w:t xml:space="preserve">Discussion </w:t>
      </w:r>
    </w:p>
    <w:p w14:paraId="2B5B0D57" w14:textId="0220C180" w:rsidR="00100E3F" w:rsidRDefault="00100E3F" w:rsidP="00D51C5A">
      <w:pPr>
        <w:spacing w:after="0"/>
        <w:rPr>
          <w:lang w:val="en-US"/>
        </w:rPr>
      </w:pPr>
      <w:r>
        <w:rPr>
          <w:lang w:val="en-US"/>
        </w:rPr>
        <w:t xml:space="preserve">By considering all the obtained results, it is possible to derive </w:t>
      </w:r>
      <w:r w:rsidRPr="00680ECD">
        <w:rPr>
          <w:noProof/>
          <w:lang w:val="en-US"/>
        </w:rPr>
        <w:t>some main conclusions</w:t>
      </w:r>
      <w:r>
        <w:rPr>
          <w:lang w:val="en-US"/>
        </w:rPr>
        <w:t>.</w:t>
      </w:r>
    </w:p>
    <w:p w14:paraId="3DABF17D" w14:textId="2DD33550" w:rsidR="00100E3F" w:rsidRDefault="00100E3F" w:rsidP="00D51C5A">
      <w:pPr>
        <w:spacing w:after="0"/>
        <w:rPr>
          <w:lang w:val="en-US"/>
        </w:rPr>
      </w:pPr>
      <w:r>
        <w:rPr>
          <w:lang w:val="en-US"/>
        </w:rPr>
        <w:t xml:space="preserve">The first one is that the oxy-combustion step is not problematic from the technical point of view. The process is very </w:t>
      </w:r>
      <w:r w:rsidRPr="00680ECD">
        <w:rPr>
          <w:noProof/>
          <w:lang w:val="en-US"/>
        </w:rPr>
        <w:t>effective</w:t>
      </w:r>
      <w:r>
        <w:rPr>
          <w:lang w:val="en-US"/>
        </w:rPr>
        <w:t xml:space="preserve"> in converting the residual </w:t>
      </w:r>
      <w:r w:rsidRPr="00680ECD">
        <w:rPr>
          <w:noProof/>
          <w:lang w:val="en-US"/>
        </w:rPr>
        <w:t>H</w:t>
      </w:r>
      <w:r w:rsidRPr="00680ECD">
        <w:rPr>
          <w:noProof/>
          <w:vertAlign w:val="subscript"/>
          <w:lang w:val="en-US"/>
        </w:rPr>
        <w:t>2</w:t>
      </w:r>
      <w:r w:rsidR="00680ECD">
        <w:rPr>
          <w:noProof/>
          <w:vertAlign w:val="subscript"/>
          <w:lang w:val="en-US"/>
        </w:rPr>
        <w:t>,</w:t>
      </w:r>
      <w:r>
        <w:rPr>
          <w:lang w:val="en-US"/>
        </w:rPr>
        <w:t xml:space="preserve"> and CO contained in the SOFC anode exhausts into H</w:t>
      </w:r>
      <w:r w:rsidRPr="00F649B4">
        <w:rPr>
          <w:vertAlign w:val="subscript"/>
          <w:lang w:val="en-US"/>
        </w:rPr>
        <w:t>2</w:t>
      </w:r>
      <w:r>
        <w:rPr>
          <w:lang w:val="en-US"/>
        </w:rPr>
        <w:t>O and CO</w:t>
      </w:r>
      <w:r w:rsidRPr="00F649B4">
        <w:rPr>
          <w:vertAlign w:val="subscript"/>
          <w:lang w:val="en-US"/>
        </w:rPr>
        <w:t>2</w:t>
      </w:r>
      <w:r>
        <w:rPr>
          <w:lang w:val="en-US"/>
        </w:rPr>
        <w:t xml:space="preserve"> respectively. Some considerations </w:t>
      </w:r>
      <w:r w:rsidR="007D6F27">
        <w:rPr>
          <w:lang w:val="en-US"/>
        </w:rPr>
        <w:t>follow below</w:t>
      </w:r>
      <w:r>
        <w:rPr>
          <w:lang w:val="en-US"/>
        </w:rPr>
        <w:t>:</w:t>
      </w:r>
    </w:p>
    <w:p w14:paraId="1F3E8D4E" w14:textId="4A1DA976" w:rsidR="00100E3F" w:rsidRPr="0023201B" w:rsidRDefault="00121C36" w:rsidP="0023201B">
      <w:pPr>
        <w:pStyle w:val="Paragrafoelenco"/>
        <w:numPr>
          <w:ilvl w:val="0"/>
          <w:numId w:val="30"/>
        </w:numPr>
        <w:ind w:left="851"/>
        <w:rPr>
          <w:lang w:val="en-US"/>
        </w:rPr>
      </w:pPr>
      <w:r w:rsidRPr="00680ECD">
        <w:rPr>
          <w:noProof/>
          <w:lang w:val="en-US"/>
        </w:rPr>
        <w:t xml:space="preserve">A way </w:t>
      </w:r>
      <w:r w:rsidR="00100E3F" w:rsidRPr="00680ECD">
        <w:rPr>
          <w:noProof/>
          <w:lang w:val="en-US"/>
        </w:rPr>
        <w:t>to reduce the amount of residual H</w:t>
      </w:r>
      <w:r w:rsidR="00100E3F" w:rsidRPr="00680ECD">
        <w:rPr>
          <w:noProof/>
          <w:vertAlign w:val="subscript"/>
          <w:lang w:val="en-US"/>
        </w:rPr>
        <w:t>2</w:t>
      </w:r>
      <w:r w:rsidR="00100E3F" w:rsidRPr="00680ECD">
        <w:rPr>
          <w:noProof/>
          <w:lang w:val="en-US"/>
        </w:rPr>
        <w:t xml:space="preserve"> and CO in the anode exhaust, could be to operate the SOFC at a higher Fuel Utilization; this can generate a slight reduction of the efficiency of the electrochemical reaction, but this could represent a negligible </w:t>
      </w:r>
      <w:r w:rsidR="0027490F" w:rsidRPr="00680ECD">
        <w:rPr>
          <w:noProof/>
          <w:lang w:val="en-US"/>
        </w:rPr>
        <w:t>reduction to accept if the emphasis is given to the effectiveness of carbon recovery from the plant</w:t>
      </w:r>
    </w:p>
    <w:p w14:paraId="78F2648E" w14:textId="12879152" w:rsidR="0027490F" w:rsidRPr="0027490F" w:rsidRDefault="005F7416" w:rsidP="0023201B">
      <w:pPr>
        <w:pStyle w:val="Paragrafoelenco"/>
        <w:numPr>
          <w:ilvl w:val="0"/>
          <w:numId w:val="30"/>
        </w:numPr>
        <w:ind w:left="851"/>
        <w:rPr>
          <w:lang w:val="en-US"/>
        </w:rPr>
      </w:pPr>
      <w:r w:rsidRPr="00680ECD">
        <w:rPr>
          <w:noProof/>
          <w:lang w:val="en-US"/>
        </w:rPr>
        <w:t>t</w:t>
      </w:r>
      <w:r w:rsidR="0027490F" w:rsidRPr="00680ECD">
        <w:rPr>
          <w:noProof/>
          <w:lang w:val="en-US"/>
        </w:rPr>
        <w:t>he needed reactant is O</w:t>
      </w:r>
      <w:r w:rsidR="0027490F" w:rsidRPr="00680ECD">
        <w:rPr>
          <w:noProof/>
          <w:vertAlign w:val="subscript"/>
          <w:lang w:val="en-US"/>
        </w:rPr>
        <w:t>2</w:t>
      </w:r>
      <w:r w:rsidR="0027490F" w:rsidRPr="00680ECD">
        <w:rPr>
          <w:noProof/>
          <w:lang w:val="en-US"/>
        </w:rPr>
        <w:t>; of course, O</w:t>
      </w:r>
      <w:r w:rsidR="0027490F" w:rsidRPr="00680ECD">
        <w:rPr>
          <w:noProof/>
          <w:vertAlign w:val="subscript"/>
          <w:lang w:val="en-US"/>
        </w:rPr>
        <w:t>2</w:t>
      </w:r>
      <w:r w:rsidR="0027490F" w:rsidRPr="00680ECD">
        <w:rPr>
          <w:noProof/>
          <w:lang w:val="en-US"/>
        </w:rPr>
        <w:t xml:space="preserve"> would represent a high cost (in terms of energy and economy) if it has to be </w:t>
      </w:r>
      <w:r w:rsidR="00121C36" w:rsidRPr="00680ECD">
        <w:rPr>
          <w:noProof/>
          <w:lang w:val="en-US"/>
        </w:rPr>
        <w:t xml:space="preserve">separated </w:t>
      </w:r>
      <w:r w:rsidR="0027490F" w:rsidRPr="00680ECD">
        <w:rPr>
          <w:noProof/>
          <w:lang w:val="en-US"/>
        </w:rPr>
        <w:t xml:space="preserve">from air (or, even worst, if extracted from cylinder as in our proof-of-concept); </w:t>
      </w:r>
      <w:r w:rsidR="00121C36" w:rsidRPr="00680ECD">
        <w:rPr>
          <w:noProof/>
          <w:lang w:val="en-US"/>
        </w:rPr>
        <w:t>a plausible</w:t>
      </w:r>
      <w:r w:rsidR="0027490F" w:rsidRPr="00680ECD">
        <w:rPr>
          <w:noProof/>
          <w:lang w:val="en-US"/>
        </w:rPr>
        <w:t xml:space="preserve"> solution could be to use the O</w:t>
      </w:r>
      <w:r w:rsidR="0027490F" w:rsidRPr="00680ECD">
        <w:rPr>
          <w:noProof/>
          <w:vertAlign w:val="subscript"/>
          <w:lang w:val="en-US"/>
        </w:rPr>
        <w:t>2</w:t>
      </w:r>
      <w:r w:rsidR="0027490F" w:rsidRPr="00680ECD">
        <w:rPr>
          <w:noProof/>
          <w:lang w:val="en-US"/>
        </w:rPr>
        <w:t xml:space="preserve"> recovered from the downstream </w:t>
      </w:r>
      <w:r w:rsidR="00121C36" w:rsidRPr="00680ECD">
        <w:rPr>
          <w:noProof/>
          <w:lang w:val="en-US"/>
        </w:rPr>
        <w:t>PBR</w:t>
      </w:r>
      <w:r w:rsidR="0027490F" w:rsidRPr="00680ECD">
        <w:rPr>
          <w:noProof/>
          <w:lang w:val="en-US"/>
        </w:rPr>
        <w:t>, coming from the algae photosynthetic reaction; then, the O</w:t>
      </w:r>
      <w:r w:rsidR="0027490F" w:rsidRPr="00680ECD">
        <w:rPr>
          <w:noProof/>
          <w:vertAlign w:val="subscript"/>
          <w:lang w:val="en-US"/>
        </w:rPr>
        <w:t>2</w:t>
      </w:r>
      <w:r w:rsidR="0027490F" w:rsidRPr="00680ECD">
        <w:rPr>
          <w:noProof/>
          <w:lang w:val="en-US"/>
        </w:rPr>
        <w:t xml:space="preserve"> would be recovered directly from the reduction of the CO</w:t>
      </w:r>
      <w:r w:rsidR="0027490F" w:rsidRPr="00680ECD">
        <w:rPr>
          <w:noProof/>
          <w:vertAlign w:val="subscript"/>
          <w:lang w:val="en-US"/>
        </w:rPr>
        <w:t>2</w:t>
      </w:r>
      <w:r w:rsidR="0027490F" w:rsidRPr="00680ECD">
        <w:rPr>
          <w:noProof/>
          <w:lang w:val="en-US"/>
        </w:rPr>
        <w:t xml:space="preserve"> into the PBR; in terms of mass balance, the amount of moles of CO</w:t>
      </w:r>
      <w:r w:rsidR="0027490F" w:rsidRPr="00680ECD">
        <w:rPr>
          <w:noProof/>
          <w:vertAlign w:val="subscript"/>
          <w:lang w:val="en-US"/>
        </w:rPr>
        <w:t>2</w:t>
      </w:r>
      <w:r w:rsidR="0027490F" w:rsidRPr="00680ECD">
        <w:rPr>
          <w:noProof/>
          <w:lang w:val="en-US"/>
        </w:rPr>
        <w:t xml:space="preserve"> inlet into the PBR is by far higher than the amount of moles of H</w:t>
      </w:r>
      <w:r w:rsidR="0027490F" w:rsidRPr="00680ECD">
        <w:rPr>
          <w:noProof/>
          <w:vertAlign w:val="subscript"/>
          <w:lang w:val="en-US"/>
        </w:rPr>
        <w:t>2</w:t>
      </w:r>
      <w:r w:rsidR="0027490F" w:rsidRPr="00680ECD">
        <w:rPr>
          <w:noProof/>
          <w:lang w:val="en-US"/>
        </w:rPr>
        <w:t xml:space="preserve"> and CO inlet into the oxy-combustor to be oxidized, then the O</w:t>
      </w:r>
      <w:r w:rsidR="0027490F" w:rsidRPr="00680ECD">
        <w:rPr>
          <w:noProof/>
          <w:vertAlign w:val="subscript"/>
          <w:lang w:val="en-US"/>
        </w:rPr>
        <w:t>2</w:t>
      </w:r>
      <w:r w:rsidR="0027490F" w:rsidRPr="00680ECD">
        <w:rPr>
          <w:noProof/>
          <w:lang w:val="en-US"/>
        </w:rPr>
        <w:t xml:space="preserve"> from PBR is highly in excess compared to the needs of the oxy-combustor; </w:t>
      </w:r>
      <w:r w:rsidR="0027490F" w:rsidRPr="00680ECD">
        <w:rPr>
          <w:noProof/>
          <w:lang w:val="en-US"/>
        </w:rPr>
        <w:lastRenderedPageBreak/>
        <w:t>this O</w:t>
      </w:r>
      <w:r w:rsidR="0027490F" w:rsidRPr="00680ECD">
        <w:rPr>
          <w:noProof/>
          <w:vertAlign w:val="subscript"/>
          <w:lang w:val="en-US"/>
        </w:rPr>
        <w:t>2</w:t>
      </w:r>
      <w:r w:rsidR="0027490F" w:rsidRPr="00680ECD">
        <w:rPr>
          <w:noProof/>
          <w:lang w:val="en-US"/>
        </w:rPr>
        <w:t xml:space="preserve"> would be then available free of charges, and representing another example of strict mass and energy integration inside this poly-generative plant</w:t>
      </w:r>
      <w:r w:rsidR="00121C36" w:rsidRPr="00680ECD">
        <w:rPr>
          <w:noProof/>
          <w:lang w:val="en-US"/>
        </w:rPr>
        <w:t>.</w:t>
      </w:r>
    </w:p>
    <w:p w14:paraId="03C6BBD5" w14:textId="5B86C3B1" w:rsidR="0027490F" w:rsidRDefault="0027490F" w:rsidP="00D51C5A">
      <w:pPr>
        <w:spacing w:after="0"/>
        <w:rPr>
          <w:lang w:val="en-US"/>
        </w:rPr>
      </w:pPr>
      <w:r>
        <w:rPr>
          <w:lang w:val="en-US"/>
        </w:rPr>
        <w:t xml:space="preserve">The second </w:t>
      </w:r>
      <w:r w:rsidR="00121C36">
        <w:rPr>
          <w:lang w:val="en-US"/>
        </w:rPr>
        <w:t xml:space="preserve">conclusion, based on the results, </w:t>
      </w:r>
      <w:r>
        <w:rPr>
          <w:lang w:val="en-US"/>
        </w:rPr>
        <w:t>is that the H</w:t>
      </w:r>
      <w:r w:rsidRPr="00F649B4">
        <w:rPr>
          <w:vertAlign w:val="subscript"/>
          <w:lang w:val="en-US"/>
        </w:rPr>
        <w:t>2</w:t>
      </w:r>
      <w:r>
        <w:rPr>
          <w:lang w:val="en-US"/>
        </w:rPr>
        <w:t>O separation step is not problematic from the technical point of view. The process is very effective in separating the H</w:t>
      </w:r>
      <w:r w:rsidRPr="00F649B4">
        <w:rPr>
          <w:vertAlign w:val="subscript"/>
          <w:lang w:val="en-US"/>
        </w:rPr>
        <w:t>2</w:t>
      </w:r>
      <w:r>
        <w:rPr>
          <w:lang w:val="en-US"/>
        </w:rPr>
        <w:t>O from the CO</w:t>
      </w:r>
      <w:r w:rsidRPr="00F649B4">
        <w:rPr>
          <w:vertAlign w:val="subscript"/>
          <w:lang w:val="en-US"/>
        </w:rPr>
        <w:t>2</w:t>
      </w:r>
      <w:r>
        <w:rPr>
          <w:lang w:val="en-US"/>
        </w:rPr>
        <w:t xml:space="preserve"> in the exhaust stream from the oxy-combustion. Some considerations </w:t>
      </w:r>
      <w:r w:rsidR="00121C36">
        <w:rPr>
          <w:lang w:val="en-US"/>
        </w:rPr>
        <w:t xml:space="preserve">regarding this </w:t>
      </w:r>
      <w:r w:rsidR="00121C36" w:rsidRPr="00680ECD">
        <w:rPr>
          <w:noProof/>
          <w:lang w:val="en-US"/>
        </w:rPr>
        <w:t>point</w:t>
      </w:r>
      <w:r w:rsidR="00121C36">
        <w:rPr>
          <w:lang w:val="en-US"/>
        </w:rPr>
        <w:t xml:space="preserve"> are</w:t>
      </w:r>
      <w:r>
        <w:rPr>
          <w:lang w:val="en-US"/>
        </w:rPr>
        <w:t>:</w:t>
      </w:r>
    </w:p>
    <w:p w14:paraId="074E8932" w14:textId="02D465B6" w:rsidR="0027490F" w:rsidRPr="00D06F9D" w:rsidRDefault="0027490F" w:rsidP="0023201B">
      <w:pPr>
        <w:pStyle w:val="Paragrafoelenco"/>
        <w:numPr>
          <w:ilvl w:val="0"/>
          <w:numId w:val="30"/>
        </w:numPr>
        <w:ind w:left="851"/>
        <w:rPr>
          <w:lang w:val="en-US"/>
        </w:rPr>
      </w:pPr>
      <w:r w:rsidRPr="00680ECD">
        <w:rPr>
          <w:noProof/>
          <w:lang w:val="en-US"/>
        </w:rPr>
        <w:t xml:space="preserve">In order to reduce the </w:t>
      </w:r>
      <w:r w:rsidR="00D06F9D" w:rsidRPr="00680ECD">
        <w:rPr>
          <w:noProof/>
          <w:lang w:val="en-US"/>
        </w:rPr>
        <w:t xml:space="preserve">energy cost related to the compression of the mixture before the membrane separator, a possible solution could be to operate the whole process in pressure; this would generate some higher mechanical requests (and costs) to the structures, but could generate positive effects: (a) the SOFC operating </w:t>
      </w:r>
      <w:r w:rsidR="00680ECD" w:rsidRPr="00680ECD">
        <w:rPr>
          <w:noProof/>
          <w:lang w:val="en-US"/>
        </w:rPr>
        <w:t>under</w:t>
      </w:r>
      <w:r w:rsidR="00D06F9D" w:rsidRPr="00680ECD">
        <w:rPr>
          <w:noProof/>
          <w:lang w:val="en-US"/>
        </w:rPr>
        <w:t xml:space="preserve"> pressure has a higher conversion efficiency </w:t>
      </w:r>
      <w:r w:rsidR="005A1C74">
        <w:rPr>
          <w:noProof/>
          <w:lang w:val="en-US"/>
        </w:rPr>
        <w:fldChar w:fldCharType="begin" w:fldLock="1"/>
      </w:r>
      <w:r w:rsidR="00844B4D">
        <w:rPr>
          <w:noProof/>
          <w:lang w:val="en-US"/>
        </w:rPr>
        <w:instrText>ADDIN CSL_CITATION { "citationItems" : [ { "id" : "ITEM-1", "itemData" : { "ISBN" : "9781856173872\\r1856173879", "abstract" : "The growing interest in fuel cells as a sustainable source of energy is pulling with it the need for new books which provide comprehensive and practical information on specific types of fuel cell and their application. This landmark volume on solid oxide fuel cells contains contributions from experts of international repute, and provides a single source of the latest knowledge on this topic", "author" : [ { "dropping-particle" : "", "family" : "Singhal", "given" : "Subhash C", "non-dropping-particle" : "", "parse-names" : false, "suffix" : "" }, { "dropping-particle" : "", "family" : "Kendall", "given" : "Kevin", "non-dropping-particle" : "", "parse-names" : false, "suffix" : "" } ], "container-title" : "Books on ScienceDirect", "id" : "ITEM-1", "issued" : { "date-parts" : [ [ "2003" ] ] }, "number-of-pages" : "xvi, 405 p.", "title" : "High-temperature solid oxide fuel cells: fundamentals, design, and applicatons", "type" : "book" }, "uris" : [ "http://www.mendeley.com/documents/?uuid=4cef9989-0cbf-4d4e-a97e-a91c8477ed30" ] }, { "id" : "ITEM-2", "itemData" : { "DOI" : "10.1016/j.jpowsour.2015.06.091", "ISSN" : "03787753", "abstract" : "This article investigates the techno-economic performance of large integrated biogas Solid Oxide Fuel Cell (SOFC) power plants. Both atmospheric and pressurized operation is analysed with CO2 vented or captured. The SOFC module produces a constant electrical power of 1\u00a0MWe. Sensitivity analysis and multi-objective optimization are the mathematical tools used to investigate the effects of Fuel Utilization (FU), SOFC operating temperature and pressure on the plant energy and economic performances. FU is the design variable that most affects the plant performance. Pressurized SOFC with hybridization with a gas turbine provides a notable boost in electrical efficiency. For most of the proposed plant configurations, the electrical efficiency ranges in the interval 50\u201362% (LHV biogas) when a trade-off of between energy and economic performances is applied based on Pareto charts obtained from multi-objective plant optimization. The hybrid SOFC is potentially able to reach an efficiency above 70% when FU is 90%. Carbon capture entails a penalty of more 10 percentage points in pressurized configurations mainly due to the extra energy burdens of captured CO2 pressurization and oxygen production and for the separate and different handling of the anode and cathode exhausts and power recovery from them.", "author" : [ { "dropping-particle" : "", "family" : "Curletti", "given" : "F.", "non-dropping-particle" : "", "parse-names" : false, "suffix" : "" }, { "dropping-particle" : "", "family" : "Gandiglio", "given" : "M.", "non-dropping-particle" : "", "parse-names" : false, "suffix" : "" }, { "dropping-particle" : "", "family" : "Lanzini", "given" : "A.", "non-dropping-particle" : "", "parse-names" : false, "suffix" : "" }, { "dropping-particle" : "", "family" : "Santarelli", "given" : "M.", "non-dropping-particle" : "", "parse-names" : false, "suffix" : "" }, { "dropping-particle" : "", "family" : "Mar\u00e9chal", "given" : "F.", "non-dropping-particle" : "", "parse-names" : false, "suffix" : "" } ], "container-title" : "Journal of Power Sources", "id" : "ITEM-2", "issued" : { "date-parts" : [ [ "2015", "10" ] ] }, "page" : "669-690", "title" : "Large size biogas-fed Solid Oxide Fuel Cell power plants with carbon dioxide management : Technical and economic optimization", "type" : "article-journal", "volume" : "294" }, "uris" : [ "http://www.mendeley.com/documents/?uuid=777f9740-53f9-4a70-8347-7443371a0bf7" ] } ], "mendeley" : { "formattedCitation" : "[16,17]", "plainTextFormattedCitation" : "[16,17]", "previouslyFormattedCitation" : "[16,17]" }, "properties" : { "noteIndex" : 0 }, "schema" : "https://github.com/citation-style-language/schema/raw/master/csl-citation.json" }</w:instrText>
      </w:r>
      <w:r w:rsidR="005A1C74">
        <w:rPr>
          <w:noProof/>
          <w:lang w:val="en-US"/>
        </w:rPr>
        <w:fldChar w:fldCharType="separate"/>
      </w:r>
      <w:r w:rsidR="009829B8" w:rsidRPr="009829B8">
        <w:rPr>
          <w:noProof/>
          <w:lang w:val="en-US"/>
        </w:rPr>
        <w:t>[16,17]</w:t>
      </w:r>
      <w:r w:rsidR="005A1C74">
        <w:rPr>
          <w:noProof/>
          <w:lang w:val="en-US"/>
        </w:rPr>
        <w:fldChar w:fldCharType="end"/>
      </w:r>
      <w:r w:rsidR="00D06F9D" w:rsidRPr="00680ECD">
        <w:rPr>
          <w:noProof/>
          <w:lang w:val="en-US"/>
        </w:rPr>
        <w:t>; (b) the oxy-combustion reaction would be more effective; (c) the separation of the H</w:t>
      </w:r>
      <w:r w:rsidR="00D06F9D" w:rsidRPr="00680ECD">
        <w:rPr>
          <w:noProof/>
          <w:vertAlign w:val="subscript"/>
          <w:lang w:val="en-US"/>
        </w:rPr>
        <w:t>2</w:t>
      </w:r>
      <w:r w:rsidR="00D06F9D" w:rsidRPr="00680ECD">
        <w:rPr>
          <w:noProof/>
          <w:lang w:val="en-US"/>
        </w:rPr>
        <w:t>O by condensation would be more effective, as a lore amount of H</w:t>
      </w:r>
      <w:r w:rsidR="00D06F9D" w:rsidRPr="00680ECD">
        <w:rPr>
          <w:noProof/>
          <w:vertAlign w:val="subscript"/>
          <w:lang w:val="en-US"/>
        </w:rPr>
        <w:t>2</w:t>
      </w:r>
      <w:r w:rsidR="00D06F9D" w:rsidRPr="00680ECD">
        <w:rPr>
          <w:noProof/>
          <w:lang w:val="en-US"/>
        </w:rPr>
        <w:t>O is maintained in equilibrium with the gas when the pressure increases; (d) the separation of the residual H</w:t>
      </w:r>
      <w:r w:rsidR="00D06F9D" w:rsidRPr="00680ECD">
        <w:rPr>
          <w:noProof/>
          <w:vertAlign w:val="subscript"/>
          <w:lang w:val="en-US"/>
        </w:rPr>
        <w:t>2</w:t>
      </w:r>
      <w:r w:rsidR="00D06F9D" w:rsidRPr="00680ECD">
        <w:rPr>
          <w:noProof/>
          <w:lang w:val="en-US"/>
        </w:rPr>
        <w:t>O from the CO</w:t>
      </w:r>
      <w:r w:rsidR="00D06F9D" w:rsidRPr="00680ECD">
        <w:rPr>
          <w:noProof/>
          <w:vertAlign w:val="subscript"/>
          <w:lang w:val="en-US"/>
        </w:rPr>
        <w:t>2</w:t>
      </w:r>
      <w:r w:rsidR="00D06F9D" w:rsidRPr="00680ECD">
        <w:rPr>
          <w:noProof/>
          <w:lang w:val="en-US"/>
        </w:rPr>
        <w:t xml:space="preserve"> would not need the necessity of a compressor.</w:t>
      </w:r>
      <w:r w:rsidR="00D06F9D" w:rsidRPr="00D06F9D">
        <w:rPr>
          <w:lang w:val="en-US"/>
        </w:rPr>
        <w:t xml:space="preserve"> Nevertheless, this configuration would have also some drawbacks (</w:t>
      </w:r>
      <w:r w:rsidR="00121C36">
        <w:rPr>
          <w:lang w:val="en-US"/>
        </w:rPr>
        <w:t>due</w:t>
      </w:r>
      <w:r w:rsidR="00121C36" w:rsidRPr="00D06F9D">
        <w:rPr>
          <w:lang w:val="en-US"/>
        </w:rPr>
        <w:t xml:space="preserve"> </w:t>
      </w:r>
      <w:r w:rsidR="00D06F9D" w:rsidRPr="00D06F9D">
        <w:rPr>
          <w:lang w:val="en-US"/>
        </w:rPr>
        <w:t>to the more complicated mechanical behavior): (a) the biogas in origin is usually available at ambient pressure in a gas holder; and so, in absence of a gas already in pressure (standard case), the biogas entering in the plant would have to be compressed (and this would be really a significant energy expenditure); (b) the O</w:t>
      </w:r>
      <w:r w:rsidR="00D06F9D" w:rsidRPr="00A4783E">
        <w:rPr>
          <w:vertAlign w:val="subscript"/>
          <w:lang w:val="en-US"/>
        </w:rPr>
        <w:t>2</w:t>
      </w:r>
      <w:r w:rsidR="00D06F9D" w:rsidRPr="00D06F9D">
        <w:rPr>
          <w:lang w:val="en-US"/>
        </w:rPr>
        <w:t xml:space="preserve"> sent to the oxy-combustor would have to be compressed as well. Then, as a conclusion, it has to be evaluated if the positive effects (e.g. higher efficiency of the SOFC generator) can compensate the </w:t>
      </w:r>
      <w:r w:rsidR="00D06F9D" w:rsidRPr="00680ECD">
        <w:rPr>
          <w:noProof/>
          <w:lang w:val="en-US"/>
        </w:rPr>
        <w:t>negative</w:t>
      </w:r>
      <w:r w:rsidR="00D06F9D" w:rsidRPr="00D06F9D">
        <w:rPr>
          <w:lang w:val="en-US"/>
        </w:rPr>
        <w:t xml:space="preserve"> effects (e.g. the necessity to compress the biogas).</w:t>
      </w:r>
    </w:p>
    <w:p w14:paraId="4608ECBA" w14:textId="2415C8CE" w:rsidR="00D06F9D" w:rsidRDefault="00980478" w:rsidP="00D51C5A">
      <w:pPr>
        <w:spacing w:after="0"/>
        <w:rPr>
          <w:lang w:val="en-US"/>
        </w:rPr>
      </w:pPr>
      <w:r>
        <w:rPr>
          <w:lang w:val="en-US"/>
        </w:rPr>
        <w:t xml:space="preserve">The third </w:t>
      </w:r>
      <w:r w:rsidR="00121C36">
        <w:rPr>
          <w:lang w:val="en-US"/>
        </w:rPr>
        <w:t xml:space="preserve">set of conclusions </w:t>
      </w:r>
      <w:r>
        <w:rPr>
          <w:lang w:val="en-US"/>
        </w:rPr>
        <w:t xml:space="preserve">comes from the </w:t>
      </w:r>
      <w:r w:rsidR="00121C36">
        <w:rPr>
          <w:lang w:val="en-US"/>
        </w:rPr>
        <w:t>PBR</w:t>
      </w:r>
      <w:r w:rsidR="007D6F27">
        <w:rPr>
          <w:lang w:val="en-US"/>
        </w:rPr>
        <w:t>, which</w:t>
      </w:r>
      <w:r>
        <w:rPr>
          <w:lang w:val="en-US"/>
        </w:rPr>
        <w:t xml:space="preserve"> has revealed as the most problematic component of the chain: the main considerations are:</w:t>
      </w:r>
    </w:p>
    <w:p w14:paraId="4A29DC32" w14:textId="4B9C6E6D" w:rsidR="002631BC" w:rsidRDefault="005F7416" w:rsidP="0023201B">
      <w:pPr>
        <w:pStyle w:val="Paragrafoelenco"/>
        <w:numPr>
          <w:ilvl w:val="0"/>
          <w:numId w:val="30"/>
        </w:numPr>
        <w:ind w:left="851"/>
        <w:rPr>
          <w:lang w:val="en-US"/>
        </w:rPr>
      </w:pPr>
      <w:r>
        <w:rPr>
          <w:lang w:val="en-US"/>
        </w:rPr>
        <w:t>t</w:t>
      </w:r>
      <w:r w:rsidR="00980478" w:rsidRPr="009D456D">
        <w:rPr>
          <w:lang w:val="en-US"/>
        </w:rPr>
        <w:t xml:space="preserve">he productivity of the PBR in terms of micro-algae is not optimized; the amount of specific productivity is in the order of </w:t>
      </w:r>
      <w:r w:rsidR="002631BC">
        <w:rPr>
          <w:lang w:val="en-US"/>
        </w:rPr>
        <w:t>6 g/m</w:t>
      </w:r>
      <w:r w:rsidR="002631BC" w:rsidRPr="00A4783E">
        <w:rPr>
          <w:vertAlign w:val="superscript"/>
          <w:lang w:val="en-US"/>
        </w:rPr>
        <w:t>2</w:t>
      </w:r>
      <w:r w:rsidR="002631BC">
        <w:rPr>
          <w:lang w:val="en-US"/>
        </w:rPr>
        <w:t>/day in terms of maximum cumulated value and 18.8 g/m</w:t>
      </w:r>
      <w:r w:rsidR="002631BC" w:rsidRPr="00A4783E">
        <w:rPr>
          <w:vertAlign w:val="superscript"/>
          <w:lang w:val="en-US"/>
        </w:rPr>
        <w:t>2</w:t>
      </w:r>
      <w:r w:rsidR="002631BC">
        <w:rPr>
          <w:lang w:val="en-US"/>
        </w:rPr>
        <w:t>/day in terms of weekly-average value. From literature, ranges from 20 to 40 g/m</w:t>
      </w:r>
      <w:r w:rsidR="002631BC" w:rsidRPr="00A4783E">
        <w:rPr>
          <w:vertAlign w:val="superscript"/>
          <w:lang w:val="en-US"/>
        </w:rPr>
        <w:t>2</w:t>
      </w:r>
      <w:r w:rsidR="002631BC">
        <w:rPr>
          <w:lang w:val="en-US"/>
        </w:rPr>
        <w:t>/day are found for similar PBR</w:t>
      </w:r>
      <w:r w:rsidR="005A1C74">
        <w:rPr>
          <w:lang w:val="en-US"/>
        </w:rPr>
        <w:t xml:space="preserve"> </w:t>
      </w:r>
      <w:r w:rsidR="005A1C74">
        <w:rPr>
          <w:lang w:val="en-US"/>
        </w:rPr>
        <w:fldChar w:fldCharType="begin" w:fldLock="1"/>
      </w:r>
      <w:r w:rsidR="00844B4D">
        <w:rPr>
          <w:lang w:val="en-US"/>
        </w:rPr>
        <w:instrText>ADDIN CSL_CITATION { "citationItems" : [ { "id" : "ITEM-1", "itemData" : { "DOI" : "10.1016/j.biombioe.2012.12.019", "ISSN" : "0961-9534", "author" : [ { "dropping-particle" : "", "family" : "Slade", "given" : "Raphael", "non-dropping-particle" : "", "parse-names" : false, "suffix" : "" }, { "dropping-particle" : "", "family" : "Bauen", "given" : "Ausilio", "non-dropping-particle" : "", "parse-names" : false, "suffix" : "" } ], "container-title" : "Biomass and Bioenergy", "id" : "ITEM-1", "issue" : "0", "issued" : { "date-parts" : [ [ "2013" ] ] }, "page" : "29-38", "publisher" : "Elsevier Ltd", "title" : "Micro-algae cultivation for biofuels : Cost , energy balance , environmental impacts and future prospects", "type" : "article-journal", "volume" : "53" }, "uris" : [ "http://www.mendeley.com/documents/?uuid=45501ae7-acad-4bc9-be55-ba22004e5046" ] } ], "mendeley" : { "formattedCitation" : "[18]", "plainTextFormattedCitation" : "[18]", "previouslyFormattedCitation" : "[18]" }, "properties" : { "noteIndex" : 0 }, "schema" : "https://github.com/citation-style-language/schema/raw/master/csl-citation.json" }</w:instrText>
      </w:r>
      <w:r w:rsidR="005A1C74">
        <w:rPr>
          <w:lang w:val="en-US"/>
        </w:rPr>
        <w:fldChar w:fldCharType="separate"/>
      </w:r>
      <w:r w:rsidR="009829B8" w:rsidRPr="009829B8">
        <w:rPr>
          <w:noProof/>
          <w:lang w:val="en-US"/>
        </w:rPr>
        <w:t>[18]</w:t>
      </w:r>
      <w:r w:rsidR="005A1C74">
        <w:rPr>
          <w:lang w:val="en-US"/>
        </w:rPr>
        <w:fldChar w:fldCharType="end"/>
      </w:r>
      <w:r w:rsidR="002631BC">
        <w:rPr>
          <w:lang w:val="en-US"/>
        </w:rPr>
        <w:t>, even if peaks up to two orders of magnitude more (more than 3 g/L/day against 0.03 g/L/day in the presented work) have also been reached with PBR in specific operating conditions</w:t>
      </w:r>
      <w:r w:rsidR="005A1C74">
        <w:rPr>
          <w:lang w:val="en-US"/>
        </w:rPr>
        <w:t xml:space="preserve"> </w:t>
      </w:r>
      <w:r w:rsidR="005A1C74">
        <w:rPr>
          <w:lang w:val="en-US"/>
        </w:rPr>
        <w:fldChar w:fldCharType="begin" w:fldLock="1"/>
      </w:r>
      <w:r w:rsidR="00844B4D">
        <w:rPr>
          <w:lang w:val="en-US"/>
        </w:rPr>
        <w:instrText>ADDIN CSL_CITATION { "citationItems" : [ { "id" : "ITEM-1", "itemData" : { "DOI" : "10.1016/j.biortech.2010.06.159", "abstract" : "a b s t r a c t Microalgae have the ability to mitigate CO 2 emission and produce oil with a high productivity, thereby having the potential for applications in producing the third-generation of biofuels. The key technologies for producing microalgal biofuels include identification of preferable culture conditions for high oil pro-ductivity, development of effective and economical microalgae cultivation systems, as well as separation and harvesting of microalgal biomass and oil. This review presents recent advances in microalgal culti-vation, photobioreactor design, and harvesting technologies with a focus on microalgal oil (mainly triglycerides) production. The effects of different microalgal metabolisms (i.e., phototrophic, heterotro-phic, mixotrophic, and photoheterotrophic growth), cultivation systems (emphasizing the effect of light sources), and biomass harvesting methods (chemical/physical methods) on microalgal biomass and oil production are compared and critically discussed. This review aims to provide useful information to help future development of efficient and commercially viable technology for microalgae-based biodiesel production.", "author" : [ { "dropping-particle" : "", "family" : "Chen", "given" : "Chun-Yen", "non-dropping-particle" : "", "parse-names" : false, "suffix" : "" }, { "dropping-particle" : "", "family" : "Yeh", "given" : "Kuei-Ling", "non-dropping-particle" : "", "parse-names" : false, "suffix" : "" }, { "dropping-particle" : "", "family" : "Aisyah", "given" : "Rifka", "non-dropping-particle" : "", "parse-names" : false, "suffix" : "" }, { "dropping-particle" : "", "family" : "Lee", "given" : "Duu-Jong", "non-dropping-particle" : "", "parse-names" : false, "suffix" : "" }, { "dropping-particle" : "", "family" : "Chang", "given" : "Jo-Shu", "non-dropping-particle" : "", "parse-names" : false, "suffix" : "" } ], "container-title" : "Bioresource Technology", "id" : "ITEM-1", "issued" : { "date-parts" : [ [ "2011" ] ] }, "page" : "71-81", "title" : "Cultivation, photobioreactor design and harvesting of microalgae for biodiesel production: A critical review", "type" : "article-journal", "volume" : "102" }, "uris" : [ "http://www.mendeley.com/documents/?uuid=a84814bf-33a3-3d3e-ae98-95bff327bbf2" ] } ], "mendeley" : { "formattedCitation" : "[19]", "plainTextFormattedCitation" : "[19]", "previouslyFormattedCitation" : "[19]" }, "properties" : { "noteIndex" : 0 }, "schema" : "https://github.com/citation-style-language/schema/raw/master/csl-citation.json" }</w:instrText>
      </w:r>
      <w:r w:rsidR="005A1C74">
        <w:rPr>
          <w:lang w:val="en-US"/>
        </w:rPr>
        <w:fldChar w:fldCharType="separate"/>
      </w:r>
      <w:r w:rsidR="009829B8" w:rsidRPr="009829B8">
        <w:rPr>
          <w:noProof/>
          <w:lang w:val="en-US"/>
        </w:rPr>
        <w:t>[19]</w:t>
      </w:r>
      <w:r w:rsidR="005A1C74">
        <w:rPr>
          <w:lang w:val="en-US"/>
        </w:rPr>
        <w:fldChar w:fldCharType="end"/>
      </w:r>
      <w:r w:rsidR="002631BC">
        <w:rPr>
          <w:lang w:val="en-US"/>
        </w:rPr>
        <w:t>. The present test was conducted in an outdoor real environment, with variable nutrients concentrations depending on the inlet waste water, variable irradiation and no initial inoculum for defining a specific algae specie.</w:t>
      </w:r>
    </w:p>
    <w:p w14:paraId="51ACD711" w14:textId="1F2571E8" w:rsidR="002631BC" w:rsidRDefault="005F7416" w:rsidP="0023201B">
      <w:pPr>
        <w:pStyle w:val="Paragrafoelenco"/>
        <w:numPr>
          <w:ilvl w:val="0"/>
          <w:numId w:val="30"/>
        </w:numPr>
        <w:ind w:left="851"/>
        <w:rPr>
          <w:lang w:val="en-US"/>
        </w:rPr>
      </w:pPr>
      <w:r>
        <w:rPr>
          <w:lang w:val="en-US"/>
        </w:rPr>
        <w:t>t</w:t>
      </w:r>
      <w:r w:rsidR="002631BC" w:rsidRPr="009D456D">
        <w:rPr>
          <w:lang w:val="en-US"/>
        </w:rPr>
        <w:t>he energy consumption</w:t>
      </w:r>
      <w:r w:rsidR="002631BC">
        <w:rPr>
          <w:lang w:val="en-US"/>
        </w:rPr>
        <w:t>s</w:t>
      </w:r>
      <w:r w:rsidR="002631BC" w:rsidRPr="009D456D">
        <w:rPr>
          <w:lang w:val="en-US"/>
        </w:rPr>
        <w:t xml:space="preserve"> of the PBR are not negligible: the solutions based on loop recirculation of the water, in order to </w:t>
      </w:r>
      <w:r w:rsidR="002631BC">
        <w:rPr>
          <w:lang w:val="en-US"/>
        </w:rPr>
        <w:t xml:space="preserve">avoid algae attachment to the pipes and to </w:t>
      </w:r>
      <w:r w:rsidR="002631BC" w:rsidRPr="00845D3C">
        <w:rPr>
          <w:lang w:val="en-US"/>
        </w:rPr>
        <w:t xml:space="preserve">maximize the effectiveness of the photosynthetic reaction </w:t>
      </w:r>
      <w:r w:rsidR="002631BC" w:rsidRPr="009D456D">
        <w:rPr>
          <w:lang w:val="en-US"/>
        </w:rPr>
        <w:t xml:space="preserve">is significant in terms of energy consumption; the amount of energy </w:t>
      </w:r>
      <w:r w:rsidR="002631BC" w:rsidRPr="009550ED">
        <w:rPr>
          <w:lang w:val="en-US"/>
        </w:rPr>
        <w:t xml:space="preserve">consumed for gram of micro-algae is </w:t>
      </w:r>
      <w:r w:rsidR="003A75AF" w:rsidRPr="009550ED">
        <w:rPr>
          <w:lang w:val="en-US"/>
        </w:rPr>
        <w:t>around 9 W/m</w:t>
      </w:r>
      <w:r w:rsidR="003A75AF" w:rsidRPr="00A4783E">
        <w:rPr>
          <w:vertAlign w:val="superscript"/>
          <w:lang w:val="en-US"/>
        </w:rPr>
        <w:t>2</w:t>
      </w:r>
      <w:r w:rsidR="002631BC" w:rsidRPr="009550ED">
        <w:rPr>
          <w:lang w:val="en-US"/>
        </w:rPr>
        <w:t>, in the current PBR layout, high i</w:t>
      </w:r>
      <w:r w:rsidR="003A75AF" w:rsidRPr="009550ED">
        <w:rPr>
          <w:lang w:val="en-US"/>
        </w:rPr>
        <w:t>f</w:t>
      </w:r>
      <w:r w:rsidR="002631BC" w:rsidRPr="009550ED">
        <w:rPr>
          <w:lang w:val="en-US"/>
        </w:rPr>
        <w:t xml:space="preserve"> compared to </w:t>
      </w:r>
      <w:r w:rsidR="002631BC">
        <w:rPr>
          <w:lang w:val="en-US"/>
        </w:rPr>
        <w:t xml:space="preserve">the energy contained in the algae. The use of a high flow rate recirculation, operating 24 hours per day, is a key issue to be optimized in future plants </w:t>
      </w:r>
      <w:r w:rsidR="005A1C74">
        <w:rPr>
          <w:lang w:val="en-US"/>
        </w:rPr>
        <w:fldChar w:fldCharType="begin" w:fldLock="1"/>
      </w:r>
      <w:r w:rsidR="00844B4D">
        <w:rPr>
          <w:lang w:val="en-US"/>
        </w:rPr>
        <w:instrText>ADDIN CSL_CITATION { "citationItems" : [ { "id" : "ITEM-1", "itemData" : { "DOI" : "10.1016/j.biombioe.2012.12.019", "ISSN" : "0961-9534", "author" : [ { "dropping-particle" : "", "family" : "Slade", "given" : "Raphael", "non-dropping-particle" : "", "parse-names" : false, "suffix" : "" }, { "dropping-particle" : "", "family" : "Bauen", "given" : "Ausilio", "non-dropping-particle" : "", "parse-names" : false, "suffix" : "" } ], "container-title" : "Biomass and Bioenergy", "id" : "ITEM-1", "issue" : "0", "issued" : { "date-parts" : [ [ "2013" ] ] }, "page" : "29-38", "publisher" : "Elsevier Ltd", "title" : "Micro-algae cultivation for biofuels : Cost , energy balance , environmental impacts and future prospects", "type" : "article-journal", "volume" : "53" }, "uris" : [ "http://www.mendeley.com/documents/?uuid=45501ae7-acad-4bc9-be55-ba22004e5046" ] }, { "id" : "ITEM-2", "itemData" : { "DOI" : "10.1016/j.apenergy.2015.01.086", "abstract" : "Tetraselmis suecica production in a 1-ha GWP plant in Tuscany (Italy) has a NER &lt; 1. Major energy costs are embodied energy of GWP and mixing. In a suitable location (North Africa) the NER increases by 40%. Integration of photovoltaic in the GWP allows to achieve a NER of 1.7. T. suecica cultivated in a GWP plant can yield up to 30 t of protein ha \u00c01 year \u00c01 . a b s t r a c t The annual productivity of Tetraselmis suecica in a 1-ha Green Wall Panel-II (GWP-II) plant in Tuscany (Italy) is 36 t (dry weight) ha \u00c01 year \u00c01 , which corresponds to an energy output of 799 GJ ha \u00c01 year \u00c01 . The energy inputs necessary to attain that productivity amount to 1362 GJ ha \u00c01 year \u00c01 , mainly given by the embodied energy of the reactor (about 30%), mixing (about 40%), fertilizers (11%) and harvesting (10%). The Net Energy Ratio (NER) of T. suecica production is thus 0.6. In a more suitable location (North Africa) productivity nearly doubles, reaching 66 t ha \u00c01 year \u00c01 , but the NER increases only by 40% and the gain (difference between output and inputs) remains negative. In a GWP-II integrated with photovoltaics (PV), the NER becomes 1.7 and the gain surpasses 600 GJ ha \u00c01 year \u00c01 . Marine microalgae cultivation in a GWP plant, in a suitable location, can attain high biomass productivities and protein yields 30 times higher than those achievable with traditional crops (soya). When the GWP reactor is integrated with PV, the process attains a positive energy balance, which substantially enhances its sustainability.", "author" : [ { "dropping-particle" : "", "family" : "Tredici", "given" : "M R", "non-dropping-particle" : "", "parse-names" : false, "suffix" : "" }, { "dropping-particle" : "", "family" : "Bassi", "given" : "N", "non-dropping-particle" : "", "parse-names" : false, "suffix" : "" }, { "dropping-particle" : "", "family" : "Prussi", "given" : "M", "non-dropping-particle" : "", "parse-names" : false, "suffix" : "" }, { "dropping-particle" : "", "family" : "Biondi", "given" : "N", "non-dropping-particle" : "", "parse-names" : false, "suffix" : "" }, { "dropping-particle" : "", "family" : "Rodolfi", "given" : "L", "non-dropping-particle" : "", "parse-names" : false, "suffix" : "" }, { "dropping-particle" : "", "family" : "Zittelli", "given" : "G Chini", "non-dropping-particle" : "", "parse-names" : false, "suffix" : "" }, { "dropping-particle" : "", "family" : "Sampietro", "given" : "G", "non-dropping-particle" : "", "parse-names" : false, "suffix" : "" } ], "container-title" : "Applied Energy", "id" : "ITEM-2", "issued" : { "date-parts" : [ [ "2015" ] ] }, "page" : "1103-1111", "title" : "Energy balance of algal biomass production in a 1-ha Green Wall Panel plant: How to produce algal biomass in a closed reactor achieving a high Net Energy Ratio", "type" : "article-journal", "volume" : "154" }, "uris" : [ "http://www.mendeley.com/documents/?uuid=2c1f6e21-6167-34a9-a5ac-a2933086ca4e" ] }, { "id" : "ITEM-3", "itemData" : { "abstract" : "Reducing mixing in both flat panel and tubu-lar photobioreactors can result in a positive net energy balance with state-of-the-art tech-nology and Dutch weather conditions. In the tubular photobioreactor, the net energy bal-ance becomes positive at velocities &lt; 0.3 ms -1 , at which point the biomass production cost is 3.2 \u20ac/kg dry weight. In flat panel reactors, this point is at an air supply rate &lt; 0.25 vol vol -1 min -1 , at which the biomass production cost is 2.39 \u20ac/kg dry weight. To achieve these val-ues in flat panel reactors, cheap low pressure blowers must be used, which limits the panel height to a maximum of 0.5 m, and in tubu-lar reactors the tubes must be hydraulically smooth. For tubular reactors, it is important to prevent the formation of wall growth in order to keep the tubes hydraulically smooth. This paper shows how current production costs and energy requirement could be decreased.", "author" : [ { "dropping-particle" : "", "family" : "Norsker", "given" : "Niels-Henrik", "non-dropping-particle" : "", "parse-names" : false, "suffix" : "" }, { "dropping-particle" : "", "family" : "Barbosa", "given" : "Maria J", "non-dropping-particle" : "", "parse-names" : false, "suffix" : "" }, { "dropping-particle" : "", "family" : "Vermu\u00eb", "given" : "Marian H", "non-dropping-particle" : "", "parse-names" : false, "suffix" : "" }, { "dropping-particle" : "", "family" : "Wijffels", "given" : "Ren\u00e9 H", "non-dropping-particle" : "", "parse-names" : false, "suffix" : "" } ], "container-title" : "SCHWERPUNKT", "id" : "ITEM-3", "issued" : { "date-parts" : [ [ "2012" ] ] }, "title" : "On Energy Balance and Production Costs in Tubular and Flat Panel Photobioreactors", "type" : "article-journal", "volume" : "1" }, "uris" : [ "http://www.mendeley.com/documents/?uuid=af654023-33b1-3bc4-9fc3-b35b3c18e220" ] }, { "id" : "ITEM-4", "itemData" : { "DOI" : "10.1016/j.biombioe.2012.01.026", "abstract" : "a b s t r a c t A life cycle assessment (LCA) and an energy balance analysis of marine microalgal biomass production were conducted to determine the environmental impacts and the critical points of production for large scale planning. The artificial lighting and temperature conditions of an indoor bubble column photobioreactor (bcPBR) were compared to the natural conditions of an equivalent outdoor system. Marine microalgae, belonging to the dinoflagellate and raphidophyte groups, were cultured and the results were compared with published LCA data obtained from green microalgae (commonly freshwater algae). Among the species tested, Alexandrium minutum was chosen as the target marine microalgae for biomass production under outdoor conditions, although there were no substantial differences between any of the marine microalgae studied. Under indoor culture conditions, the total energy input for A. minutum was 923 MJ kg \u00c01 vs. 139 MJ kg \u00c01 for outdoor conditions. Therefore, a greater than 85% reduction in energy requirements was achieved using natural environmental conditions, demonstrating the feasibility of outdoor culture as an alternative method of bioenergy production from marine microalgae. The growth stage was identified as the principal source of energy consumption for all microalgae tested, due to the electricity requirements of the equipment, followed by the construction material of the bcPBR. The global warming category (GWP) was 6 times lower in outdoor than in indoor conditions. Although the energy balance was negative under both conditions, this study concludes with suggestions for improvements in the outdoor system that would allow up-scaling of this biomass production technology for outdoor conditions in the Mediterranean.", "author" : [ { "dropping-particle" : "", "family" : "Sevign\u00e9 Itoiz", "given" : "E", "non-dropping-particle" : "", "parse-names" : false, "suffix" : "" }, { "dropping-particle" : "", "family" : "Fuentes-Gr\u00fc Newald", "given" : "C", "non-dropping-particle" : "", "parse-names" : false, "suffix" : "" }, { "dropping-particle" : "", "family" : "Gasol", "given" : "C M", "non-dropping-particle" : "", "parse-names" : false, "suffix" : "" }, { "dropping-particle" : "", "family" : "Garc\u00e9s", "given" : "E", "non-dropping-particle" : "", "parse-names" : false, "suffix" : "" }, { "dropping-particle" : "", "family" : "Alacid", "given" : "E", "non-dropping-particle" : "", "parse-names" : false, "suffix" : "" }, { "dropping-particle" : "", "family" : "Rossi", "given" : "S", "non-dropping-particle" : "", "parse-names" : false, "suffix" : "" }, { "dropping-particle" : "", "family" : "Rieradevall", "given" : "J", "non-dropping-particle" : "", "parse-names" : false, "suffix" : "" } ], "container-title" : "Biomass and Bioenergy", "id" : "ITEM-4", "issued" : { "date-parts" : [ [ "2012" ] ] }, "page" : "324-335", "title" : "Energy balance and environmental impact analysis of marine microalgal biomass production for biodiesel generation in a photobioreactor pilot plant", "type" : "article-journal", "volume" : "39" }, "uris" : [ "http://www.mendeley.com/documents/?uuid=f5db2e70-ab8c-3e5e-b5a5-bef23ea65cb5" ] } ], "mendeley" : { "formattedCitation" : "[18,20\u201322]", "plainTextFormattedCitation" : "[18,20\u201322]", "previouslyFormattedCitation" : "[18,20\u201322]" }, "properties" : { "noteIndex" : 0 }, "schema" : "https://github.com/citation-style-language/schema/raw/master/csl-citation.json" }</w:instrText>
      </w:r>
      <w:r w:rsidR="005A1C74">
        <w:rPr>
          <w:lang w:val="en-US"/>
        </w:rPr>
        <w:fldChar w:fldCharType="separate"/>
      </w:r>
      <w:r w:rsidR="009829B8" w:rsidRPr="009829B8">
        <w:rPr>
          <w:noProof/>
          <w:lang w:val="en-US"/>
        </w:rPr>
        <w:t>[18,20–22]</w:t>
      </w:r>
      <w:r w:rsidR="005A1C74">
        <w:rPr>
          <w:lang w:val="en-US"/>
        </w:rPr>
        <w:fldChar w:fldCharType="end"/>
      </w:r>
      <w:r w:rsidR="002631BC">
        <w:rPr>
          <w:lang w:val="en-US"/>
        </w:rPr>
        <w:t xml:space="preserve">, where a less energy intensive way to avoid algae attachments to pipes should be found. Furthermore, an increase in the </w:t>
      </w:r>
      <w:r w:rsidR="002631BC">
        <w:rPr>
          <w:lang w:val="en-US"/>
        </w:rPr>
        <w:lastRenderedPageBreak/>
        <w:t>productivity value (W/m</w:t>
      </w:r>
      <w:r w:rsidR="002631BC" w:rsidRPr="00A4783E">
        <w:rPr>
          <w:vertAlign w:val="superscript"/>
          <w:lang w:val="en-US"/>
        </w:rPr>
        <w:t>2</w:t>
      </w:r>
      <w:r w:rsidR="002631BC">
        <w:rPr>
          <w:lang w:val="en-US"/>
        </w:rPr>
        <w:t xml:space="preserve">) is the second way to reduce the unbalance between energy production and consumption.   </w:t>
      </w:r>
    </w:p>
    <w:p w14:paraId="0259CDAD" w14:textId="6481F61D" w:rsidR="00980478" w:rsidRDefault="005F7416" w:rsidP="0023201B">
      <w:pPr>
        <w:pStyle w:val="Paragrafoelenco"/>
        <w:numPr>
          <w:ilvl w:val="0"/>
          <w:numId w:val="30"/>
        </w:numPr>
        <w:ind w:left="851"/>
        <w:rPr>
          <w:lang w:val="en-US"/>
        </w:rPr>
      </w:pPr>
      <w:r>
        <w:rPr>
          <w:lang w:val="en-US"/>
        </w:rPr>
        <w:t>o</w:t>
      </w:r>
      <w:r w:rsidR="00980478" w:rsidRPr="009D456D">
        <w:rPr>
          <w:lang w:val="en-US"/>
        </w:rPr>
        <w:t xml:space="preserve">ne of the reasons of the low productivity is due to the fact that the micro-algae tend to </w:t>
      </w:r>
      <w:r w:rsidR="004137AB" w:rsidRPr="009D456D">
        <w:rPr>
          <w:lang w:val="en-US"/>
        </w:rPr>
        <w:t>adhere</w:t>
      </w:r>
      <w:r w:rsidR="00980478" w:rsidRPr="009D456D">
        <w:rPr>
          <w:lang w:val="en-US"/>
        </w:rPr>
        <w:t xml:space="preserve"> to the surface of the tubes, forming a screen to the transmission of the solar irradiance and so reducing the specific productivity of the PBR; this adhesion can be reduced in different ways</w:t>
      </w:r>
      <w:r w:rsidR="009D456D" w:rsidRPr="009D456D">
        <w:rPr>
          <w:lang w:val="en-US"/>
        </w:rPr>
        <w:t xml:space="preserve">: </w:t>
      </w:r>
      <w:r w:rsidR="00980478" w:rsidRPr="009D456D">
        <w:rPr>
          <w:lang w:val="en-US"/>
        </w:rPr>
        <w:t>(</w:t>
      </w:r>
      <w:r w:rsidR="009D456D" w:rsidRPr="009D456D">
        <w:rPr>
          <w:lang w:val="en-US"/>
        </w:rPr>
        <w:t xml:space="preserve">a) </w:t>
      </w:r>
      <w:r w:rsidR="00980478" w:rsidRPr="009D456D">
        <w:rPr>
          <w:lang w:val="en-US"/>
        </w:rPr>
        <w:t>higher turbulent flow inside the tubes</w:t>
      </w:r>
      <w:r w:rsidR="009D456D" w:rsidRPr="009D456D">
        <w:rPr>
          <w:lang w:val="en-US"/>
        </w:rPr>
        <w:t>,</w:t>
      </w:r>
      <w:r w:rsidR="00980478" w:rsidRPr="009D456D">
        <w:rPr>
          <w:lang w:val="en-US"/>
        </w:rPr>
        <w:t xml:space="preserve"> which means a further increase of the energy consumption for the water recirculation</w:t>
      </w:r>
      <w:r w:rsidR="009D456D" w:rsidRPr="009D456D">
        <w:rPr>
          <w:lang w:val="en-US"/>
        </w:rPr>
        <w:t>;</w:t>
      </w:r>
      <w:r w:rsidR="00980478" w:rsidRPr="009D456D">
        <w:rPr>
          <w:lang w:val="en-US"/>
        </w:rPr>
        <w:t xml:space="preserve"> </w:t>
      </w:r>
      <w:r w:rsidR="009D456D" w:rsidRPr="009D456D">
        <w:rPr>
          <w:lang w:val="en-US"/>
        </w:rPr>
        <w:t xml:space="preserve">(b) </w:t>
      </w:r>
      <w:r w:rsidR="00980478" w:rsidRPr="009D456D">
        <w:rPr>
          <w:lang w:val="en-US"/>
        </w:rPr>
        <w:t xml:space="preserve">deposition of coating materials in the inner surface of the tubes to reduce the adhesion; </w:t>
      </w:r>
      <w:r w:rsidR="009D456D" w:rsidRPr="009D456D">
        <w:rPr>
          <w:lang w:val="en-US"/>
        </w:rPr>
        <w:t xml:space="preserve">(c) </w:t>
      </w:r>
      <w:r w:rsidR="00980478" w:rsidRPr="009D456D">
        <w:rPr>
          <w:lang w:val="en-US"/>
        </w:rPr>
        <w:t>adoption of a screen outside the PBR</w:t>
      </w:r>
      <w:r w:rsidR="009D456D" w:rsidRPr="009D456D">
        <w:rPr>
          <w:lang w:val="en-US"/>
        </w:rPr>
        <w:t>,</w:t>
      </w:r>
      <w:r w:rsidR="00980478" w:rsidRPr="009D456D">
        <w:rPr>
          <w:lang w:val="en-US"/>
        </w:rPr>
        <w:t xml:space="preserve"> but in that way reducing also the specific </w:t>
      </w:r>
      <w:r w:rsidR="009D456D" w:rsidRPr="009D456D">
        <w:rPr>
          <w:lang w:val="en-US"/>
        </w:rPr>
        <w:t>productivity of the micro-algae. This aspect has to be further analyzed and optimized</w:t>
      </w:r>
      <w:r w:rsidR="004137AB">
        <w:rPr>
          <w:lang w:val="en-US"/>
        </w:rPr>
        <w:t>.</w:t>
      </w:r>
    </w:p>
    <w:p w14:paraId="5F7F2B45" w14:textId="0CAC2C60" w:rsidR="009D456D" w:rsidRDefault="005F7416" w:rsidP="0023201B">
      <w:pPr>
        <w:pStyle w:val="Paragrafoelenco"/>
        <w:numPr>
          <w:ilvl w:val="0"/>
          <w:numId w:val="30"/>
        </w:numPr>
        <w:ind w:left="851"/>
        <w:rPr>
          <w:lang w:val="en-US"/>
        </w:rPr>
      </w:pPr>
      <w:r>
        <w:rPr>
          <w:lang w:val="en-US"/>
        </w:rPr>
        <w:t>a</w:t>
      </w:r>
      <w:r w:rsidR="009D456D">
        <w:rPr>
          <w:lang w:val="en-US"/>
        </w:rPr>
        <w:t xml:space="preserve">s it is well know from literature, </w:t>
      </w:r>
      <w:r w:rsidR="004137AB">
        <w:rPr>
          <w:lang w:val="en-US"/>
        </w:rPr>
        <w:t xml:space="preserve">and from the results obtained in this project, </w:t>
      </w:r>
      <w:r w:rsidR="009D456D">
        <w:rPr>
          <w:lang w:val="en-US"/>
        </w:rPr>
        <w:t>the concentration of CO</w:t>
      </w:r>
      <w:r w:rsidR="009D456D" w:rsidRPr="00A4783E">
        <w:rPr>
          <w:vertAlign w:val="subscript"/>
          <w:lang w:val="en-US"/>
        </w:rPr>
        <w:t>2</w:t>
      </w:r>
      <w:r w:rsidR="009D456D">
        <w:rPr>
          <w:lang w:val="en-US"/>
        </w:rPr>
        <w:t xml:space="preserve"> in the water </w:t>
      </w:r>
      <w:r w:rsidR="004137AB">
        <w:rPr>
          <w:lang w:val="en-US"/>
        </w:rPr>
        <w:t xml:space="preserve">needs to be controlled </w:t>
      </w:r>
      <w:r w:rsidR="009D456D">
        <w:rPr>
          <w:lang w:val="en-US"/>
        </w:rPr>
        <w:t>in order to avoid a too high reduction of the local pH, because an acidic water is detrimental for the grow up of most of the typologies of algae; in this sense: (a) the research has to be improved in the selection of algae cultures able to grow up fast also in acid water; (b) from the engineering point of view, the solution (also applied in our proof-of-concept) could be to control the mass flow of CO</w:t>
      </w:r>
      <w:r w:rsidR="009D456D" w:rsidRPr="00A4783E">
        <w:rPr>
          <w:vertAlign w:val="subscript"/>
          <w:lang w:val="en-US"/>
        </w:rPr>
        <w:t>2</w:t>
      </w:r>
      <w:r w:rsidR="009D456D">
        <w:rPr>
          <w:lang w:val="en-US"/>
        </w:rPr>
        <w:t xml:space="preserve"> injected inside the water flow, in order to control the pH; so, there is the necessity of accumulating the CO</w:t>
      </w:r>
      <w:r w:rsidR="009D456D" w:rsidRPr="00A4783E">
        <w:rPr>
          <w:vertAlign w:val="subscript"/>
          <w:lang w:val="en-US"/>
        </w:rPr>
        <w:t>2</w:t>
      </w:r>
      <w:r w:rsidR="009D456D">
        <w:rPr>
          <w:lang w:val="en-US"/>
        </w:rPr>
        <w:t xml:space="preserve"> mass flow coming from the upstream SOFC plant in a buffer volume, in order to control its injection in the PBR</w:t>
      </w:r>
    </w:p>
    <w:p w14:paraId="44F03196" w14:textId="51062DF3" w:rsidR="009D456D" w:rsidRPr="009D456D" w:rsidRDefault="00CE41C2" w:rsidP="0023201B">
      <w:pPr>
        <w:pStyle w:val="Paragrafoelenco"/>
        <w:numPr>
          <w:ilvl w:val="0"/>
          <w:numId w:val="30"/>
        </w:numPr>
        <w:ind w:left="851"/>
        <w:rPr>
          <w:lang w:val="en-US"/>
        </w:rPr>
      </w:pPr>
      <w:r>
        <w:rPr>
          <w:lang w:val="en-US"/>
        </w:rPr>
        <w:t xml:space="preserve">during the dark hours </w:t>
      </w:r>
      <w:r w:rsidR="00BC478F">
        <w:rPr>
          <w:lang w:val="en-US"/>
        </w:rPr>
        <w:t xml:space="preserve">of the day, </w:t>
      </w:r>
      <w:r>
        <w:rPr>
          <w:lang w:val="en-US"/>
        </w:rPr>
        <w:t>the micro-algae are not produced</w:t>
      </w:r>
      <w:r w:rsidR="00BC478F">
        <w:rPr>
          <w:lang w:val="en-US"/>
        </w:rPr>
        <w:t>;</w:t>
      </w:r>
      <w:r>
        <w:rPr>
          <w:lang w:val="en-US"/>
        </w:rPr>
        <w:t xml:space="preserve"> instead they release CO</w:t>
      </w:r>
      <w:r w:rsidRPr="00A4783E">
        <w:rPr>
          <w:vertAlign w:val="subscript"/>
          <w:lang w:val="en-US"/>
        </w:rPr>
        <w:t>2</w:t>
      </w:r>
      <w:r w:rsidR="00BC478F">
        <w:rPr>
          <w:lang w:val="en-US"/>
        </w:rPr>
        <w:t>;</w:t>
      </w:r>
      <w:r>
        <w:rPr>
          <w:lang w:val="en-US"/>
        </w:rPr>
        <w:t xml:space="preserve"> thus</w:t>
      </w:r>
      <w:r w:rsidR="00BC478F">
        <w:rPr>
          <w:lang w:val="en-US"/>
        </w:rPr>
        <w:t xml:space="preserve">, it comes evident the </w:t>
      </w:r>
      <w:r>
        <w:rPr>
          <w:lang w:val="en-US"/>
        </w:rPr>
        <w:t>necessity to accumulate the CO</w:t>
      </w:r>
      <w:r w:rsidRPr="00A4783E">
        <w:rPr>
          <w:vertAlign w:val="subscript"/>
          <w:lang w:val="en-US"/>
        </w:rPr>
        <w:t>2</w:t>
      </w:r>
      <w:r>
        <w:rPr>
          <w:lang w:val="en-US"/>
        </w:rPr>
        <w:t xml:space="preserve"> coming from the SOFC </w:t>
      </w:r>
      <w:r w:rsidR="00BC478F">
        <w:rPr>
          <w:lang w:val="en-US"/>
        </w:rPr>
        <w:t xml:space="preserve">plant during the dark periods </w:t>
      </w:r>
      <w:r>
        <w:rPr>
          <w:lang w:val="en-US"/>
        </w:rPr>
        <w:t>in a storage</w:t>
      </w:r>
      <w:r w:rsidR="00BC478F">
        <w:rPr>
          <w:lang w:val="en-US"/>
        </w:rPr>
        <w:t xml:space="preserve"> buffer</w:t>
      </w:r>
      <w:r>
        <w:rPr>
          <w:lang w:val="en-US"/>
        </w:rPr>
        <w:t>;</w:t>
      </w:r>
      <w:r w:rsidR="00BC478F">
        <w:rPr>
          <w:lang w:val="en-US"/>
        </w:rPr>
        <w:t xml:space="preserve"> this is due to the fact that, of course, the upstream energy plant based on SOFC operates in a continuous way 24/7. This is again related to the </w:t>
      </w:r>
      <w:r w:rsidR="004137AB">
        <w:rPr>
          <w:lang w:val="en-US"/>
        </w:rPr>
        <w:t xml:space="preserve">need </w:t>
      </w:r>
      <w:r w:rsidR="00BC478F">
        <w:rPr>
          <w:lang w:val="en-US"/>
        </w:rPr>
        <w:t>to control the flow of CO</w:t>
      </w:r>
      <w:r w:rsidR="00BC478F" w:rsidRPr="00A4783E">
        <w:rPr>
          <w:vertAlign w:val="subscript"/>
          <w:lang w:val="en-US"/>
        </w:rPr>
        <w:t>2</w:t>
      </w:r>
      <w:r w:rsidR="00BC478F">
        <w:rPr>
          <w:lang w:val="en-US"/>
        </w:rPr>
        <w:t xml:space="preserve"> before injecting it into the PBR, and so the </w:t>
      </w:r>
      <w:r w:rsidR="004137AB">
        <w:rPr>
          <w:lang w:val="en-US"/>
        </w:rPr>
        <w:t xml:space="preserve">need </w:t>
      </w:r>
      <w:r w:rsidR="00BC478F">
        <w:rPr>
          <w:lang w:val="en-US"/>
        </w:rPr>
        <w:t>to adopt a buffer volume (with related costs of installation and management); also, this depends on the location of these typologies of plant, having on effect on the distribution of light and dark hours during the day and during the year.</w:t>
      </w:r>
    </w:p>
    <w:p w14:paraId="11470711" w14:textId="77777777" w:rsidR="009D456D" w:rsidRPr="00BC478F" w:rsidRDefault="009D456D" w:rsidP="00D51C5A">
      <w:pPr>
        <w:spacing w:after="0"/>
        <w:rPr>
          <w:sz w:val="10"/>
          <w:szCs w:val="10"/>
          <w:lang w:val="en-US"/>
        </w:rPr>
      </w:pPr>
    </w:p>
    <w:p w14:paraId="5F6E73AF" w14:textId="20630613" w:rsidR="00D06F9D" w:rsidRDefault="007D6F27" w:rsidP="00D51C5A">
      <w:pPr>
        <w:spacing w:after="0"/>
        <w:rPr>
          <w:lang w:val="en-US"/>
        </w:rPr>
      </w:pPr>
      <w:r>
        <w:rPr>
          <w:lang w:val="en-US"/>
        </w:rPr>
        <w:t>Coming</w:t>
      </w:r>
      <w:r w:rsidR="00CE41C2">
        <w:rPr>
          <w:lang w:val="en-US"/>
        </w:rPr>
        <w:t xml:space="preserve"> to the final target</w:t>
      </w:r>
      <w:r w:rsidR="008F4254">
        <w:rPr>
          <w:lang w:val="en-US"/>
        </w:rPr>
        <w:t xml:space="preserve"> of our discussion</w:t>
      </w:r>
      <w:r w:rsidR="00CE41C2">
        <w:rPr>
          <w:lang w:val="en-US"/>
        </w:rPr>
        <w:t xml:space="preserve">, which is </w:t>
      </w:r>
      <w:r w:rsidR="008F4254">
        <w:rPr>
          <w:lang w:val="en-US"/>
        </w:rPr>
        <w:t>related to the evaluation of this innovative opportunity to completely recover CO</w:t>
      </w:r>
      <w:r w:rsidR="008F4254" w:rsidRPr="006C7E65">
        <w:rPr>
          <w:vertAlign w:val="subscript"/>
          <w:lang w:val="en-US"/>
        </w:rPr>
        <w:t>2</w:t>
      </w:r>
      <w:r w:rsidR="008F4254">
        <w:rPr>
          <w:lang w:val="en-US"/>
        </w:rPr>
        <w:t xml:space="preserve"> from an energy process, in a paradigm of complete CCR, the main results and discussions that come from our experience in the SOFCOM proof-of-concept are the following.</w:t>
      </w:r>
    </w:p>
    <w:p w14:paraId="5B4E4EF6" w14:textId="77777777" w:rsidR="00807242" w:rsidRPr="00807242" w:rsidRDefault="00807242" w:rsidP="00D51C5A">
      <w:pPr>
        <w:spacing w:after="0"/>
        <w:rPr>
          <w:sz w:val="10"/>
          <w:szCs w:val="10"/>
          <w:lang w:val="en-US"/>
        </w:rPr>
      </w:pPr>
    </w:p>
    <w:p w14:paraId="29677EBE" w14:textId="02760B14" w:rsidR="00807242" w:rsidRPr="00807242" w:rsidRDefault="00807242" w:rsidP="00D51C5A">
      <w:pPr>
        <w:spacing w:after="0"/>
        <w:rPr>
          <w:b/>
          <w:lang w:val="en-US"/>
        </w:rPr>
      </w:pPr>
      <w:r w:rsidRPr="00807242">
        <w:rPr>
          <w:b/>
          <w:lang w:val="en-US"/>
        </w:rPr>
        <w:t>Effectiveness of the micro-algae solution</w:t>
      </w:r>
    </w:p>
    <w:p w14:paraId="570FD7CB" w14:textId="75B08AB6" w:rsidR="007C525F" w:rsidRDefault="001A47E3" w:rsidP="00D51C5A">
      <w:pPr>
        <w:spacing w:after="0"/>
        <w:rPr>
          <w:lang w:val="en-US"/>
        </w:rPr>
      </w:pPr>
      <w:r>
        <w:rPr>
          <w:lang w:val="en-US"/>
        </w:rPr>
        <w:t>The m</w:t>
      </w:r>
      <w:r w:rsidR="007C525F">
        <w:rPr>
          <w:lang w:val="en-US"/>
        </w:rPr>
        <w:t>ain results in terms of effectiveness of carbon removal in PBR in our pilot experience</w:t>
      </w:r>
      <w:r>
        <w:rPr>
          <w:lang w:val="en-US"/>
        </w:rPr>
        <w:t xml:space="preserve"> is expressed by</w:t>
      </w:r>
      <w:r w:rsidR="008142BD">
        <w:rPr>
          <w:lang w:val="en-US"/>
        </w:rPr>
        <w:t xml:space="preserve"> </w:t>
      </w:r>
      <w:r>
        <w:rPr>
          <w:lang w:val="en-US"/>
        </w:rPr>
        <w:t xml:space="preserve">the </w:t>
      </w:r>
      <w:r w:rsidR="008142BD">
        <w:rPr>
          <w:lang w:val="en-US"/>
        </w:rPr>
        <w:t>quantification of the fact that micro-algae are</w:t>
      </w:r>
      <w:r w:rsidR="00CE41C2">
        <w:rPr>
          <w:lang w:val="en-US"/>
        </w:rPr>
        <w:t xml:space="preserve"> really a fast growing biomass</w:t>
      </w:r>
      <w:r>
        <w:rPr>
          <w:lang w:val="en-US"/>
        </w:rPr>
        <w:t>. In fact, standard biomasses (wood, maize, energy crops, corn) show always growing rates lower than 1 W/m</w:t>
      </w:r>
      <w:r w:rsidRPr="00DA77CF">
        <w:rPr>
          <w:vertAlign w:val="superscript"/>
          <w:lang w:val="en-US"/>
        </w:rPr>
        <w:t>2</w:t>
      </w:r>
      <w:r>
        <w:rPr>
          <w:lang w:val="en-US"/>
        </w:rPr>
        <w:t>; only sugarcanes and tropical plantations are able to reach values close to 2 W/m</w:t>
      </w:r>
      <w:r w:rsidRPr="00DA77CF">
        <w:rPr>
          <w:vertAlign w:val="superscript"/>
          <w:lang w:val="en-US"/>
        </w:rPr>
        <w:t>2</w:t>
      </w:r>
      <w:r w:rsidR="005A1C74">
        <w:rPr>
          <w:vertAlign w:val="superscript"/>
          <w:lang w:val="en-US"/>
        </w:rPr>
        <w:t xml:space="preserve"> </w:t>
      </w:r>
      <w:r w:rsidR="005A1C74">
        <w:rPr>
          <w:vertAlign w:val="superscript"/>
          <w:lang w:val="en-US"/>
        </w:rPr>
        <w:fldChar w:fldCharType="begin" w:fldLock="1"/>
      </w:r>
      <w:r w:rsidR="00844B4D">
        <w:rPr>
          <w:vertAlign w:val="superscript"/>
          <w:lang w:val="en-US"/>
        </w:rPr>
        <w:instrText>ADDIN CSL_CITATION { "citationItems" : [ { "id" : "ITEM-1", "itemData" : { "author" : [ { "dropping-particle" : "", "family" : "MacKay", "given" : "David JC", "non-dropping-particle" : "", "parse-names" : false, "suffix" : "" } ], "id" : "ITEM-1", "issued" : { "date-parts" : [ [ "2009" ] ] }, "number-of-pages" : "383", "title" : "Sustainable Energy - without the hot air (Version 3.5.2. November 3)", "type" : "book" }, "uris" : [ "http://www.mendeley.com/documents/?uuid=c0c16fd9-14c3-37ae-abba-186f06c2397a" ] } ], "mendeley" : { "formattedCitation" : "[23]", "plainTextFormattedCitation" : "[23]", "previouslyFormattedCitation" : "[23]" }, "properties" : { "noteIndex" : 0 }, "schema" : "https://github.com/citation-style-language/schema/raw/master/csl-citation.json" }</w:instrText>
      </w:r>
      <w:r w:rsidR="005A1C74">
        <w:rPr>
          <w:vertAlign w:val="superscript"/>
          <w:lang w:val="en-US"/>
        </w:rPr>
        <w:fldChar w:fldCharType="separate"/>
      </w:r>
      <w:r w:rsidR="009829B8" w:rsidRPr="009829B8">
        <w:rPr>
          <w:noProof/>
          <w:lang w:val="en-US"/>
        </w:rPr>
        <w:t>[23]</w:t>
      </w:r>
      <w:r w:rsidR="005A1C74">
        <w:rPr>
          <w:vertAlign w:val="superscript"/>
          <w:lang w:val="en-US"/>
        </w:rPr>
        <w:fldChar w:fldCharType="end"/>
      </w:r>
      <w:r>
        <w:rPr>
          <w:lang w:val="en-US"/>
        </w:rPr>
        <w:t>; micro-algae produced during the experimental SOFCOM activities show a cumulative growing rate of 1.36 W/m</w:t>
      </w:r>
      <w:r w:rsidRPr="00407C84">
        <w:rPr>
          <w:vertAlign w:val="superscript"/>
          <w:lang w:val="en-US"/>
        </w:rPr>
        <w:t>2</w:t>
      </w:r>
      <w:r>
        <w:rPr>
          <w:lang w:val="en-US"/>
        </w:rPr>
        <w:t xml:space="preserve"> with a weekly peak of 4.18 W</w:t>
      </w:r>
      <w:r w:rsidRPr="00C9056B">
        <w:rPr>
          <w:lang w:val="en-US"/>
        </w:rPr>
        <w:t>/m</w:t>
      </w:r>
      <w:r w:rsidRPr="00DA77CF">
        <w:rPr>
          <w:vertAlign w:val="superscript"/>
          <w:lang w:val="en-US"/>
        </w:rPr>
        <w:t>2</w:t>
      </w:r>
      <w:r w:rsidR="00C10A58">
        <w:rPr>
          <w:lang w:val="en-US"/>
        </w:rPr>
        <w:t>.</w:t>
      </w:r>
      <w:r w:rsidR="007A012B">
        <w:rPr>
          <w:lang w:val="en-US"/>
        </w:rPr>
        <w:t xml:space="preserve"> These results can be further optimized with the solutions already highlighted here.</w:t>
      </w:r>
      <w:r w:rsidR="00C10A58">
        <w:rPr>
          <w:lang w:val="en-US"/>
        </w:rPr>
        <w:t xml:space="preserve"> </w:t>
      </w:r>
    </w:p>
    <w:p w14:paraId="3E5D7636" w14:textId="77777777" w:rsidR="00435E75" w:rsidRPr="0023201B" w:rsidRDefault="00435E75" w:rsidP="00D51C5A">
      <w:pPr>
        <w:spacing w:after="0"/>
        <w:rPr>
          <w:sz w:val="10"/>
          <w:szCs w:val="10"/>
          <w:lang w:val="en-US"/>
        </w:rPr>
      </w:pPr>
    </w:p>
    <w:p w14:paraId="60116140" w14:textId="15CCAEB1" w:rsidR="00D51C5A" w:rsidRPr="00D51C5A" w:rsidRDefault="00807242" w:rsidP="00D51C5A">
      <w:pPr>
        <w:spacing w:after="0"/>
        <w:rPr>
          <w:b/>
          <w:lang w:val="en-US"/>
        </w:rPr>
      </w:pPr>
      <w:r w:rsidRPr="00D51C5A">
        <w:rPr>
          <w:b/>
          <w:lang w:val="en-US"/>
        </w:rPr>
        <w:t>Carbon impact of the tested solution</w:t>
      </w:r>
    </w:p>
    <w:p w14:paraId="33C19516" w14:textId="6322AC6C" w:rsidR="00BA68B9" w:rsidRPr="005F7416" w:rsidRDefault="005F7416" w:rsidP="0023201B">
      <w:pPr>
        <w:pStyle w:val="Paragrafoelenco"/>
        <w:numPr>
          <w:ilvl w:val="0"/>
          <w:numId w:val="30"/>
        </w:numPr>
        <w:ind w:left="851"/>
        <w:rPr>
          <w:lang w:val="en-US"/>
        </w:rPr>
      </w:pPr>
      <w:r w:rsidRPr="005F7416">
        <w:rPr>
          <w:lang w:val="en-US"/>
        </w:rPr>
        <w:lastRenderedPageBreak/>
        <w:t>considering the pathway biogas-SOFC (without CO</w:t>
      </w:r>
      <w:r w:rsidRPr="0023201B">
        <w:rPr>
          <w:vertAlign w:val="subscript"/>
          <w:lang w:val="en-US"/>
        </w:rPr>
        <w:t>2</w:t>
      </w:r>
      <w:r w:rsidRPr="005F7416">
        <w:rPr>
          <w:lang w:val="en-US"/>
        </w:rPr>
        <w:t xml:space="preserve"> recovery in PBR), </w:t>
      </w:r>
      <w:r w:rsidR="00BA68B9" w:rsidRPr="005F7416">
        <w:rPr>
          <w:lang w:val="en-US"/>
        </w:rPr>
        <w:t>the CO</w:t>
      </w:r>
      <w:r w:rsidR="00BA68B9" w:rsidRPr="0023201B">
        <w:rPr>
          <w:vertAlign w:val="subscript"/>
          <w:lang w:val="en-US"/>
        </w:rPr>
        <w:t>2</w:t>
      </w:r>
      <w:r w:rsidR="00BA68B9" w:rsidRPr="005F7416">
        <w:rPr>
          <w:lang w:val="en-US"/>
        </w:rPr>
        <w:t xml:space="preserve"> emission</w:t>
      </w:r>
      <w:r w:rsidRPr="005F7416">
        <w:rPr>
          <w:lang w:val="en-US"/>
        </w:rPr>
        <w:t>s</w:t>
      </w:r>
      <w:r w:rsidR="00BA68B9" w:rsidRPr="005F7416">
        <w:rPr>
          <w:lang w:val="en-US"/>
        </w:rPr>
        <w:t xml:space="preserve"> from the SOFC biogas fed system (with optimized sludge pre-thickening) are 0.198 kgCO</w:t>
      </w:r>
      <w:r w:rsidR="00BA68B9" w:rsidRPr="0023201B">
        <w:rPr>
          <w:vertAlign w:val="subscript"/>
          <w:lang w:val="en-US"/>
        </w:rPr>
        <w:t>2,eq</w:t>
      </w:r>
      <w:r w:rsidR="00BA68B9" w:rsidRPr="005F7416">
        <w:rPr>
          <w:lang w:val="en-US"/>
        </w:rPr>
        <w:t>/</w:t>
      </w:r>
      <w:proofErr w:type="spellStart"/>
      <w:r w:rsidR="00BA68B9" w:rsidRPr="005F7416">
        <w:rPr>
          <w:lang w:val="en-US"/>
        </w:rPr>
        <w:t>kWh</w:t>
      </w:r>
      <w:r w:rsidR="00BA68B9" w:rsidRPr="0023201B">
        <w:rPr>
          <w:vertAlign w:val="subscript"/>
          <w:lang w:val="en-US"/>
        </w:rPr>
        <w:t>el</w:t>
      </w:r>
      <w:proofErr w:type="spellEnd"/>
      <w:r w:rsidR="00BA68B9" w:rsidRPr="005F7416">
        <w:rPr>
          <w:lang w:val="en-US"/>
        </w:rPr>
        <w:t xml:space="preserve"> against 0.429 kgCO</w:t>
      </w:r>
      <w:r w:rsidR="00BA68B9" w:rsidRPr="0023201B">
        <w:rPr>
          <w:vertAlign w:val="subscript"/>
          <w:lang w:val="en-US"/>
        </w:rPr>
        <w:t>2,eq</w:t>
      </w:r>
      <w:r w:rsidR="00BA68B9" w:rsidRPr="005F7416">
        <w:rPr>
          <w:lang w:val="en-US"/>
        </w:rPr>
        <w:t>/</w:t>
      </w:r>
      <w:proofErr w:type="spellStart"/>
      <w:r w:rsidR="00BA68B9" w:rsidRPr="005F7416">
        <w:rPr>
          <w:lang w:val="en-US"/>
        </w:rPr>
        <w:t>kWh</w:t>
      </w:r>
      <w:r w:rsidR="00BA68B9" w:rsidRPr="0023201B">
        <w:rPr>
          <w:vertAlign w:val="subscript"/>
          <w:lang w:val="en-US"/>
        </w:rPr>
        <w:t>el</w:t>
      </w:r>
      <w:proofErr w:type="spellEnd"/>
      <w:r w:rsidR="00BA68B9" w:rsidRPr="005F7416">
        <w:rPr>
          <w:lang w:val="en-US"/>
        </w:rPr>
        <w:t xml:space="preserve"> in case of NG feeding</w:t>
      </w:r>
      <w:r w:rsidRPr="005F7416">
        <w:rPr>
          <w:lang w:val="en-US"/>
        </w:rPr>
        <w:t>;</w:t>
      </w:r>
    </w:p>
    <w:p w14:paraId="67CB59E3" w14:textId="1AFB0C77" w:rsidR="00BA68B9" w:rsidRPr="005F7416" w:rsidRDefault="00BA68B9" w:rsidP="0023201B">
      <w:pPr>
        <w:pStyle w:val="Paragrafoelenco"/>
        <w:numPr>
          <w:ilvl w:val="0"/>
          <w:numId w:val="30"/>
        </w:numPr>
        <w:ind w:left="851"/>
        <w:rPr>
          <w:lang w:val="en-US"/>
        </w:rPr>
      </w:pPr>
      <w:r w:rsidRPr="005F7416">
        <w:rPr>
          <w:lang w:val="en-US"/>
        </w:rPr>
        <w:t>taking into account the energy (and environmentally) intensive and not optimized PBR system, the CO</w:t>
      </w:r>
      <w:r w:rsidRPr="0023201B">
        <w:rPr>
          <w:vertAlign w:val="subscript"/>
          <w:lang w:val="en-US"/>
        </w:rPr>
        <w:t>2</w:t>
      </w:r>
      <w:r w:rsidRPr="005F7416">
        <w:rPr>
          <w:lang w:val="en-US"/>
        </w:rPr>
        <w:t xml:space="preserve"> emission</w:t>
      </w:r>
      <w:r w:rsidR="005F7416" w:rsidRPr="005F7416">
        <w:rPr>
          <w:lang w:val="en-US"/>
        </w:rPr>
        <w:t>s</w:t>
      </w:r>
      <w:r w:rsidRPr="005F7416">
        <w:rPr>
          <w:lang w:val="en-US"/>
        </w:rPr>
        <w:t xml:space="preserve"> from the </w:t>
      </w:r>
      <w:r w:rsidR="005F7416" w:rsidRPr="005F7416">
        <w:rPr>
          <w:lang w:val="en-US"/>
        </w:rPr>
        <w:t xml:space="preserve">SOFCOM </w:t>
      </w:r>
      <w:r w:rsidRPr="005F7416">
        <w:rPr>
          <w:lang w:val="en-US"/>
        </w:rPr>
        <w:t xml:space="preserve">system are </w:t>
      </w:r>
      <w:r w:rsidR="005F7416" w:rsidRPr="005F7416">
        <w:rPr>
          <w:lang w:val="en-US"/>
        </w:rPr>
        <w:t>0</w:t>
      </w:r>
      <w:r w:rsidRPr="005F7416">
        <w:rPr>
          <w:lang w:val="en-US"/>
        </w:rPr>
        <w:t xml:space="preserve"> kgCO</w:t>
      </w:r>
      <w:r w:rsidRPr="0023201B">
        <w:rPr>
          <w:vertAlign w:val="subscript"/>
          <w:lang w:val="en-US"/>
        </w:rPr>
        <w:t>2</w:t>
      </w:r>
      <w:r w:rsidRPr="005F7416">
        <w:rPr>
          <w:lang w:val="en-US"/>
        </w:rPr>
        <w:t>/</w:t>
      </w:r>
      <w:proofErr w:type="spellStart"/>
      <w:r w:rsidRPr="005F7416">
        <w:rPr>
          <w:lang w:val="en-US"/>
        </w:rPr>
        <w:t>kWh</w:t>
      </w:r>
      <w:r w:rsidRPr="0023201B">
        <w:rPr>
          <w:vertAlign w:val="subscript"/>
          <w:lang w:val="en-US"/>
        </w:rPr>
        <w:t>el</w:t>
      </w:r>
      <w:proofErr w:type="spellEnd"/>
      <w:r w:rsidR="005F7416" w:rsidRPr="005F7416">
        <w:rPr>
          <w:lang w:val="en-US"/>
        </w:rPr>
        <w:t>, but only if considering the intermediate buffer able to store the CO</w:t>
      </w:r>
      <w:r w:rsidR="005F7416" w:rsidRPr="0023201B">
        <w:rPr>
          <w:vertAlign w:val="subscript"/>
          <w:lang w:val="en-US"/>
        </w:rPr>
        <w:t>2</w:t>
      </w:r>
      <w:r w:rsidR="005F7416" w:rsidRPr="005F7416">
        <w:rPr>
          <w:lang w:val="en-US"/>
        </w:rPr>
        <w:t xml:space="preserve"> during the period of null irradiance</w:t>
      </w:r>
      <w:r w:rsidRPr="005F7416">
        <w:rPr>
          <w:lang w:val="en-US"/>
        </w:rPr>
        <w:t xml:space="preserve"> </w:t>
      </w:r>
    </w:p>
    <w:p w14:paraId="336F265C" w14:textId="1F3A15F9" w:rsidR="000B6E13" w:rsidRPr="009550ED" w:rsidRDefault="007A012B" w:rsidP="0023201B">
      <w:pPr>
        <w:pStyle w:val="Paragrafoelenco"/>
        <w:numPr>
          <w:ilvl w:val="0"/>
          <w:numId w:val="30"/>
        </w:numPr>
        <w:ind w:left="851"/>
        <w:rPr>
          <w:lang w:val="en-US"/>
        </w:rPr>
      </w:pPr>
      <w:r>
        <w:rPr>
          <w:lang w:val="en-US"/>
        </w:rPr>
        <w:t>t</w:t>
      </w:r>
      <w:r w:rsidR="003A75AF" w:rsidRPr="009550ED">
        <w:rPr>
          <w:lang w:val="en-US"/>
        </w:rPr>
        <w:t>he enviro</w:t>
      </w:r>
      <w:r w:rsidR="00C73050" w:rsidRPr="009550ED">
        <w:rPr>
          <w:lang w:val="en-US"/>
        </w:rPr>
        <w:t>nmental performance of the PBR has been</w:t>
      </w:r>
      <w:r w:rsidR="003A75AF" w:rsidRPr="009550ED">
        <w:rPr>
          <w:lang w:val="en-US"/>
        </w:rPr>
        <w:t xml:space="preserve"> studied </w:t>
      </w:r>
      <w:r>
        <w:rPr>
          <w:lang w:val="en-US"/>
        </w:rPr>
        <w:t xml:space="preserve">only </w:t>
      </w:r>
      <w:r w:rsidR="003A75AF" w:rsidRPr="009550ED">
        <w:rPr>
          <w:lang w:val="en-US"/>
        </w:rPr>
        <w:t xml:space="preserve">in reference to the operation mode </w:t>
      </w:r>
      <w:r w:rsidR="00C73050" w:rsidRPr="009550ED">
        <w:rPr>
          <w:lang w:val="en-US"/>
        </w:rPr>
        <w:t xml:space="preserve">(the manufacturing and assembly phase has been considered negligible </w:t>
      </w:r>
      <w:r w:rsidR="009550ED" w:rsidRPr="009550ED">
        <w:rPr>
          <w:lang w:val="en-US"/>
        </w:rPr>
        <w:t>with</w:t>
      </w:r>
      <w:r w:rsidR="00C73050" w:rsidRPr="009550ED">
        <w:rPr>
          <w:lang w:val="en-US"/>
        </w:rPr>
        <w:t xml:space="preserve"> respect to the operation)</w:t>
      </w:r>
      <w:r w:rsidR="003A75AF" w:rsidRPr="009550ED">
        <w:rPr>
          <w:lang w:val="en-US"/>
        </w:rPr>
        <w:t>.</w:t>
      </w:r>
      <w:r w:rsidR="009550ED" w:rsidRPr="009550ED">
        <w:rPr>
          <w:lang w:val="en-US"/>
        </w:rPr>
        <w:t xml:space="preserve"> </w:t>
      </w:r>
      <w:r w:rsidR="000B6E13" w:rsidRPr="009550ED">
        <w:rPr>
          <w:lang w:val="en-US"/>
        </w:rPr>
        <w:t>At PBR level</w:t>
      </w:r>
      <w:r w:rsidR="003A75AF" w:rsidRPr="009550ED">
        <w:rPr>
          <w:lang w:val="en-US"/>
        </w:rPr>
        <w:t xml:space="preserve"> it is calculated that 60% of the total emissions of CO</w:t>
      </w:r>
      <w:r w:rsidR="003A75AF" w:rsidRPr="0023201B">
        <w:rPr>
          <w:vertAlign w:val="subscript"/>
          <w:lang w:val="en-US"/>
        </w:rPr>
        <w:t>2</w:t>
      </w:r>
      <w:r w:rsidR="009550ED" w:rsidRPr="009550ED">
        <w:rPr>
          <w:lang w:val="en-US"/>
        </w:rPr>
        <w:t xml:space="preserve"> from SOFC are fix</w:t>
      </w:r>
      <w:r w:rsidR="003A75AF" w:rsidRPr="009550ED">
        <w:rPr>
          <w:lang w:val="en-US"/>
        </w:rPr>
        <w:t>ed in biomass</w:t>
      </w:r>
      <w:r w:rsidR="000B6E13" w:rsidRPr="009550ED">
        <w:rPr>
          <w:lang w:val="en-US"/>
        </w:rPr>
        <w:t xml:space="preserve"> (because of a limited seasonal buffer)</w:t>
      </w:r>
      <w:r w:rsidR="003A75AF" w:rsidRPr="009550ED">
        <w:rPr>
          <w:lang w:val="en-US"/>
        </w:rPr>
        <w:t xml:space="preserve">. The rest is released into atmosphere. </w:t>
      </w:r>
    </w:p>
    <w:p w14:paraId="199AB1C2" w14:textId="008BED1F" w:rsidR="000B6E13" w:rsidRPr="009550ED" w:rsidRDefault="003A75AF" w:rsidP="0023201B">
      <w:pPr>
        <w:pStyle w:val="Paragrafoelenco"/>
        <w:ind w:left="851" w:firstLine="0"/>
        <w:rPr>
          <w:lang w:val="en-US"/>
        </w:rPr>
      </w:pPr>
      <w:r w:rsidRPr="009550ED">
        <w:rPr>
          <w:lang w:val="en-US"/>
        </w:rPr>
        <w:t>For the production of 1 kg of biomass this translates in a consumption of 1.84 kg of biogenic CO</w:t>
      </w:r>
      <w:r w:rsidRPr="0023201B">
        <w:rPr>
          <w:vertAlign w:val="subscript"/>
          <w:lang w:val="en-US"/>
        </w:rPr>
        <w:t>2</w:t>
      </w:r>
      <w:r w:rsidRPr="009550ED">
        <w:rPr>
          <w:lang w:val="en-US"/>
        </w:rPr>
        <w:t xml:space="preserve"> and emissions for 1.23 kg biogenic CO</w:t>
      </w:r>
      <w:r w:rsidRPr="0023201B">
        <w:rPr>
          <w:vertAlign w:val="subscript"/>
          <w:lang w:val="en-US"/>
        </w:rPr>
        <w:t>2</w:t>
      </w:r>
      <w:r w:rsidRPr="009550ED">
        <w:rPr>
          <w:lang w:val="en-US"/>
        </w:rPr>
        <w:t>. To these emissions, using C</w:t>
      </w:r>
      <w:r w:rsidR="000B6E13" w:rsidRPr="009550ED">
        <w:rPr>
          <w:lang w:val="en-US"/>
        </w:rPr>
        <w:t xml:space="preserve">limate </w:t>
      </w:r>
      <w:r w:rsidRPr="009550ED">
        <w:rPr>
          <w:lang w:val="en-US"/>
        </w:rPr>
        <w:t>C</w:t>
      </w:r>
      <w:r w:rsidR="000B6E13" w:rsidRPr="009550ED">
        <w:rPr>
          <w:lang w:val="en-US"/>
        </w:rPr>
        <w:t>hange impact category f</w:t>
      </w:r>
      <w:r w:rsidRPr="009550ED">
        <w:rPr>
          <w:lang w:val="en-US"/>
        </w:rPr>
        <w:t xml:space="preserve">or PBR operation, it must </w:t>
      </w:r>
      <w:r w:rsidR="0023201B">
        <w:rPr>
          <w:lang w:val="en-US"/>
        </w:rPr>
        <w:t>be added another 35.9 kg of CO</w:t>
      </w:r>
      <w:r w:rsidR="0023201B" w:rsidRPr="0023201B">
        <w:rPr>
          <w:vertAlign w:val="subscript"/>
          <w:lang w:val="en-US"/>
        </w:rPr>
        <w:t>2</w:t>
      </w:r>
      <w:r w:rsidRPr="0023201B">
        <w:rPr>
          <w:vertAlign w:val="subscript"/>
          <w:lang w:val="en-US"/>
        </w:rPr>
        <w:t>eq</w:t>
      </w:r>
      <w:r w:rsidRPr="009550ED">
        <w:rPr>
          <w:lang w:val="en-US"/>
        </w:rPr>
        <w:t xml:space="preserve">. Overall GHG emissions are </w:t>
      </w:r>
      <w:r w:rsidR="000B6E13" w:rsidRPr="009550ED">
        <w:rPr>
          <w:lang w:val="en-US"/>
        </w:rPr>
        <w:t xml:space="preserve">thus </w:t>
      </w:r>
      <w:r w:rsidRPr="009550ED">
        <w:rPr>
          <w:lang w:val="en-US"/>
        </w:rPr>
        <w:t xml:space="preserve">20 times </w:t>
      </w:r>
      <w:r w:rsidR="009550ED" w:rsidRPr="009550ED">
        <w:rPr>
          <w:lang w:val="en-US"/>
        </w:rPr>
        <w:t xml:space="preserve">higher than </w:t>
      </w:r>
      <w:r w:rsidRPr="009550ED">
        <w:rPr>
          <w:lang w:val="en-US"/>
        </w:rPr>
        <w:t>the CO</w:t>
      </w:r>
      <w:r w:rsidRPr="0023201B">
        <w:rPr>
          <w:vertAlign w:val="subscript"/>
          <w:lang w:val="en-US"/>
        </w:rPr>
        <w:t>2</w:t>
      </w:r>
      <w:r w:rsidRPr="009550ED">
        <w:rPr>
          <w:lang w:val="en-US"/>
        </w:rPr>
        <w:t xml:space="preserve"> consumption</w:t>
      </w:r>
      <w:r w:rsidR="00A4783E">
        <w:rPr>
          <w:lang w:val="en-US"/>
        </w:rPr>
        <w:t xml:space="preserve"> (presented results have been determined from the Life Cycle Assessment </w:t>
      </w:r>
      <w:r w:rsidR="00772A53">
        <w:rPr>
          <w:lang w:val="en-US"/>
        </w:rPr>
        <w:t xml:space="preserve">(LCA) </w:t>
      </w:r>
      <w:r w:rsidR="00A4783E">
        <w:rPr>
          <w:lang w:val="en-US"/>
        </w:rPr>
        <w:t xml:space="preserve">analysis of the SOFCOM plant, presented in the </w:t>
      </w:r>
      <w:r w:rsidR="009906E9">
        <w:rPr>
          <w:lang w:val="en-US"/>
        </w:rPr>
        <w:t xml:space="preserve">related </w:t>
      </w:r>
      <w:r w:rsidR="00A4783E">
        <w:rPr>
          <w:lang w:val="en-US"/>
        </w:rPr>
        <w:t xml:space="preserve">project Deliverable </w:t>
      </w:r>
      <w:r w:rsidR="009906E9">
        <w:rPr>
          <w:lang w:val="en-US"/>
        </w:rPr>
        <w:t>4.5</w:t>
      </w:r>
      <w:r w:rsidR="005A1C74">
        <w:rPr>
          <w:lang w:val="en-US"/>
        </w:rPr>
        <w:t xml:space="preserve"> </w:t>
      </w:r>
      <w:r w:rsidR="005A1C74">
        <w:rPr>
          <w:lang w:val="en-US"/>
        </w:rPr>
        <w:fldChar w:fldCharType="begin" w:fldLock="1"/>
      </w:r>
      <w:r w:rsidR="00844B4D">
        <w:rPr>
          <w:lang w:val="en-US"/>
        </w:rPr>
        <w:instrText>ADDIN CSL_CITATION { "citationItems" : [ { "id" : "ITEM-1", "itemData" : { "author" : [ { "dropping-particle" : "", "family" : "Santarelli", "given" : "Massimo", "non-dropping-particle" : "", "parse-names" : false, "suffix" : "" }, { "dropping-particle" : "", "family" : "Lanzini", "given" : "Andrea", "non-dropping-particle" : "", "parse-names" : false, "suffix" : "" }, { "dropping-particle" : "", "family" : "Gandiglio", "given" : "Marta", "non-dropping-particle" : "", "parse-names" : false, "suffix" : "" } ], "id" : "ITEM-1", "issued" : { "date-parts" : [ [ "2014" ] ] }, "title" : "Technical report on the potential impact of biogas exploitation with the SOFC technology in waste-water treatment plants - Deliverable 4.5 of SOFCOM Project n\u00b0 278798 \u201cSOFC CHP WITH POLY-FUEL: OPERATION AND MAINTENANCE\u201d", "type" : "report" }, "uris" : [ "http://www.mendeley.com/documents/?uuid=17d255d5-456a-4ddd-a5e0-0d1268f10cb4" ] } ], "mendeley" : { "formattedCitation" : "[24]", "plainTextFormattedCitation" : "[24]", "previouslyFormattedCitation" : "[24]" }, "properties" : { "noteIndex" : 0 }, "schema" : "https://github.com/citation-style-language/schema/raw/master/csl-citation.json" }</w:instrText>
      </w:r>
      <w:r w:rsidR="005A1C74">
        <w:rPr>
          <w:lang w:val="en-US"/>
        </w:rPr>
        <w:fldChar w:fldCharType="separate"/>
      </w:r>
      <w:r w:rsidR="009829B8" w:rsidRPr="009829B8">
        <w:rPr>
          <w:noProof/>
          <w:lang w:val="en-US"/>
        </w:rPr>
        <w:t>[24]</w:t>
      </w:r>
      <w:r w:rsidR="005A1C74">
        <w:rPr>
          <w:lang w:val="en-US"/>
        </w:rPr>
        <w:fldChar w:fldCharType="end"/>
      </w:r>
      <w:r w:rsidR="009906E9">
        <w:rPr>
          <w:lang w:val="en-US"/>
        </w:rPr>
        <w:t>)</w:t>
      </w:r>
      <w:r w:rsidRPr="009550ED">
        <w:rPr>
          <w:lang w:val="en-US"/>
        </w:rPr>
        <w:t>.</w:t>
      </w:r>
    </w:p>
    <w:p w14:paraId="059B45E0" w14:textId="5F0AD330" w:rsidR="003A75AF" w:rsidRDefault="00D51C5A" w:rsidP="00D51C5A">
      <w:pPr>
        <w:pStyle w:val="Paragrafoelenco"/>
        <w:ind w:left="426"/>
        <w:rPr>
          <w:lang w:val="en-US"/>
        </w:rPr>
      </w:pPr>
      <w:r>
        <w:rPr>
          <w:lang w:val="en-US"/>
        </w:rPr>
        <w:t>Hence</w:t>
      </w:r>
      <w:r w:rsidR="003A75AF" w:rsidRPr="009550ED">
        <w:rPr>
          <w:lang w:val="en-US"/>
        </w:rPr>
        <w:t>, the chosen PBR technology, according to the available information and o</w:t>
      </w:r>
      <w:r w:rsidR="000B6E13" w:rsidRPr="009550ED">
        <w:rPr>
          <w:lang w:val="en-US"/>
        </w:rPr>
        <w:t>n</w:t>
      </w:r>
      <w:r w:rsidR="003A75AF" w:rsidRPr="009550ED">
        <w:rPr>
          <w:lang w:val="en-US"/>
        </w:rPr>
        <w:t xml:space="preserve"> the choices made for its operating mode, does not provide </w:t>
      </w:r>
      <w:r w:rsidR="009550ED" w:rsidRPr="009550ED">
        <w:rPr>
          <w:lang w:val="en-US"/>
        </w:rPr>
        <w:t>n</w:t>
      </w:r>
      <w:r w:rsidR="003A75AF" w:rsidRPr="009550ED">
        <w:rPr>
          <w:lang w:val="en-US"/>
        </w:rPr>
        <w:t xml:space="preserve">either an energetic </w:t>
      </w:r>
      <w:r w:rsidR="009550ED" w:rsidRPr="009550ED">
        <w:rPr>
          <w:lang w:val="en-US"/>
        </w:rPr>
        <w:t>n</w:t>
      </w:r>
      <w:r w:rsidR="003A75AF" w:rsidRPr="009550ED">
        <w:rPr>
          <w:lang w:val="en-US"/>
        </w:rPr>
        <w:t>or CO</w:t>
      </w:r>
      <w:r w:rsidR="003A75AF" w:rsidRPr="0023201B">
        <w:rPr>
          <w:vertAlign w:val="subscript"/>
          <w:lang w:val="en-US"/>
        </w:rPr>
        <w:t>2</w:t>
      </w:r>
      <w:r w:rsidR="003A75AF" w:rsidRPr="009550ED">
        <w:rPr>
          <w:lang w:val="en-US"/>
        </w:rPr>
        <w:t xml:space="preserve"> sequestration-effective </w:t>
      </w:r>
      <w:r w:rsidR="009550ED" w:rsidRPr="009550ED">
        <w:rPr>
          <w:lang w:val="en-US"/>
        </w:rPr>
        <w:t>improvement compared t</w:t>
      </w:r>
      <w:r w:rsidR="003A75AF" w:rsidRPr="009550ED">
        <w:rPr>
          <w:lang w:val="en-US"/>
        </w:rPr>
        <w:t>o the original energy path (biogas-fed SOFC).</w:t>
      </w:r>
      <w:r w:rsidR="000B6E13" w:rsidRPr="009550ED">
        <w:rPr>
          <w:lang w:val="en-US"/>
        </w:rPr>
        <w:t xml:space="preserve"> </w:t>
      </w:r>
      <w:r w:rsidR="003A75AF" w:rsidRPr="009550ED">
        <w:rPr>
          <w:lang w:val="en-US"/>
        </w:rPr>
        <w:t>However, the conclusions just presented do</w:t>
      </w:r>
      <w:r>
        <w:rPr>
          <w:lang w:val="en-US"/>
        </w:rPr>
        <w:t>es</w:t>
      </w:r>
      <w:r w:rsidR="003A75AF" w:rsidRPr="009550ED">
        <w:rPr>
          <w:lang w:val="en-US"/>
        </w:rPr>
        <w:t xml:space="preserve"> not imply a negative judgment of the concept of achieving positive effects (energy production, carbon sequestration) in contexts similar to the one presented; more research is required to identify and understand all the parameters involved in the </w:t>
      </w:r>
      <w:r w:rsidR="009550ED" w:rsidRPr="009550ED">
        <w:rPr>
          <w:lang w:val="en-US"/>
        </w:rPr>
        <w:t xml:space="preserve">operation </w:t>
      </w:r>
      <w:r w:rsidR="003A75AF" w:rsidRPr="009550ED">
        <w:rPr>
          <w:lang w:val="en-US"/>
        </w:rPr>
        <w:t>of such complex system, and new designs would propose more interesting performances (e</w:t>
      </w:r>
      <w:r w:rsidR="000B6E13" w:rsidRPr="009550ED">
        <w:rPr>
          <w:lang w:val="en-US"/>
        </w:rPr>
        <w:t>.g.</w:t>
      </w:r>
      <w:r>
        <w:rPr>
          <w:lang w:val="en-US"/>
        </w:rPr>
        <w:t>,</w:t>
      </w:r>
      <w:r w:rsidR="000B6E13" w:rsidRPr="009550ED">
        <w:rPr>
          <w:lang w:val="en-US"/>
        </w:rPr>
        <w:t xml:space="preserve"> hybrid </w:t>
      </w:r>
      <w:proofErr w:type="spellStart"/>
      <w:r w:rsidR="000B6E13" w:rsidRPr="009550ED">
        <w:rPr>
          <w:lang w:val="en-US"/>
        </w:rPr>
        <w:t>photobioreactors</w:t>
      </w:r>
      <w:proofErr w:type="spellEnd"/>
      <w:r w:rsidR="000B6E13" w:rsidRPr="009550ED">
        <w:rPr>
          <w:lang w:val="en-US"/>
        </w:rPr>
        <w:t>)</w:t>
      </w:r>
      <w:r w:rsidR="005A1C74">
        <w:rPr>
          <w:lang w:val="en-US"/>
        </w:rPr>
        <w:t xml:space="preserve"> </w:t>
      </w:r>
      <w:r w:rsidR="005A1C74">
        <w:rPr>
          <w:lang w:val="en-US"/>
        </w:rPr>
        <w:fldChar w:fldCharType="begin" w:fldLock="1"/>
      </w:r>
      <w:r w:rsidR="00844B4D">
        <w:rPr>
          <w:lang w:val="en-US"/>
        </w:rPr>
        <w:instrText>ADDIN CSL_CITATION { "citationItems" : [ { "id" : "ITEM-1", "itemData" : { "DOI" : "10.1016/j.rser.2012.01.026", "ISSN" : "13640321", "author" : [ { "dropping-particle" : "", "family" : "Singh", "given" : "R.N.", "non-dropping-particle" : "", "parse-names" : false, "suffix" : "" }, { "dropping-particle" : "", "family" : "Sharma", "given" : "Shaishav", "non-dropping-particle" : "", "parse-names" : false, "suffix" : "" } ], "container-title" : "Renewable and Sustainable Energy Reviews", "id" : "ITEM-1", "issue" : "4", "issued" : { "date-parts" : [ [ "2012", "5" ] ] }, "page" : "2347-2353", "publisher" : "Elsevier Ltd", "title" : "Development of suitable photobioreactor for algae production \u2013 A review", "type" : "article-journal", "volume" : "16" }, "uris" : [ "http://www.mendeley.com/documents/?uuid=e45ac31c-04ec-405d-b163-90e3782a554a" ] } ], "mendeley" : { "formattedCitation" : "[25]", "plainTextFormattedCitation" : "[25]", "previouslyFormattedCitation" : "[25]" }, "properties" : { "noteIndex" : 0 }, "schema" : "https://github.com/citation-style-language/schema/raw/master/csl-citation.json" }</w:instrText>
      </w:r>
      <w:r w:rsidR="005A1C74">
        <w:rPr>
          <w:lang w:val="en-US"/>
        </w:rPr>
        <w:fldChar w:fldCharType="separate"/>
      </w:r>
      <w:r w:rsidR="009829B8" w:rsidRPr="009829B8">
        <w:rPr>
          <w:noProof/>
          <w:lang w:val="en-US"/>
        </w:rPr>
        <w:t>[25]</w:t>
      </w:r>
      <w:r w:rsidR="005A1C74">
        <w:rPr>
          <w:lang w:val="en-US"/>
        </w:rPr>
        <w:fldChar w:fldCharType="end"/>
      </w:r>
      <w:r w:rsidR="003A75AF" w:rsidRPr="009550ED">
        <w:rPr>
          <w:lang w:val="en-US"/>
        </w:rPr>
        <w:t>.</w:t>
      </w:r>
    </w:p>
    <w:p w14:paraId="09429D0A" w14:textId="2A6F9004" w:rsidR="00772A53" w:rsidRDefault="00772A53" w:rsidP="00D51C5A">
      <w:pPr>
        <w:pStyle w:val="Paragrafoelenco"/>
        <w:ind w:left="426"/>
        <w:rPr>
          <w:lang w:val="en-US"/>
        </w:rPr>
      </w:pPr>
      <w:r>
        <w:rPr>
          <w:lang w:val="en-US"/>
        </w:rPr>
        <w:t xml:space="preserve">Moreover, in the presented results from SOFCOM plant LCA analysis, the benefit of water purification (nitrates and phosphates removal) is not considered when analyzing the Climate Change impact category. Data on nitrogen and phosphorus balances (available through other LCA impact categories) would underline this positive effect of the PBR system. </w:t>
      </w:r>
    </w:p>
    <w:p w14:paraId="7F159B42" w14:textId="77777777" w:rsidR="00D51C5A" w:rsidRPr="0023201B" w:rsidRDefault="00D51C5A" w:rsidP="0023201B">
      <w:pPr>
        <w:spacing w:after="0"/>
        <w:rPr>
          <w:sz w:val="10"/>
          <w:szCs w:val="10"/>
          <w:lang w:val="en-US"/>
        </w:rPr>
      </w:pPr>
    </w:p>
    <w:p w14:paraId="0EC44373" w14:textId="2EA4B08B" w:rsidR="00807242" w:rsidRPr="007D6F27" w:rsidRDefault="00807242" w:rsidP="007D6F27">
      <w:pPr>
        <w:spacing w:after="0"/>
        <w:rPr>
          <w:b/>
          <w:lang w:val="en-US"/>
        </w:rPr>
      </w:pPr>
      <w:r w:rsidRPr="007D6F27">
        <w:rPr>
          <w:b/>
          <w:lang w:val="en-US"/>
        </w:rPr>
        <w:t xml:space="preserve">Considerations about the interest and effectiveness of the process in </w:t>
      </w:r>
      <w:r w:rsidR="00D51C5A" w:rsidRPr="007D6F27">
        <w:rPr>
          <w:b/>
          <w:lang w:val="en-US"/>
        </w:rPr>
        <w:t xml:space="preserve">relation to the expectations of </w:t>
      </w:r>
      <w:r w:rsidRPr="007D6F27">
        <w:rPr>
          <w:b/>
          <w:lang w:val="en-US"/>
        </w:rPr>
        <w:t>COP21</w:t>
      </w:r>
    </w:p>
    <w:p w14:paraId="3582E094" w14:textId="7054672A" w:rsidR="002C4258" w:rsidRPr="00B37DAE" w:rsidRDefault="00C31B96" w:rsidP="00D51C5A">
      <w:pPr>
        <w:rPr>
          <w:lang w:val="en-US"/>
        </w:rPr>
      </w:pPr>
      <w:r w:rsidRPr="00B37DAE">
        <w:rPr>
          <w:lang w:val="en-US"/>
        </w:rPr>
        <w:t xml:space="preserve">Biogas production </w:t>
      </w:r>
      <w:r w:rsidR="005F4806" w:rsidRPr="00B37DAE">
        <w:rPr>
          <w:lang w:val="en-US"/>
        </w:rPr>
        <w:t>in Europe has been steadily increasing. Looking at historical data of the past 25 years (</w:t>
      </w:r>
      <w:r w:rsidR="008D619E">
        <w:rPr>
          <w:lang w:val="en-US"/>
        </w:rPr>
        <w:fldChar w:fldCharType="begin"/>
      </w:r>
      <w:r w:rsidR="008D619E">
        <w:rPr>
          <w:lang w:val="en-US"/>
        </w:rPr>
        <w:instrText xml:space="preserve"> REF _Ref469581231 \h </w:instrText>
      </w:r>
      <w:r w:rsidR="008D619E">
        <w:rPr>
          <w:lang w:val="en-US"/>
        </w:rPr>
      </w:r>
      <w:r w:rsidR="008D619E">
        <w:rPr>
          <w:lang w:val="en-US"/>
        </w:rPr>
        <w:fldChar w:fldCharType="separate"/>
      </w:r>
      <w:r w:rsidR="008D619E">
        <w:t xml:space="preserve">Figure </w:t>
      </w:r>
      <w:r w:rsidR="008D619E">
        <w:rPr>
          <w:noProof/>
        </w:rPr>
        <w:t>20</w:t>
      </w:r>
      <w:r w:rsidR="008D619E">
        <w:rPr>
          <w:lang w:val="en-US"/>
        </w:rPr>
        <w:fldChar w:fldCharType="end"/>
      </w:r>
      <w:r w:rsidR="005F4806" w:rsidRPr="00B37DAE">
        <w:rPr>
          <w:lang w:val="en-US"/>
        </w:rPr>
        <w:t xml:space="preserve">), the share of biogas toward the overall gross energy consumption in Europe has been increasing with an exponential trend. </w:t>
      </w:r>
      <w:r w:rsidR="00580AFE" w:rsidRPr="00B37DAE">
        <w:rPr>
          <w:lang w:val="en-US"/>
        </w:rPr>
        <w:t xml:space="preserve">In 2014, the overall biogas production was 625,213 TJ (a value more than 20 times greater than biogas production in 1990). </w:t>
      </w:r>
    </w:p>
    <w:p w14:paraId="3820F2B0" w14:textId="3CAE3676" w:rsidR="00580AFE" w:rsidRPr="00B37DAE" w:rsidRDefault="002F6972" w:rsidP="00D51C5A">
      <w:pPr>
        <w:rPr>
          <w:lang w:val="en-US"/>
        </w:rPr>
      </w:pPr>
      <w:r w:rsidRPr="00B37DAE">
        <w:rPr>
          <w:lang w:val="en-US"/>
        </w:rPr>
        <w:t>Regardless</w:t>
      </w:r>
      <w:r w:rsidR="00580AFE" w:rsidRPr="00B37DAE">
        <w:rPr>
          <w:lang w:val="en-US"/>
        </w:rPr>
        <w:t xml:space="preserve"> biogas is burnt in conventional thermal engines</w:t>
      </w:r>
      <w:r w:rsidRPr="00B37DAE">
        <w:rPr>
          <w:lang w:val="en-US"/>
        </w:rPr>
        <w:t>,</w:t>
      </w:r>
      <w:r w:rsidR="00580AFE" w:rsidRPr="00B37DAE">
        <w:rPr>
          <w:lang w:val="en-US"/>
        </w:rPr>
        <w:t xml:space="preserve"> or in more sophisticated fuel cell power modules</w:t>
      </w:r>
      <w:r w:rsidRPr="00B37DAE">
        <w:rPr>
          <w:lang w:val="en-US"/>
        </w:rPr>
        <w:t xml:space="preserve"> without carbon capture</w:t>
      </w:r>
      <w:r w:rsidR="00580AFE" w:rsidRPr="00B37DAE">
        <w:rPr>
          <w:lang w:val="en-US"/>
        </w:rPr>
        <w:t xml:space="preserve">, </w:t>
      </w:r>
      <w:r w:rsidRPr="00B37DAE">
        <w:rPr>
          <w:lang w:val="en-US"/>
        </w:rPr>
        <w:t xml:space="preserve">all </w:t>
      </w:r>
      <w:r w:rsidR="00580AFE" w:rsidRPr="00B37DAE">
        <w:rPr>
          <w:lang w:val="en-US"/>
        </w:rPr>
        <w:t>the</w:t>
      </w:r>
      <w:r w:rsidRPr="00B37DAE">
        <w:rPr>
          <w:lang w:val="en-US"/>
        </w:rPr>
        <w:t xml:space="preserve"> carbon contained in it is eventually transformed to CO</w:t>
      </w:r>
      <w:r w:rsidRPr="00B37DAE">
        <w:rPr>
          <w:vertAlign w:val="subscript"/>
          <w:lang w:val="en-US"/>
        </w:rPr>
        <w:t>2</w:t>
      </w:r>
      <w:r w:rsidRPr="00B37DAE">
        <w:rPr>
          <w:lang w:val="en-US"/>
        </w:rPr>
        <w:t xml:space="preserve">. </w:t>
      </w:r>
    </w:p>
    <w:p w14:paraId="711C3AB3" w14:textId="77777777" w:rsidR="008D619E" w:rsidRDefault="007C5B8C" w:rsidP="008D619E">
      <w:pPr>
        <w:pStyle w:val="Table"/>
        <w:keepNext/>
      </w:pPr>
      <w:r w:rsidRPr="00D51C5A">
        <w:rPr>
          <w:noProof/>
          <w:lang w:val="it-IT"/>
        </w:rPr>
        <w:lastRenderedPageBreak/>
        <w:drawing>
          <wp:inline distT="0" distB="0" distL="0" distR="0" wp14:anchorId="13647FE7" wp14:editId="0810CE29">
            <wp:extent cx="4578350" cy="2489200"/>
            <wp:effectExtent l="0" t="0" r="0" b="635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5E7CA395" w14:textId="10250CEB" w:rsidR="005F4806" w:rsidRPr="00435E75" w:rsidRDefault="008D619E" w:rsidP="005F4806">
      <w:pPr>
        <w:pStyle w:val="Didascalia"/>
      </w:pPr>
      <w:bookmarkStart w:id="32" w:name="_Ref469581231"/>
      <w:r>
        <w:t xml:space="preserve">Figure </w:t>
      </w:r>
      <w:r>
        <w:fldChar w:fldCharType="begin"/>
      </w:r>
      <w:r>
        <w:instrText xml:space="preserve"> SEQ Figure \* ARABIC </w:instrText>
      </w:r>
      <w:r>
        <w:fldChar w:fldCharType="separate"/>
      </w:r>
      <w:r>
        <w:rPr>
          <w:noProof/>
        </w:rPr>
        <w:t>20</w:t>
      </w:r>
      <w:r>
        <w:fldChar w:fldCharType="end"/>
      </w:r>
      <w:bookmarkEnd w:id="32"/>
      <w:r w:rsidR="005F4806" w:rsidRPr="00435E75">
        <w:t>. Share of biogas to the overall energy consumption in EU-28 zone (red line: actual data; black dashed line: exponential fit).</w:t>
      </w:r>
      <w:r w:rsidR="00631F0F" w:rsidRPr="00435E75">
        <w:t xml:space="preserve"> Source of data: EUROSTAT database (http://ec.europa.eu/eurostat/web/energy/data/database).</w:t>
      </w:r>
      <w:r w:rsidR="005F4806" w:rsidRPr="00435E75">
        <w:t xml:space="preserve"> </w:t>
      </w:r>
    </w:p>
    <w:p w14:paraId="16AA7689" w14:textId="2059C76E" w:rsidR="00631F0F" w:rsidRDefault="00631F0F" w:rsidP="00631F0F">
      <w:r w:rsidRPr="00B37DAE">
        <w:t>Assuming an average biogas composition of 60% vol. CH</w:t>
      </w:r>
      <w:r w:rsidRPr="00B37DAE">
        <w:rPr>
          <w:vertAlign w:val="subscript"/>
        </w:rPr>
        <w:t>4</w:t>
      </w:r>
      <w:r w:rsidRPr="00B37DAE">
        <w:t xml:space="preserve"> and 40% vol. CO</w:t>
      </w:r>
      <w:r w:rsidRPr="00B37DAE">
        <w:rPr>
          <w:vertAlign w:val="subscript"/>
        </w:rPr>
        <w:t>2</w:t>
      </w:r>
      <w:r w:rsidRPr="00B37DAE">
        <w:t xml:space="preserve">, the overall energy biogas production translates into 35.4 </w:t>
      </w:r>
      <w:proofErr w:type="spellStart"/>
      <w:r w:rsidRPr="00B37DAE">
        <w:t>Mton</w:t>
      </w:r>
      <w:proofErr w:type="spellEnd"/>
      <w:r w:rsidRPr="00B37DAE">
        <w:t xml:space="preserve"> of gas. This amount yields an overall CO</w:t>
      </w:r>
      <w:r w:rsidRPr="00B37DAE">
        <w:rPr>
          <w:vertAlign w:val="subscript"/>
        </w:rPr>
        <w:t>2</w:t>
      </w:r>
      <w:r w:rsidRPr="00B37DAE">
        <w:t xml:space="preserve"> emission of about 57 </w:t>
      </w:r>
      <w:proofErr w:type="spellStart"/>
      <w:r w:rsidRPr="00B37DAE">
        <w:t>Mton</w:t>
      </w:r>
      <w:proofErr w:type="spellEnd"/>
      <w:r w:rsidRPr="00B37DAE">
        <w:t xml:space="preserve"> assuming complete fuel burning (or oxidation) in engines (or fuel cell), or in conventional gas boilers. </w:t>
      </w:r>
      <w:r w:rsidR="00A458E8" w:rsidRPr="00B37DAE">
        <w:t>Carbon capture in integrated SOFC-CCS plants would thus entail a large potential of CO</w:t>
      </w:r>
      <w:r w:rsidR="00A458E8" w:rsidRPr="00B37DAE">
        <w:rPr>
          <w:vertAlign w:val="subscript"/>
        </w:rPr>
        <w:t>2</w:t>
      </w:r>
      <w:r w:rsidR="00A458E8" w:rsidRPr="00B37DAE">
        <w:t xml:space="preserve"> emissions cut. In fact, 57 </w:t>
      </w:r>
      <w:proofErr w:type="spellStart"/>
      <w:r w:rsidR="00A458E8" w:rsidRPr="00B37DAE">
        <w:t>Mton</w:t>
      </w:r>
      <w:proofErr w:type="spellEnd"/>
      <w:r w:rsidR="00A458E8" w:rsidRPr="00B37DAE">
        <w:t xml:space="preserve"> of CO</w:t>
      </w:r>
      <w:r w:rsidR="00A458E8" w:rsidRPr="00B37DAE">
        <w:rPr>
          <w:vertAlign w:val="subscript"/>
        </w:rPr>
        <w:t>2</w:t>
      </w:r>
      <w:r w:rsidR="00A458E8" w:rsidRPr="00B37DAE">
        <w:t xml:space="preserve"> represents 1.6% of the overall</w:t>
      </w:r>
      <w:r w:rsidR="00D04A29" w:rsidRPr="00B37DAE">
        <w:t xml:space="preserve"> EU-28 GHG</w:t>
      </w:r>
      <w:r w:rsidR="00A458E8" w:rsidRPr="00B37DAE">
        <w:t xml:space="preserve"> emissions in 2013.</w:t>
      </w:r>
      <w:r w:rsidR="00B37DAE" w:rsidRPr="00B37DAE">
        <w:t xml:space="preserve"> As the biogas is CO</w:t>
      </w:r>
      <w:r w:rsidR="00B37DAE" w:rsidRPr="00B37DAE">
        <w:rPr>
          <w:vertAlign w:val="subscript"/>
        </w:rPr>
        <w:t>2</w:t>
      </w:r>
      <w:r w:rsidR="00B37DAE" w:rsidRPr="00B37DAE">
        <w:t xml:space="preserve">-neutral, </w:t>
      </w:r>
      <w:r w:rsidR="00D51C5A" w:rsidRPr="00B37DAE">
        <w:t>these quantities</w:t>
      </w:r>
      <w:r w:rsidR="00B37DAE" w:rsidRPr="00B37DAE">
        <w:t xml:space="preserve"> can be considered as “negative” CO</w:t>
      </w:r>
      <w:r w:rsidR="00B37DAE" w:rsidRPr="00B37DAE">
        <w:rPr>
          <w:vertAlign w:val="subscript"/>
        </w:rPr>
        <w:t>2</w:t>
      </w:r>
      <w:r w:rsidR="00B37DAE" w:rsidRPr="00B37DAE">
        <w:t>, recovered in compensation to other CO</w:t>
      </w:r>
      <w:r w:rsidR="00B37DAE" w:rsidRPr="00B37DAE">
        <w:rPr>
          <w:vertAlign w:val="subscript"/>
        </w:rPr>
        <w:t>2</w:t>
      </w:r>
      <w:r w:rsidR="00B37DAE" w:rsidRPr="00B37DAE">
        <w:t xml:space="preserve"> sources from fossils. The amount is thus not negligible at the EU scale.</w:t>
      </w:r>
    </w:p>
    <w:p w14:paraId="33723F6C" w14:textId="77777777" w:rsidR="00EF3673" w:rsidRDefault="00292380" w:rsidP="00292380">
      <w:pPr>
        <w:pStyle w:val="Titolo2"/>
        <w:rPr>
          <w:lang w:val="en-US"/>
        </w:rPr>
      </w:pPr>
      <w:r>
        <w:rPr>
          <w:lang w:val="en-US"/>
        </w:rPr>
        <w:t>Conclusions</w:t>
      </w:r>
      <w:r w:rsidR="00B6723D">
        <w:rPr>
          <w:lang w:val="en-US"/>
        </w:rPr>
        <w:t xml:space="preserve"> </w:t>
      </w:r>
    </w:p>
    <w:p w14:paraId="40F7E435" w14:textId="797CD304" w:rsidR="00122413" w:rsidRDefault="00EF60A6" w:rsidP="00D51C5A">
      <w:pPr>
        <w:spacing w:after="0"/>
        <w:rPr>
          <w:lang w:val="en-US"/>
        </w:rPr>
      </w:pPr>
      <w:r w:rsidRPr="0023201B">
        <w:rPr>
          <w:lang w:val="en-US"/>
        </w:rPr>
        <w:t>In the context of the paradigm of Carbon Recovery and Re-utilization (or C</w:t>
      </w:r>
      <w:r w:rsidR="00CF3CCB" w:rsidRPr="0023201B">
        <w:rPr>
          <w:lang w:val="en-US"/>
        </w:rPr>
        <w:t>R</w:t>
      </w:r>
      <w:r w:rsidRPr="0023201B">
        <w:rPr>
          <w:lang w:val="en-US"/>
        </w:rPr>
        <w:t xml:space="preserve">R), </w:t>
      </w:r>
      <w:r w:rsidR="00CF3CCB" w:rsidRPr="0023201B">
        <w:rPr>
          <w:lang w:val="en-US"/>
        </w:rPr>
        <w:t xml:space="preserve">this work </w:t>
      </w:r>
      <w:r w:rsidR="003E142C">
        <w:rPr>
          <w:lang w:val="en-US"/>
        </w:rPr>
        <w:t>focused on the</w:t>
      </w:r>
      <w:r w:rsidRPr="0023201B">
        <w:rPr>
          <w:lang w:val="en-US"/>
        </w:rPr>
        <w:t xml:space="preserve"> role of electrochemical generators (such as SOFC) to perform C</w:t>
      </w:r>
      <w:r w:rsidR="00CF3CCB" w:rsidRPr="0023201B">
        <w:rPr>
          <w:lang w:val="en-US"/>
        </w:rPr>
        <w:t>R</w:t>
      </w:r>
      <w:r w:rsidRPr="0023201B">
        <w:rPr>
          <w:lang w:val="en-US"/>
        </w:rPr>
        <w:t>R as an efficient secondary effect. In part</w:t>
      </w:r>
      <w:r w:rsidR="00CF3CCB" w:rsidRPr="0023201B">
        <w:rPr>
          <w:lang w:val="en-US"/>
        </w:rPr>
        <w:t xml:space="preserve">icular, results of the </w:t>
      </w:r>
      <w:r w:rsidRPr="0023201B">
        <w:rPr>
          <w:lang w:val="en-US"/>
        </w:rPr>
        <w:t xml:space="preserve">first SOFC-based poly-generation system with </w:t>
      </w:r>
      <w:r w:rsidR="004B0758" w:rsidRPr="0023201B">
        <w:rPr>
          <w:lang w:val="en-US"/>
        </w:rPr>
        <w:t>c</w:t>
      </w:r>
      <w:r w:rsidRPr="0023201B">
        <w:rPr>
          <w:lang w:val="en-US"/>
        </w:rPr>
        <w:t>omplete CO</w:t>
      </w:r>
      <w:r w:rsidRPr="0023201B">
        <w:rPr>
          <w:vertAlign w:val="subscript"/>
          <w:lang w:val="en-US"/>
        </w:rPr>
        <w:t>2</w:t>
      </w:r>
      <w:r w:rsidRPr="0023201B">
        <w:rPr>
          <w:lang w:val="en-US"/>
        </w:rPr>
        <w:t xml:space="preserve"> recovery in form of fas</w:t>
      </w:r>
      <w:r w:rsidR="004B0758" w:rsidRPr="0023201B">
        <w:rPr>
          <w:lang w:val="en-US"/>
        </w:rPr>
        <w:t>t-growing biomass (micro-algae)</w:t>
      </w:r>
      <w:r w:rsidR="00CF3CCB" w:rsidRPr="0023201B">
        <w:rPr>
          <w:lang w:val="en-US"/>
        </w:rPr>
        <w:t xml:space="preserve"> are presented</w:t>
      </w:r>
      <w:r w:rsidR="004B0758" w:rsidRPr="0023201B">
        <w:rPr>
          <w:lang w:val="en-US"/>
        </w:rPr>
        <w:t xml:space="preserve">, </w:t>
      </w:r>
      <w:r w:rsidR="00CF3CCB" w:rsidRPr="0023201B">
        <w:rPr>
          <w:lang w:val="en-US"/>
        </w:rPr>
        <w:t xml:space="preserve">as </w:t>
      </w:r>
      <w:r w:rsidR="004B0758" w:rsidRPr="0023201B">
        <w:rPr>
          <w:lang w:val="en-US"/>
        </w:rPr>
        <w:t>developed in the EU-funded project SOFCOM.</w:t>
      </w:r>
      <w:r w:rsidR="004B0758">
        <w:rPr>
          <w:lang w:val="en-US"/>
        </w:rPr>
        <w:t xml:space="preserve"> </w:t>
      </w:r>
    </w:p>
    <w:p w14:paraId="723302E5" w14:textId="3766B69D" w:rsidR="004B0758" w:rsidRDefault="004B0758" w:rsidP="00D51C5A">
      <w:pPr>
        <w:spacing w:after="0"/>
        <w:rPr>
          <w:lang w:val="en-US"/>
        </w:rPr>
      </w:pPr>
      <w:r>
        <w:rPr>
          <w:lang w:val="en-US"/>
        </w:rPr>
        <w:t>From the technological point of view, the main lessons learned from the experience of the SOFCOM proof-of-concept</w:t>
      </w:r>
      <w:r w:rsidR="00CF3CCB">
        <w:rPr>
          <w:lang w:val="en-US"/>
        </w:rPr>
        <w:t xml:space="preserve"> are</w:t>
      </w:r>
      <w:r>
        <w:rPr>
          <w:lang w:val="en-US"/>
        </w:rPr>
        <w:t>:</w:t>
      </w:r>
    </w:p>
    <w:p w14:paraId="36865B76" w14:textId="0022FDC2" w:rsidR="004B0758" w:rsidRPr="00EA7805" w:rsidRDefault="004B0758" w:rsidP="0023201B">
      <w:pPr>
        <w:pStyle w:val="Paragrafoelenco"/>
        <w:numPr>
          <w:ilvl w:val="0"/>
          <w:numId w:val="24"/>
        </w:numPr>
        <w:ind w:left="709" w:hanging="283"/>
        <w:rPr>
          <w:lang w:val="en-US"/>
        </w:rPr>
      </w:pPr>
      <w:r w:rsidRPr="00EA7805">
        <w:rPr>
          <w:lang w:val="en-US"/>
        </w:rPr>
        <w:t xml:space="preserve">the oxy-combustion step </w:t>
      </w:r>
      <w:r w:rsidR="003E142C">
        <w:rPr>
          <w:lang w:val="en-US"/>
        </w:rPr>
        <w:t>does not present</w:t>
      </w:r>
      <w:r w:rsidRPr="00EA7805">
        <w:rPr>
          <w:lang w:val="en-US"/>
        </w:rPr>
        <w:t xml:space="preserve"> technical </w:t>
      </w:r>
      <w:r w:rsidR="003E142C">
        <w:rPr>
          <w:lang w:val="en-US"/>
        </w:rPr>
        <w:t>limitations</w:t>
      </w:r>
      <w:r w:rsidRPr="00EA7805">
        <w:rPr>
          <w:lang w:val="en-US"/>
        </w:rPr>
        <w:t>, but it can be enhanced with some improved management of the plant: (a) in order to reduce the amount of residual H</w:t>
      </w:r>
      <w:r w:rsidRPr="00EA7805">
        <w:rPr>
          <w:vertAlign w:val="subscript"/>
          <w:lang w:val="en-US"/>
        </w:rPr>
        <w:t>2</w:t>
      </w:r>
      <w:r w:rsidRPr="00EA7805">
        <w:rPr>
          <w:lang w:val="en-US"/>
        </w:rPr>
        <w:t xml:space="preserve"> and CO in the anode exhaust, operate the SOFC at a higher Fuel Utilization; (b) in order to fully oxidize the residual H</w:t>
      </w:r>
      <w:r w:rsidRPr="00EA7805">
        <w:rPr>
          <w:vertAlign w:val="subscript"/>
          <w:lang w:val="en-US"/>
        </w:rPr>
        <w:t>2</w:t>
      </w:r>
      <w:r w:rsidRPr="00EA7805">
        <w:rPr>
          <w:lang w:val="en-US"/>
        </w:rPr>
        <w:t xml:space="preserve"> and CO molecules, make use of the O</w:t>
      </w:r>
      <w:r w:rsidRPr="00EA7805">
        <w:rPr>
          <w:vertAlign w:val="subscript"/>
          <w:lang w:val="en-US"/>
        </w:rPr>
        <w:t>2</w:t>
      </w:r>
      <w:r w:rsidRPr="00EA7805">
        <w:rPr>
          <w:lang w:val="en-US"/>
        </w:rPr>
        <w:t xml:space="preserve"> recovered from the downstream photo-bio-reactor, coming from the algae photosynthetic reaction</w:t>
      </w:r>
    </w:p>
    <w:p w14:paraId="39E122E3" w14:textId="0144BD79" w:rsidR="004B0758" w:rsidRPr="00EA7805" w:rsidRDefault="004B0758" w:rsidP="0023201B">
      <w:pPr>
        <w:pStyle w:val="Paragrafoelenco"/>
        <w:numPr>
          <w:ilvl w:val="0"/>
          <w:numId w:val="24"/>
        </w:numPr>
        <w:ind w:left="709" w:hanging="283"/>
        <w:rPr>
          <w:lang w:val="en-US"/>
        </w:rPr>
      </w:pPr>
      <w:r w:rsidRPr="00EA7805">
        <w:rPr>
          <w:lang w:val="en-US"/>
        </w:rPr>
        <w:t>the H</w:t>
      </w:r>
      <w:r w:rsidRPr="00EA7805">
        <w:rPr>
          <w:vertAlign w:val="subscript"/>
          <w:lang w:val="en-US"/>
        </w:rPr>
        <w:t>2</w:t>
      </w:r>
      <w:r w:rsidRPr="00EA7805">
        <w:rPr>
          <w:lang w:val="en-US"/>
        </w:rPr>
        <w:t>O separation step is not problematic from the technical point of view</w:t>
      </w:r>
      <w:r w:rsidR="003E142C">
        <w:rPr>
          <w:lang w:val="en-US"/>
        </w:rPr>
        <w:t xml:space="preserve">. A possible solution </w:t>
      </w:r>
      <w:r w:rsidRPr="00EA7805">
        <w:rPr>
          <w:lang w:val="en-US"/>
        </w:rPr>
        <w:t xml:space="preserve"> to reduce the energy cost related to the compression of the mixture before the membrane separator could be to operate the whole process in pressure</w:t>
      </w:r>
    </w:p>
    <w:p w14:paraId="4358828E" w14:textId="46F03656" w:rsidR="004B0758" w:rsidRPr="00EA7805" w:rsidRDefault="004B0758" w:rsidP="0023201B">
      <w:pPr>
        <w:pStyle w:val="Paragrafoelenco"/>
        <w:numPr>
          <w:ilvl w:val="0"/>
          <w:numId w:val="24"/>
        </w:numPr>
        <w:ind w:left="709" w:hanging="283"/>
        <w:rPr>
          <w:lang w:val="en-US"/>
        </w:rPr>
      </w:pPr>
      <w:r w:rsidRPr="00EA7805">
        <w:rPr>
          <w:lang w:val="en-US"/>
        </w:rPr>
        <w:lastRenderedPageBreak/>
        <w:t xml:space="preserve">the </w:t>
      </w:r>
      <w:r w:rsidR="003E142C">
        <w:rPr>
          <w:lang w:val="en-US"/>
        </w:rPr>
        <w:t>PBR</w:t>
      </w:r>
      <w:r w:rsidRPr="00EA7805">
        <w:rPr>
          <w:lang w:val="en-US"/>
        </w:rPr>
        <w:t xml:space="preserve">, has revealed as the most problematic component of the chain: (a) the productivity of the PBR in terms of micro-algae has </w:t>
      </w:r>
      <w:r w:rsidR="003E142C">
        <w:rPr>
          <w:lang w:val="en-US"/>
        </w:rPr>
        <w:t>proven to be</w:t>
      </w:r>
      <w:r w:rsidRPr="00EA7805">
        <w:rPr>
          <w:lang w:val="en-US"/>
        </w:rPr>
        <w:t xml:space="preserve"> </w:t>
      </w:r>
      <w:r w:rsidR="00CF3CCB">
        <w:rPr>
          <w:lang w:val="en-US"/>
        </w:rPr>
        <w:t>satisfactory</w:t>
      </w:r>
      <w:r w:rsidR="00EA7805" w:rsidRPr="00EA7805">
        <w:rPr>
          <w:lang w:val="en-US"/>
        </w:rPr>
        <w:t xml:space="preserve"> (maximum cumulated value </w:t>
      </w:r>
      <w:r w:rsidR="00EA7805" w:rsidRPr="0009797C">
        <w:rPr>
          <w:lang w:val="en-US"/>
        </w:rPr>
        <w:t>18.8 g/m</w:t>
      </w:r>
      <w:r w:rsidR="00EA7805" w:rsidRPr="0009797C">
        <w:rPr>
          <w:vertAlign w:val="superscript"/>
          <w:lang w:val="en-US"/>
        </w:rPr>
        <w:t>2</w:t>
      </w:r>
      <w:r w:rsidR="00EA7805" w:rsidRPr="0009797C">
        <w:rPr>
          <w:lang w:val="en-US"/>
        </w:rPr>
        <w:t>/day)</w:t>
      </w:r>
      <w:r w:rsidRPr="0009797C">
        <w:rPr>
          <w:lang w:val="en-US"/>
        </w:rPr>
        <w:t xml:space="preserve">, </w:t>
      </w:r>
      <w:r w:rsidR="00CF3CCB">
        <w:rPr>
          <w:lang w:val="en-US"/>
        </w:rPr>
        <w:t>even though it might be further improved</w:t>
      </w:r>
      <w:r w:rsidRPr="0009797C">
        <w:rPr>
          <w:lang w:val="en-US"/>
        </w:rPr>
        <w:t xml:space="preserve">; </w:t>
      </w:r>
      <w:r w:rsidR="00EA7805" w:rsidRPr="0009797C">
        <w:rPr>
          <w:lang w:val="en-US"/>
        </w:rPr>
        <w:t>(b) the energy consumption of the PBR (</w:t>
      </w:r>
      <w:r w:rsidR="003A75AF" w:rsidRPr="0009797C">
        <w:rPr>
          <w:lang w:val="en-US"/>
        </w:rPr>
        <w:t>around 9 W/m</w:t>
      </w:r>
      <w:r w:rsidR="003A75AF" w:rsidRPr="0009797C">
        <w:rPr>
          <w:vertAlign w:val="superscript"/>
          <w:lang w:val="en-US"/>
        </w:rPr>
        <w:t>2</w:t>
      </w:r>
      <w:r w:rsidR="003A75AF" w:rsidRPr="0009797C">
        <w:rPr>
          <w:lang w:val="en-US"/>
        </w:rPr>
        <w:t xml:space="preserve">) </w:t>
      </w:r>
      <w:r w:rsidR="003E142C">
        <w:rPr>
          <w:lang w:val="en-US"/>
        </w:rPr>
        <w:t>is</w:t>
      </w:r>
      <w:r w:rsidR="00EA7805" w:rsidRPr="0009797C">
        <w:rPr>
          <w:lang w:val="en-US"/>
        </w:rPr>
        <w:t xml:space="preserve"> </w:t>
      </w:r>
      <w:r w:rsidR="007D6F27">
        <w:rPr>
          <w:lang w:val="en-US"/>
        </w:rPr>
        <w:t>too high</w:t>
      </w:r>
      <w:r w:rsidR="003E142C">
        <w:rPr>
          <w:lang w:val="en-US"/>
        </w:rPr>
        <w:t xml:space="preserve"> and should be reduced</w:t>
      </w:r>
      <w:r w:rsidR="00EA7805" w:rsidRPr="00EA7805">
        <w:rPr>
          <w:lang w:val="en-US"/>
        </w:rPr>
        <w:t xml:space="preserve">; (c) the micro-algae tend to </w:t>
      </w:r>
      <w:r w:rsidR="007D6F27">
        <w:rPr>
          <w:lang w:val="en-US"/>
        </w:rPr>
        <w:t>stick</w:t>
      </w:r>
      <w:r w:rsidR="00EA7805" w:rsidRPr="00EA7805">
        <w:rPr>
          <w:lang w:val="en-US"/>
        </w:rPr>
        <w:t xml:space="preserve"> to the surface of the tubes, and this adhesion has to </w:t>
      </w:r>
      <w:r w:rsidR="00EA7805" w:rsidRPr="003A17BC">
        <w:rPr>
          <w:noProof/>
          <w:lang w:val="en-US"/>
        </w:rPr>
        <w:t>be reduced</w:t>
      </w:r>
      <w:r w:rsidR="003E142C">
        <w:rPr>
          <w:lang w:val="en-US"/>
        </w:rPr>
        <w:t xml:space="preserve"> as it precludes further microalgae growth</w:t>
      </w:r>
      <w:r w:rsidR="00EA7805" w:rsidRPr="00EA7805">
        <w:rPr>
          <w:lang w:val="en-US"/>
        </w:rPr>
        <w:t>; (d) there is the necessity to control the injection of CO</w:t>
      </w:r>
      <w:r w:rsidR="00EA7805" w:rsidRPr="00EA7805">
        <w:rPr>
          <w:vertAlign w:val="subscript"/>
          <w:lang w:val="en-US"/>
        </w:rPr>
        <w:t>2</w:t>
      </w:r>
      <w:r w:rsidR="00EA7805" w:rsidRPr="00EA7805">
        <w:rPr>
          <w:lang w:val="en-US"/>
        </w:rPr>
        <w:t xml:space="preserve"> in the water in order to avoid a too high reduction of the local pH, because an acidic water is detrimental for the grow up of mos</w:t>
      </w:r>
      <w:r w:rsidR="00693B7F">
        <w:rPr>
          <w:lang w:val="en-US"/>
        </w:rPr>
        <w:t>t of the typologies of algae; (</w:t>
      </w:r>
      <w:r w:rsidR="00EA7805" w:rsidRPr="00EA7805">
        <w:rPr>
          <w:lang w:val="en-US"/>
        </w:rPr>
        <w:t xml:space="preserve">e) the </w:t>
      </w:r>
      <w:r w:rsidR="003E142C" w:rsidRPr="00EA7805">
        <w:rPr>
          <w:lang w:val="en-US"/>
        </w:rPr>
        <w:t>ne</w:t>
      </w:r>
      <w:r w:rsidR="003E142C">
        <w:rPr>
          <w:lang w:val="en-US"/>
        </w:rPr>
        <w:t>ed</w:t>
      </w:r>
      <w:r w:rsidR="003E142C" w:rsidRPr="00EA7805">
        <w:rPr>
          <w:lang w:val="en-US"/>
        </w:rPr>
        <w:t xml:space="preserve"> </w:t>
      </w:r>
      <w:r w:rsidR="00EA7805" w:rsidRPr="00EA7805">
        <w:rPr>
          <w:lang w:val="en-US"/>
        </w:rPr>
        <w:t>to accumulate the CO</w:t>
      </w:r>
      <w:r w:rsidR="00EA7805" w:rsidRPr="00EA7805">
        <w:rPr>
          <w:vertAlign w:val="subscript"/>
          <w:lang w:val="en-US"/>
        </w:rPr>
        <w:t>2</w:t>
      </w:r>
      <w:r w:rsidR="00EA7805" w:rsidRPr="00EA7805">
        <w:rPr>
          <w:lang w:val="en-US"/>
        </w:rPr>
        <w:t xml:space="preserve"> coming</w:t>
      </w:r>
      <w:r w:rsidR="00631F0F">
        <w:rPr>
          <w:lang w:val="en-US"/>
        </w:rPr>
        <w:t xml:space="preserve"> from the SOFC plant during the </w:t>
      </w:r>
      <w:r w:rsidR="00EA7805" w:rsidRPr="00EA7805">
        <w:rPr>
          <w:lang w:val="en-US"/>
        </w:rPr>
        <w:t>dark periods in a storage buffer</w:t>
      </w:r>
      <w:r w:rsidR="007D6F27">
        <w:rPr>
          <w:lang w:val="en-US"/>
        </w:rPr>
        <w:t>.</w:t>
      </w:r>
    </w:p>
    <w:p w14:paraId="4EB02474" w14:textId="43E21DDF" w:rsidR="00EA7805" w:rsidRDefault="00EA7805" w:rsidP="00D51C5A">
      <w:pPr>
        <w:spacing w:after="0"/>
        <w:rPr>
          <w:lang w:val="en-US"/>
        </w:rPr>
      </w:pPr>
      <w:r w:rsidRPr="0023201B">
        <w:rPr>
          <w:lang w:val="en-US"/>
        </w:rPr>
        <w:t>From the general perspective of C</w:t>
      </w:r>
      <w:r w:rsidR="00CF3CCB" w:rsidRPr="0023201B">
        <w:rPr>
          <w:lang w:val="en-US"/>
        </w:rPr>
        <w:t>R</w:t>
      </w:r>
      <w:r w:rsidRPr="0023201B">
        <w:rPr>
          <w:lang w:val="en-US"/>
        </w:rPr>
        <w:t>R, the main outcomes are:</w:t>
      </w:r>
    </w:p>
    <w:p w14:paraId="4CB1CCC8" w14:textId="2DD54A8F" w:rsidR="00EA7805" w:rsidRPr="00EA7805" w:rsidRDefault="00EA7805" w:rsidP="00D83702">
      <w:pPr>
        <w:pStyle w:val="Paragrafoelenco"/>
        <w:numPr>
          <w:ilvl w:val="0"/>
          <w:numId w:val="24"/>
        </w:numPr>
        <w:ind w:left="709" w:hanging="283"/>
        <w:rPr>
          <w:lang w:val="en-US"/>
        </w:rPr>
      </w:pPr>
      <w:r w:rsidRPr="00EA7805">
        <w:rPr>
          <w:lang w:val="en-US"/>
        </w:rPr>
        <w:t xml:space="preserve">Effectiveness of the micro-algae solution: micro-algae are </w:t>
      </w:r>
      <w:r w:rsidRPr="003A17BC">
        <w:rPr>
          <w:noProof/>
          <w:lang w:val="en-US"/>
        </w:rPr>
        <w:t>really</w:t>
      </w:r>
      <w:r w:rsidRPr="00EA7805">
        <w:rPr>
          <w:lang w:val="en-US"/>
        </w:rPr>
        <w:t xml:space="preserve"> a fast growing biomass (weekly peak of 4.18 W/m</w:t>
      </w:r>
      <w:r w:rsidRPr="00D83702">
        <w:rPr>
          <w:vertAlign w:val="superscript"/>
          <w:lang w:val="en-US"/>
        </w:rPr>
        <w:t>2</w:t>
      </w:r>
      <w:r w:rsidRPr="00EA7805">
        <w:rPr>
          <w:lang w:val="en-US"/>
        </w:rPr>
        <w:t xml:space="preserve"> </w:t>
      </w:r>
      <w:r w:rsidRPr="003A17BC">
        <w:rPr>
          <w:noProof/>
          <w:lang w:val="en-US"/>
        </w:rPr>
        <w:t>in terms of</w:t>
      </w:r>
      <w:r w:rsidRPr="00EA7805">
        <w:rPr>
          <w:lang w:val="en-US"/>
        </w:rPr>
        <w:t xml:space="preserve"> </w:t>
      </w:r>
      <w:r w:rsidRPr="003A17BC">
        <w:rPr>
          <w:noProof/>
          <w:lang w:val="en-US"/>
        </w:rPr>
        <w:t>growing</w:t>
      </w:r>
      <w:r w:rsidRPr="00EA7805">
        <w:rPr>
          <w:lang w:val="en-US"/>
        </w:rPr>
        <w:t xml:space="preserve"> rate)</w:t>
      </w:r>
    </w:p>
    <w:p w14:paraId="2441F709" w14:textId="77777777" w:rsidR="00EA7805" w:rsidRPr="00EA7805" w:rsidRDefault="00EA7805" w:rsidP="00D83702">
      <w:pPr>
        <w:pStyle w:val="Paragrafoelenco"/>
        <w:numPr>
          <w:ilvl w:val="0"/>
          <w:numId w:val="24"/>
        </w:numPr>
        <w:ind w:left="709" w:hanging="283"/>
        <w:rPr>
          <w:lang w:val="en-US"/>
        </w:rPr>
      </w:pPr>
      <w:r w:rsidRPr="00EA7805">
        <w:rPr>
          <w:lang w:val="en-US"/>
        </w:rPr>
        <w:t>Carbon impact of the tested solution: the CO</w:t>
      </w:r>
      <w:r w:rsidRPr="00D83702">
        <w:rPr>
          <w:vertAlign w:val="subscript"/>
          <w:lang w:val="en-US"/>
        </w:rPr>
        <w:t>2</w:t>
      </w:r>
      <w:r w:rsidRPr="00EA7805">
        <w:rPr>
          <w:lang w:val="en-US"/>
        </w:rPr>
        <w:t xml:space="preserve"> emissions from the SOFCOM system are 0 kgCO</w:t>
      </w:r>
      <w:r w:rsidRPr="00D83702">
        <w:rPr>
          <w:vertAlign w:val="subscript"/>
          <w:lang w:val="en-US"/>
        </w:rPr>
        <w:t>2</w:t>
      </w:r>
      <w:r w:rsidRPr="00EA7805">
        <w:rPr>
          <w:lang w:val="en-US"/>
        </w:rPr>
        <w:t>/</w:t>
      </w:r>
      <w:proofErr w:type="spellStart"/>
      <w:r w:rsidRPr="00EA7805">
        <w:rPr>
          <w:lang w:val="en-US"/>
        </w:rPr>
        <w:t>k</w:t>
      </w:r>
      <w:r w:rsidRPr="003A17BC">
        <w:rPr>
          <w:noProof/>
          <w:lang w:val="en-US"/>
        </w:rPr>
        <w:t>Wh</w:t>
      </w:r>
      <w:r w:rsidRPr="003A17BC">
        <w:rPr>
          <w:noProof/>
          <w:vertAlign w:val="subscript"/>
          <w:lang w:val="en-US"/>
        </w:rPr>
        <w:t>el</w:t>
      </w:r>
      <w:proofErr w:type="spellEnd"/>
      <w:r w:rsidRPr="00EA7805">
        <w:rPr>
          <w:lang w:val="en-US"/>
        </w:rPr>
        <w:t>, but only if considering the intermediate buffer able to store the CO</w:t>
      </w:r>
      <w:r w:rsidRPr="00D83702">
        <w:rPr>
          <w:vertAlign w:val="subscript"/>
          <w:lang w:val="en-US"/>
        </w:rPr>
        <w:t>2</w:t>
      </w:r>
      <w:r w:rsidRPr="00EA7805">
        <w:rPr>
          <w:lang w:val="en-US"/>
        </w:rPr>
        <w:t xml:space="preserve"> during the period of null irradiance</w:t>
      </w:r>
    </w:p>
    <w:p w14:paraId="1C22CB46" w14:textId="3B80A5E4" w:rsidR="00EA7805" w:rsidRPr="00B37DAE" w:rsidRDefault="00EA7805" w:rsidP="00D83702">
      <w:pPr>
        <w:pStyle w:val="Paragrafoelenco"/>
        <w:numPr>
          <w:ilvl w:val="0"/>
          <w:numId w:val="24"/>
        </w:numPr>
        <w:ind w:left="709" w:hanging="283"/>
        <w:rPr>
          <w:lang w:val="en-US"/>
        </w:rPr>
      </w:pPr>
      <w:r w:rsidRPr="00B37DAE">
        <w:rPr>
          <w:lang w:val="en-US"/>
        </w:rPr>
        <w:t xml:space="preserve">Considerations about the interest and effectiveness of the process </w:t>
      </w:r>
      <w:r w:rsidRPr="003A17BC">
        <w:rPr>
          <w:noProof/>
          <w:lang w:val="en-US"/>
        </w:rPr>
        <w:t>in relation to</w:t>
      </w:r>
      <w:r w:rsidRPr="00B37DAE">
        <w:rPr>
          <w:lang w:val="en-US"/>
        </w:rPr>
        <w:t xml:space="preserve"> the expectations of COP21: </w:t>
      </w:r>
      <w:r w:rsidR="00D04A29" w:rsidRPr="00B37DAE">
        <w:rPr>
          <w:lang w:val="en-US"/>
        </w:rPr>
        <w:t>carbon capture from biogas power plants can contribute to an overall emissions cut of 1.6% of the current CO</w:t>
      </w:r>
      <w:r w:rsidR="00D04A29" w:rsidRPr="00D83702">
        <w:rPr>
          <w:vertAlign w:val="subscript"/>
          <w:lang w:val="en-US"/>
        </w:rPr>
        <w:t>2</w:t>
      </w:r>
      <w:r w:rsidR="008618AF" w:rsidRPr="00B37DAE">
        <w:rPr>
          <w:lang w:val="en-US"/>
        </w:rPr>
        <w:t>-equivalent</w:t>
      </w:r>
      <w:r w:rsidR="00D04A29" w:rsidRPr="00B37DAE">
        <w:rPr>
          <w:lang w:val="en-US"/>
        </w:rPr>
        <w:t xml:space="preserve"> </w:t>
      </w:r>
      <w:r w:rsidR="008618AF" w:rsidRPr="00B37DAE">
        <w:rPr>
          <w:lang w:val="en-US"/>
        </w:rPr>
        <w:t>emissions in EU-28 zone</w:t>
      </w:r>
      <w:r w:rsidR="00D04A29" w:rsidRPr="00B37DAE">
        <w:rPr>
          <w:lang w:val="en-US"/>
        </w:rPr>
        <w:t>.</w:t>
      </w:r>
    </w:p>
    <w:p w14:paraId="73EF8D26" w14:textId="77777777" w:rsidR="00135874" w:rsidRPr="00135874" w:rsidRDefault="00135874" w:rsidP="00135874">
      <w:pPr>
        <w:pStyle w:val="Titolo2"/>
        <w:numPr>
          <w:ilvl w:val="0"/>
          <w:numId w:val="0"/>
        </w:numPr>
        <w:rPr>
          <w:lang w:val="en-US"/>
        </w:rPr>
      </w:pPr>
      <w:r w:rsidRPr="00135874">
        <w:rPr>
          <w:lang w:val="en-US"/>
        </w:rPr>
        <w:t>Acknowledgements</w:t>
      </w:r>
    </w:p>
    <w:p w14:paraId="0FF65460" w14:textId="5E54C705" w:rsidR="00F64D3C" w:rsidRPr="00135874" w:rsidRDefault="00135874" w:rsidP="00135874">
      <w:pPr>
        <w:spacing w:after="0"/>
        <w:rPr>
          <w:lang w:val="en-US"/>
        </w:rPr>
      </w:pPr>
      <w:r w:rsidRPr="00135874">
        <w:rPr>
          <w:lang w:val="en-US"/>
        </w:rPr>
        <w:t xml:space="preserve">This work has been developed in the framework of the European Union's Seventh Framework Program (FP7/2007-2013) for the Fuel Cells and Hydrogen Joint Technology Initiative under grant agreement number 278798 ‘SOFCOM’ (www.sofcom.eu). </w:t>
      </w:r>
    </w:p>
    <w:p w14:paraId="0B502D79" w14:textId="18CFE0CC" w:rsidR="006060A3" w:rsidRDefault="006060A3" w:rsidP="00C10A58">
      <w:pPr>
        <w:pStyle w:val="Paragrafoelenco"/>
        <w:ind w:left="426"/>
        <w:rPr>
          <w:lang w:val="en-US"/>
        </w:rPr>
      </w:pPr>
    </w:p>
    <w:p w14:paraId="5C9109C1" w14:textId="5719C709" w:rsidR="00BE71BD" w:rsidRPr="000A5880" w:rsidRDefault="00BE71BD" w:rsidP="00461191">
      <w:pPr>
        <w:pStyle w:val="Titolo3"/>
        <w:numPr>
          <w:ilvl w:val="0"/>
          <w:numId w:val="0"/>
        </w:numPr>
        <w:rPr>
          <w:color w:val="4F81BD" w:themeColor="accent1"/>
          <w:lang w:val="en-US"/>
        </w:rPr>
      </w:pPr>
      <w:r w:rsidRPr="000A5880">
        <w:rPr>
          <w:color w:val="4F81BD" w:themeColor="accent1"/>
          <w:lang w:val="en-US"/>
        </w:rPr>
        <w:t>List of symbols</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1"/>
        <w:gridCol w:w="6237"/>
      </w:tblGrid>
      <w:tr w:rsidR="006C39C4" w14:paraId="5543E546" w14:textId="77777777" w:rsidTr="006923B5">
        <w:tc>
          <w:tcPr>
            <w:tcW w:w="1701" w:type="dxa"/>
          </w:tcPr>
          <w:p w14:paraId="505E4924" w14:textId="3E577ECF" w:rsidR="006C39C4" w:rsidRPr="00461191" w:rsidRDefault="00461191" w:rsidP="00461191">
            <w:pPr>
              <w:spacing w:line="240" w:lineRule="auto"/>
              <w:ind w:firstLine="0"/>
              <w:jc w:val="center"/>
              <w:rPr>
                <w:b/>
                <w:lang w:val="en-US"/>
              </w:rPr>
            </w:pPr>
            <w:r w:rsidRPr="00461191">
              <w:rPr>
                <w:b/>
                <w:lang w:val="en-US"/>
              </w:rPr>
              <w:t>Latin</w:t>
            </w:r>
          </w:p>
        </w:tc>
        <w:tc>
          <w:tcPr>
            <w:tcW w:w="6237" w:type="dxa"/>
          </w:tcPr>
          <w:p w14:paraId="4C28D36D" w14:textId="02974260" w:rsidR="006C39C4" w:rsidRDefault="006C39C4" w:rsidP="006C39C4">
            <w:pPr>
              <w:spacing w:line="240" w:lineRule="auto"/>
              <w:ind w:firstLine="0"/>
              <w:rPr>
                <w:lang w:val="en-US"/>
              </w:rPr>
            </w:pPr>
          </w:p>
        </w:tc>
      </w:tr>
      <w:tr w:rsidR="00461191" w14:paraId="69A7705C" w14:textId="77777777" w:rsidTr="006923B5">
        <w:tc>
          <w:tcPr>
            <w:tcW w:w="1701" w:type="dxa"/>
          </w:tcPr>
          <w:p w14:paraId="42C23E9C" w14:textId="2170F053" w:rsidR="00461191" w:rsidRDefault="00461191" w:rsidP="00461191">
            <w:pPr>
              <w:spacing w:line="240" w:lineRule="auto"/>
              <w:ind w:firstLine="0"/>
              <w:rPr>
                <w:rFonts w:eastAsia="Calibri"/>
                <w:lang w:val="en-US"/>
              </w:rPr>
            </w:pPr>
            <m:oMathPara>
              <m:oMath>
                <m:r>
                  <w:rPr>
                    <w:rFonts w:ascii="Cambria Math" w:hAnsi="Cambria Math"/>
                    <w:lang w:val="en-US"/>
                  </w:rPr>
                  <m:t>a</m:t>
                </m:r>
              </m:oMath>
            </m:oMathPara>
          </w:p>
        </w:tc>
        <w:tc>
          <w:tcPr>
            <w:tcW w:w="6237" w:type="dxa"/>
          </w:tcPr>
          <w:p w14:paraId="30E8AFA7" w14:textId="04C054FB" w:rsidR="00461191" w:rsidRDefault="00461191" w:rsidP="00461191">
            <w:pPr>
              <w:spacing w:line="240" w:lineRule="auto"/>
              <w:ind w:firstLine="0"/>
              <w:rPr>
                <w:lang w:val="en-US"/>
              </w:rPr>
            </w:pPr>
            <w:r>
              <w:rPr>
                <w:lang w:val="en-US"/>
              </w:rPr>
              <w:t>Gas adsorption coefficient</w:t>
            </w:r>
          </w:p>
        </w:tc>
      </w:tr>
      <w:tr w:rsidR="008109A1" w14:paraId="1D3DAF18" w14:textId="77777777" w:rsidTr="006923B5">
        <w:tc>
          <w:tcPr>
            <w:tcW w:w="1701" w:type="dxa"/>
          </w:tcPr>
          <w:p w14:paraId="45261F09" w14:textId="1C2CABE8" w:rsidR="008109A1" w:rsidRDefault="006A17F1" w:rsidP="008109A1">
            <w:pPr>
              <w:spacing w:line="240" w:lineRule="auto"/>
              <w:ind w:firstLine="0"/>
              <w:rPr>
                <w:rFonts w:eastAsia="Calibri"/>
                <w:lang w:val="en-US"/>
              </w:rPr>
            </w:pPr>
            <m:oMathPara>
              <m:oMath>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sf</m:t>
                    </m:r>
                  </m:sub>
                </m:sSub>
              </m:oMath>
            </m:oMathPara>
          </w:p>
        </w:tc>
        <w:tc>
          <w:tcPr>
            <w:tcW w:w="6237" w:type="dxa"/>
          </w:tcPr>
          <w:p w14:paraId="628180F9" w14:textId="5C6CA1B9" w:rsidR="008109A1" w:rsidRDefault="008109A1" w:rsidP="008109A1">
            <w:pPr>
              <w:spacing w:line="240" w:lineRule="auto"/>
              <w:ind w:firstLine="0"/>
              <w:rPr>
                <w:lang w:val="en-US"/>
              </w:rPr>
            </w:pPr>
            <w:r>
              <w:rPr>
                <w:lang w:val="en-US"/>
              </w:rPr>
              <w:t>Area of the solid-fluid interface per unit volume of porous material</w:t>
            </w:r>
          </w:p>
        </w:tc>
      </w:tr>
      <w:tr w:rsidR="00ED156A" w14:paraId="10AF3776" w14:textId="77777777" w:rsidTr="006923B5">
        <w:tc>
          <w:tcPr>
            <w:tcW w:w="1701" w:type="dxa"/>
          </w:tcPr>
          <w:p w14:paraId="0F127237" w14:textId="46B0197F" w:rsidR="00ED156A" w:rsidRDefault="00ED156A" w:rsidP="00461191">
            <w:pPr>
              <w:spacing w:line="240" w:lineRule="auto"/>
              <w:ind w:firstLine="0"/>
              <w:rPr>
                <w:rFonts w:eastAsia="Calibri"/>
                <w:lang w:val="en-US"/>
              </w:rPr>
            </w:pPr>
            <m:oMathPara>
              <m:oMath>
                <m:r>
                  <w:rPr>
                    <w:rFonts w:ascii="Cambria Math" w:hAnsi="Cambria Math"/>
                  </w:rPr>
                  <m:t>Δ</m:t>
                </m:r>
                <m:r>
                  <m:rPr>
                    <m:sty m:val="p"/>
                  </m:rPr>
                  <w:rPr>
                    <w:rStyle w:val="FormatvorlageCambriaMathKursiv"/>
                  </w:rPr>
                  <m:t>A</m:t>
                </m:r>
              </m:oMath>
            </m:oMathPara>
          </w:p>
        </w:tc>
        <w:tc>
          <w:tcPr>
            <w:tcW w:w="6237" w:type="dxa"/>
          </w:tcPr>
          <w:p w14:paraId="51B465B8" w14:textId="021DAAA1" w:rsidR="00ED156A" w:rsidRDefault="00ED156A" w:rsidP="00ED156A">
            <w:pPr>
              <w:spacing w:line="240" w:lineRule="auto"/>
              <w:ind w:firstLine="0"/>
              <w:rPr>
                <w:lang w:val="en-US"/>
              </w:rPr>
            </w:pPr>
            <w:r>
              <w:rPr>
                <w:rFonts w:eastAsiaTheme="minorEastAsia"/>
                <w:lang w:val="en-US"/>
              </w:rPr>
              <w:t>Total</w:t>
            </w:r>
            <w:r w:rsidRPr="00802745">
              <w:rPr>
                <w:rFonts w:eastAsiaTheme="minorEastAsia"/>
                <w:lang w:val="en-US"/>
              </w:rPr>
              <w:t xml:space="preserve"> tube surface </w:t>
            </w:r>
          </w:p>
        </w:tc>
      </w:tr>
      <w:tr w:rsidR="00461191" w14:paraId="0C84F6DD" w14:textId="77777777" w:rsidTr="006923B5">
        <w:tc>
          <w:tcPr>
            <w:tcW w:w="1701" w:type="dxa"/>
          </w:tcPr>
          <w:p w14:paraId="1EF4A135" w14:textId="6A926A6B" w:rsidR="00461191" w:rsidRPr="002C5417" w:rsidRDefault="006A17F1" w:rsidP="00461191">
            <w:pPr>
              <w:spacing w:line="240" w:lineRule="auto"/>
              <w:ind w:firstLine="0"/>
              <w:rPr>
                <w:rFonts w:eastAsia="Calibri"/>
                <w:lang w:val="en-US"/>
              </w:rPr>
            </w:pPr>
            <m:oMathPara>
              <m:oMath>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p</m:t>
                    </m:r>
                  </m:sub>
                </m:sSub>
              </m:oMath>
            </m:oMathPara>
          </w:p>
        </w:tc>
        <w:tc>
          <w:tcPr>
            <w:tcW w:w="6237" w:type="dxa"/>
          </w:tcPr>
          <w:p w14:paraId="29D932F7" w14:textId="0E0969E2" w:rsidR="00461191" w:rsidRDefault="00461191" w:rsidP="00461191">
            <w:pPr>
              <w:spacing w:line="240" w:lineRule="auto"/>
              <w:ind w:firstLine="0"/>
              <w:rPr>
                <w:lang w:val="en-US"/>
              </w:rPr>
            </w:pPr>
            <w:r>
              <w:rPr>
                <w:lang w:val="en-US"/>
              </w:rPr>
              <w:t>Heat capacity at constant pressure</w:t>
            </w:r>
          </w:p>
        </w:tc>
      </w:tr>
      <w:tr w:rsidR="00ED156A" w14:paraId="0EA5F98C" w14:textId="77777777" w:rsidTr="006923B5">
        <w:tc>
          <w:tcPr>
            <w:tcW w:w="1701" w:type="dxa"/>
          </w:tcPr>
          <w:p w14:paraId="6B6A2397" w14:textId="24381FC2" w:rsidR="00ED156A" w:rsidRPr="002C5417" w:rsidRDefault="006A17F1" w:rsidP="00461191">
            <w:pPr>
              <w:spacing w:line="240" w:lineRule="auto"/>
              <w:ind w:firstLine="0"/>
              <w:rPr>
                <w:rFonts w:eastAsia="Calibri"/>
                <w:lang w:val="en-US"/>
              </w:rPr>
            </w:pPr>
            <m:oMathPara>
              <m:oMath>
                <m:sSub>
                  <m:sSubPr>
                    <m:ctrlPr>
                      <w:rPr>
                        <w:rFonts w:ascii="Cambria Math" w:eastAsia="Calibri" w:hAnsi="Cambria Math"/>
                        <w:i/>
                        <w:lang w:val="en-US"/>
                      </w:rPr>
                    </m:ctrlPr>
                  </m:sSubPr>
                  <m:e>
                    <m:r>
                      <w:rPr>
                        <w:rFonts w:ascii="Cambria Math" w:eastAsia="Calibri" w:hAnsi="Cambria Math"/>
                        <w:lang w:val="en-US"/>
                      </w:rPr>
                      <m:t>C</m:t>
                    </m:r>
                  </m:e>
                  <m:sub>
                    <m:r>
                      <w:rPr>
                        <w:rFonts w:ascii="Cambria Math" w:eastAsia="Calibri" w:hAnsi="Cambria Math"/>
                        <w:lang w:val="en-US"/>
                      </w:rPr>
                      <m:t>2</m:t>
                    </m:r>
                  </m:sub>
                </m:sSub>
              </m:oMath>
            </m:oMathPara>
          </w:p>
        </w:tc>
        <w:tc>
          <w:tcPr>
            <w:tcW w:w="6237" w:type="dxa"/>
          </w:tcPr>
          <w:p w14:paraId="61E44E8A" w14:textId="1D73EE76" w:rsidR="00ED156A" w:rsidRDefault="00ED156A" w:rsidP="00ED156A">
            <w:pPr>
              <w:spacing w:line="240" w:lineRule="auto"/>
              <w:ind w:firstLine="0"/>
              <w:rPr>
                <w:lang w:val="en-US"/>
              </w:rPr>
            </w:pPr>
            <w:r>
              <w:rPr>
                <w:lang w:val="en-US"/>
              </w:rPr>
              <w:t>I</w:t>
            </w:r>
            <w:r w:rsidRPr="00A366AC">
              <w:rPr>
                <w:lang w:val="en-US"/>
              </w:rPr>
              <w:t>nertial resistance factor</w:t>
            </w:r>
          </w:p>
        </w:tc>
      </w:tr>
      <w:tr w:rsidR="008109A1" w14:paraId="294009CE" w14:textId="77777777" w:rsidTr="006923B5">
        <w:tc>
          <w:tcPr>
            <w:tcW w:w="1701" w:type="dxa"/>
          </w:tcPr>
          <w:p w14:paraId="0CF81394" w14:textId="59FE5D6A" w:rsidR="008109A1" w:rsidRPr="00D06634" w:rsidRDefault="008109A1" w:rsidP="008109A1">
            <w:pPr>
              <w:spacing w:line="240" w:lineRule="auto"/>
              <w:ind w:firstLine="0"/>
              <w:rPr>
                <w:rFonts w:eastAsia="Calibri"/>
                <w:lang w:val="en-US"/>
              </w:rPr>
            </w:pPr>
            <m:oMathPara>
              <m:oMath>
                <m:r>
                  <w:rPr>
                    <w:rFonts w:ascii="Cambria Math" w:eastAsia="Calibri" w:hAnsi="Cambria Math"/>
                    <w:lang w:val="en-US"/>
                  </w:rPr>
                  <m:t>d</m:t>
                </m:r>
              </m:oMath>
            </m:oMathPara>
          </w:p>
        </w:tc>
        <w:tc>
          <w:tcPr>
            <w:tcW w:w="6237" w:type="dxa"/>
          </w:tcPr>
          <w:p w14:paraId="2413DE33" w14:textId="0541C7CA" w:rsidR="008109A1" w:rsidRDefault="008109A1" w:rsidP="00ED156A">
            <w:pPr>
              <w:spacing w:line="240" w:lineRule="auto"/>
              <w:ind w:firstLine="0"/>
              <w:rPr>
                <w:lang w:val="en-US"/>
              </w:rPr>
            </w:pPr>
            <w:r>
              <w:rPr>
                <w:lang w:val="en-US"/>
              </w:rPr>
              <w:t xml:space="preserve">Pore diameter </w:t>
            </w:r>
          </w:p>
        </w:tc>
      </w:tr>
      <w:tr w:rsidR="00461191" w14:paraId="0B5DF3F0" w14:textId="77777777" w:rsidTr="006923B5">
        <w:tc>
          <w:tcPr>
            <w:tcW w:w="1701" w:type="dxa"/>
          </w:tcPr>
          <w:p w14:paraId="28BF7EC1" w14:textId="2A85C02D" w:rsidR="00461191" w:rsidRDefault="006A17F1" w:rsidP="00461191">
            <w:pPr>
              <w:spacing w:line="240" w:lineRule="auto"/>
              <w:ind w:firstLine="0"/>
              <w:rPr>
                <w:lang w:val="en-US"/>
              </w:rPr>
            </w:pPr>
            <m:oMathPara>
              <m:oMath>
                <m:sSub>
                  <m:sSubPr>
                    <m:ctrlPr>
                      <w:rPr>
                        <w:rFonts w:ascii="Cambria Math" w:hAnsi="Cambria Math"/>
                        <w:i/>
                        <w:lang w:val="en-US"/>
                      </w:rPr>
                    </m:ctrlPr>
                  </m:sSubPr>
                  <m:e>
                    <m:r>
                      <w:rPr>
                        <w:rFonts w:ascii="Cambria Math" w:hAnsi="Cambria Math"/>
                        <w:lang w:val="en-US"/>
                      </w:rPr>
                      <m:t>D</m:t>
                    </m:r>
                  </m:e>
                  <m:sub>
                    <m:r>
                      <w:rPr>
                        <w:rFonts w:ascii="Cambria Math" w:hAnsi="Cambria Math"/>
                        <w:lang w:val="en-US"/>
                      </w:rPr>
                      <m:t>k,m</m:t>
                    </m:r>
                  </m:sub>
                </m:sSub>
              </m:oMath>
            </m:oMathPara>
          </w:p>
        </w:tc>
        <w:tc>
          <w:tcPr>
            <w:tcW w:w="6237" w:type="dxa"/>
          </w:tcPr>
          <w:p w14:paraId="556E8129" w14:textId="2B544A71" w:rsidR="00461191" w:rsidRDefault="00461191" w:rsidP="00461191">
            <w:pPr>
              <w:spacing w:line="240" w:lineRule="auto"/>
              <w:ind w:firstLine="0"/>
              <w:rPr>
                <w:lang w:val="en-US"/>
              </w:rPr>
            </w:pPr>
            <w:r>
              <w:rPr>
                <w:lang w:val="en-US"/>
              </w:rPr>
              <w:t xml:space="preserve">Molecular diffusivity of chemical species </w:t>
            </w:r>
            <w:r w:rsidRPr="006C39C4">
              <w:rPr>
                <w:i/>
                <w:lang w:val="en-US"/>
              </w:rPr>
              <w:t>k</w:t>
            </w:r>
            <w:r>
              <w:rPr>
                <w:lang w:val="en-US"/>
              </w:rPr>
              <w:t xml:space="preserve"> in the mixture</w:t>
            </w:r>
          </w:p>
        </w:tc>
      </w:tr>
      <w:tr w:rsidR="00461191" w14:paraId="77EA97C3" w14:textId="77777777" w:rsidTr="006923B5">
        <w:tc>
          <w:tcPr>
            <w:tcW w:w="1701" w:type="dxa"/>
          </w:tcPr>
          <w:p w14:paraId="2E640333" w14:textId="4B633697" w:rsidR="00461191" w:rsidRDefault="006A17F1" w:rsidP="00461191">
            <w:pPr>
              <w:spacing w:line="240" w:lineRule="auto"/>
              <w:ind w:firstLine="0"/>
              <w:rPr>
                <w:lang w:val="en-US"/>
              </w:rPr>
            </w:pPr>
            <m:oMathPara>
              <m:oMath>
                <m:sSub>
                  <m:sSubPr>
                    <m:ctrlPr>
                      <w:rPr>
                        <w:rFonts w:ascii="Cambria Math" w:hAnsi="Cambria Math"/>
                        <w:i/>
                        <w:lang w:val="en-US"/>
                      </w:rPr>
                    </m:ctrlPr>
                  </m:sSubPr>
                  <m:e>
                    <m:r>
                      <w:rPr>
                        <w:rFonts w:ascii="Cambria Math" w:hAnsi="Cambria Math"/>
                        <w:lang w:val="en-US"/>
                      </w:rPr>
                      <m:t>D</m:t>
                    </m:r>
                  </m:e>
                  <m:sub>
                    <m:r>
                      <w:rPr>
                        <w:rFonts w:ascii="Cambria Math" w:hAnsi="Cambria Math"/>
                        <w:lang w:val="en-US"/>
                      </w:rPr>
                      <m:t>T</m:t>
                    </m:r>
                  </m:sub>
                </m:sSub>
              </m:oMath>
            </m:oMathPara>
          </w:p>
        </w:tc>
        <w:tc>
          <w:tcPr>
            <w:tcW w:w="6237" w:type="dxa"/>
          </w:tcPr>
          <w:p w14:paraId="4DDB7A2B" w14:textId="3E276A6F" w:rsidR="00461191" w:rsidRDefault="00461191" w:rsidP="00461191">
            <w:pPr>
              <w:spacing w:line="240" w:lineRule="auto"/>
              <w:ind w:firstLine="0"/>
              <w:rPr>
                <w:lang w:val="en-US"/>
              </w:rPr>
            </w:pPr>
            <w:r>
              <w:rPr>
                <w:lang w:val="en-US"/>
              </w:rPr>
              <w:t>Thermal (</w:t>
            </w:r>
            <w:proofErr w:type="spellStart"/>
            <w:r>
              <w:rPr>
                <w:lang w:val="en-US"/>
              </w:rPr>
              <w:t>Soret</w:t>
            </w:r>
            <w:proofErr w:type="spellEnd"/>
            <w:r>
              <w:rPr>
                <w:lang w:val="en-US"/>
              </w:rPr>
              <w:t>) diffusion coefficient</w:t>
            </w:r>
          </w:p>
        </w:tc>
      </w:tr>
      <w:tr w:rsidR="007C76F6" w14:paraId="0A7C32DF" w14:textId="77777777" w:rsidTr="006923B5">
        <w:tc>
          <w:tcPr>
            <w:tcW w:w="1701" w:type="dxa"/>
          </w:tcPr>
          <w:p w14:paraId="5E80A798" w14:textId="1EFE3817" w:rsidR="007C76F6" w:rsidRPr="00232D3E" w:rsidRDefault="007C76F6" w:rsidP="007C76F6">
            <w:pPr>
              <w:spacing w:line="240" w:lineRule="auto"/>
              <w:ind w:firstLine="0"/>
              <w:rPr>
                <w:rFonts w:eastAsia="Calibri"/>
                <w:lang w:val="en-US"/>
              </w:rPr>
            </w:pPr>
            <m:oMathPara>
              <m:oMath>
                <m:r>
                  <w:rPr>
                    <w:rFonts w:ascii="Cambria Math" w:hAnsi="Cambria Math"/>
                    <w:lang w:val="en-US"/>
                  </w:rPr>
                  <m:t>G</m:t>
                </m:r>
              </m:oMath>
            </m:oMathPara>
          </w:p>
        </w:tc>
        <w:tc>
          <w:tcPr>
            <w:tcW w:w="6237" w:type="dxa"/>
          </w:tcPr>
          <w:p w14:paraId="08AA5B46" w14:textId="25E6F72B" w:rsidR="007C76F6" w:rsidRDefault="007C76F6" w:rsidP="00461191">
            <w:pPr>
              <w:spacing w:line="240" w:lineRule="auto"/>
              <w:ind w:firstLine="0"/>
              <w:rPr>
                <w:lang w:val="en-US"/>
              </w:rPr>
            </w:pPr>
            <w:r>
              <w:rPr>
                <w:lang w:val="en-US"/>
              </w:rPr>
              <w:t>Algae growing rate</w:t>
            </w:r>
          </w:p>
        </w:tc>
      </w:tr>
      <w:tr w:rsidR="004C17F3" w14:paraId="2A3B8377" w14:textId="77777777" w:rsidTr="006923B5">
        <w:tc>
          <w:tcPr>
            <w:tcW w:w="1701" w:type="dxa"/>
          </w:tcPr>
          <w:p w14:paraId="0F9BA2C0" w14:textId="780C49E0" w:rsidR="004C17F3" w:rsidRDefault="006A17F1" w:rsidP="004C17F3">
            <w:pPr>
              <w:spacing w:line="240" w:lineRule="auto"/>
              <w:ind w:firstLine="0"/>
              <w:rPr>
                <w:rFonts w:eastAsia="Calibri"/>
                <w:lang w:val="en-US"/>
              </w:rPr>
            </w:pPr>
            <m:oMathPara>
              <m:oMath>
                <m:sSub>
                  <m:sSubPr>
                    <m:ctrlPr>
                      <w:rPr>
                        <w:rFonts w:ascii="Cambria Math" w:eastAsia="Calibri" w:hAnsi="Cambria Math"/>
                        <w:i/>
                        <w:lang w:val="en-US"/>
                      </w:rPr>
                    </m:ctrlPr>
                  </m:sSubPr>
                  <m:e>
                    <m:r>
                      <w:rPr>
                        <w:rFonts w:ascii="Cambria Math" w:eastAsia="Calibri" w:hAnsi="Cambria Math"/>
                        <w:lang w:val="en-US"/>
                      </w:rPr>
                      <m:t>G</m:t>
                    </m:r>
                  </m:e>
                  <m:sub>
                    <m:r>
                      <w:rPr>
                        <w:rFonts w:ascii="Cambria Math" w:eastAsia="Calibri" w:hAnsi="Cambria Math"/>
                        <w:lang w:val="en-US"/>
                      </w:rPr>
                      <m:t>max</m:t>
                    </m:r>
                  </m:sub>
                </m:sSub>
              </m:oMath>
            </m:oMathPara>
          </w:p>
        </w:tc>
        <w:tc>
          <w:tcPr>
            <w:tcW w:w="6237" w:type="dxa"/>
          </w:tcPr>
          <w:p w14:paraId="60BF6967" w14:textId="3D944CB4" w:rsidR="004C17F3" w:rsidRDefault="004C17F3" w:rsidP="004C17F3">
            <w:pPr>
              <w:spacing w:line="240" w:lineRule="auto"/>
              <w:ind w:firstLine="0"/>
              <w:rPr>
                <w:lang w:val="en-US"/>
              </w:rPr>
            </w:pPr>
            <w:r w:rsidRPr="004C17F3">
              <w:rPr>
                <w:rFonts w:eastAsia="Calibri"/>
                <w:lang w:val="en-US"/>
              </w:rPr>
              <w:t>Species</w:t>
            </w:r>
            <w:r>
              <w:rPr>
                <w:rFonts w:eastAsia="Calibri"/>
                <w:lang w:val="en-US"/>
              </w:rPr>
              <w:t xml:space="preserve">  </w:t>
            </w:r>
            <w:r w:rsidRPr="004C17F3">
              <w:rPr>
                <w:rFonts w:eastAsia="Calibri"/>
                <w:lang w:val="en-US"/>
              </w:rPr>
              <w:t>dependent maximum growth rate</w:t>
            </w:r>
          </w:p>
        </w:tc>
      </w:tr>
      <w:tr w:rsidR="004C17F3" w14:paraId="4E666F4F" w14:textId="77777777" w:rsidTr="006923B5">
        <w:tc>
          <w:tcPr>
            <w:tcW w:w="1701" w:type="dxa"/>
          </w:tcPr>
          <w:p w14:paraId="7DCD135D" w14:textId="489F3AB3" w:rsidR="004C17F3" w:rsidRDefault="006A17F1" w:rsidP="004C17F3">
            <w:pPr>
              <w:spacing w:line="240" w:lineRule="auto"/>
              <w:ind w:firstLine="0"/>
              <w:rPr>
                <w:lang w:val="en-US"/>
              </w:rPr>
            </w:pPr>
            <m:oMathPara>
              <m:oMath>
                <m:sSub>
                  <m:sSubPr>
                    <m:ctrlPr>
                      <w:rPr>
                        <w:rFonts w:ascii="Cambria Math" w:hAnsi="Cambria Math"/>
                        <w:i/>
                        <w:lang w:val="en-US"/>
                      </w:rPr>
                    </m:ctrlPr>
                  </m:sSubPr>
                  <m:e>
                    <m:r>
                      <w:rPr>
                        <w:rFonts w:ascii="Cambria Math" w:hAnsi="Cambria Math"/>
                        <w:lang w:val="en-US"/>
                      </w:rPr>
                      <m:t>h</m:t>
                    </m:r>
                  </m:e>
                  <m:sub>
                    <m:r>
                      <w:rPr>
                        <w:rFonts w:ascii="Cambria Math" w:hAnsi="Cambria Math"/>
                        <w:lang w:val="en-US"/>
                      </w:rPr>
                      <m:t>k</m:t>
                    </m:r>
                  </m:sub>
                </m:sSub>
              </m:oMath>
            </m:oMathPara>
          </w:p>
        </w:tc>
        <w:tc>
          <w:tcPr>
            <w:tcW w:w="6237" w:type="dxa"/>
          </w:tcPr>
          <w:p w14:paraId="3F6CDCFB" w14:textId="09BE5349" w:rsidR="004C17F3" w:rsidRDefault="004C17F3" w:rsidP="004C17F3">
            <w:pPr>
              <w:spacing w:line="240" w:lineRule="auto"/>
              <w:ind w:firstLine="0"/>
              <w:rPr>
                <w:lang w:val="en-US"/>
              </w:rPr>
            </w:pPr>
            <w:r>
              <w:rPr>
                <w:lang w:val="en-US"/>
              </w:rPr>
              <w:t xml:space="preserve">Specific enthalpy of chemical species </w:t>
            </w:r>
            <w:r w:rsidRPr="006C39C4">
              <w:rPr>
                <w:i/>
                <w:lang w:val="en-US"/>
              </w:rPr>
              <w:t>k</w:t>
            </w:r>
          </w:p>
        </w:tc>
      </w:tr>
      <w:tr w:rsidR="004C17F3" w14:paraId="5E5F3BF8" w14:textId="77777777" w:rsidTr="006923B5">
        <w:tc>
          <w:tcPr>
            <w:tcW w:w="1701" w:type="dxa"/>
          </w:tcPr>
          <w:p w14:paraId="4AC919A4" w14:textId="21874111" w:rsidR="004C17F3" w:rsidRDefault="004C17F3" w:rsidP="004C17F3">
            <w:pPr>
              <w:spacing w:line="240" w:lineRule="auto"/>
              <w:ind w:firstLine="0"/>
              <w:rPr>
                <w:lang w:val="en-US"/>
              </w:rPr>
            </w:pPr>
            <m:oMathPara>
              <m:oMath>
                <m:r>
                  <w:rPr>
                    <w:rFonts w:ascii="Cambria Math" w:hAnsi="Cambria Math"/>
                    <w:lang w:val="en-US"/>
                  </w:rPr>
                  <m:t>I</m:t>
                </m:r>
              </m:oMath>
            </m:oMathPara>
          </w:p>
        </w:tc>
        <w:tc>
          <w:tcPr>
            <w:tcW w:w="6237" w:type="dxa"/>
          </w:tcPr>
          <w:p w14:paraId="1FE990A8" w14:textId="705D5ADD" w:rsidR="004C17F3" w:rsidRDefault="004C17F3" w:rsidP="004C17F3">
            <w:pPr>
              <w:spacing w:line="240" w:lineRule="auto"/>
              <w:ind w:firstLine="0"/>
              <w:rPr>
                <w:lang w:val="en-US"/>
              </w:rPr>
            </w:pPr>
            <w:r>
              <w:rPr>
                <w:lang w:val="en-US"/>
              </w:rPr>
              <w:t>Radiative intensity</w:t>
            </w:r>
          </w:p>
        </w:tc>
      </w:tr>
      <w:tr w:rsidR="004C17F3" w14:paraId="5CF7079B" w14:textId="77777777" w:rsidTr="006923B5">
        <w:tc>
          <w:tcPr>
            <w:tcW w:w="1701" w:type="dxa"/>
          </w:tcPr>
          <w:p w14:paraId="73A602FC" w14:textId="57040830" w:rsidR="004C17F3" w:rsidRDefault="006A17F1" w:rsidP="004C17F3">
            <w:pPr>
              <w:spacing w:line="240" w:lineRule="auto"/>
              <w:ind w:firstLine="0"/>
              <w:rPr>
                <w:rFonts w:eastAsia="Calibri"/>
                <w:lang w:val="en-US"/>
              </w:rPr>
            </w:pPr>
            <m:oMathPara>
              <m:oMath>
                <m:acc>
                  <m:accPr>
                    <m:chr m:val="⃗"/>
                    <m:ctrlPr>
                      <w:rPr>
                        <w:rFonts w:ascii="Cambria Math" w:hAnsi="Cambria Math"/>
                        <w:i/>
                        <w:lang w:val="en-US"/>
                      </w:rPr>
                    </m:ctrlPr>
                  </m:accPr>
                  <m:e>
                    <m:sSub>
                      <m:sSubPr>
                        <m:ctrlPr>
                          <w:rPr>
                            <w:rFonts w:ascii="Cambria Math" w:hAnsi="Cambria Math"/>
                            <w:i/>
                            <w:lang w:val="en-US"/>
                          </w:rPr>
                        </m:ctrlPr>
                      </m:sSubPr>
                      <m:e>
                        <m:r>
                          <w:rPr>
                            <w:rFonts w:ascii="Cambria Math" w:hAnsi="Cambria Math"/>
                            <w:lang w:val="en-US"/>
                          </w:rPr>
                          <m:t>J</m:t>
                        </m:r>
                      </m:e>
                      <m:sub>
                        <m:r>
                          <w:rPr>
                            <w:rFonts w:ascii="Cambria Math" w:hAnsi="Cambria Math"/>
                            <w:lang w:val="en-US"/>
                          </w:rPr>
                          <m:t>k</m:t>
                        </m:r>
                      </m:sub>
                    </m:sSub>
                  </m:e>
                </m:acc>
              </m:oMath>
            </m:oMathPara>
          </w:p>
        </w:tc>
        <w:tc>
          <w:tcPr>
            <w:tcW w:w="6237" w:type="dxa"/>
          </w:tcPr>
          <w:p w14:paraId="42CD670C" w14:textId="23353074" w:rsidR="004C17F3" w:rsidRDefault="004C17F3" w:rsidP="004C17F3">
            <w:pPr>
              <w:spacing w:line="240" w:lineRule="auto"/>
              <w:ind w:firstLine="0"/>
              <w:rPr>
                <w:lang w:val="en-US"/>
              </w:rPr>
            </w:pPr>
            <w:r>
              <w:rPr>
                <w:lang w:val="en-US"/>
              </w:rPr>
              <w:t xml:space="preserve">Mass diffusion of </w:t>
            </w:r>
            <w:r w:rsidRPr="006C39C4">
              <w:rPr>
                <w:i/>
                <w:lang w:val="en-US"/>
              </w:rPr>
              <w:t>k-</w:t>
            </w:r>
            <w:proofErr w:type="spellStart"/>
            <w:r w:rsidRPr="006C39C4">
              <w:rPr>
                <w:i/>
                <w:lang w:val="en-US"/>
              </w:rPr>
              <w:t>th</w:t>
            </w:r>
            <w:proofErr w:type="spellEnd"/>
            <w:r>
              <w:rPr>
                <w:lang w:val="en-US"/>
              </w:rPr>
              <w:t xml:space="preserve"> species</w:t>
            </w:r>
          </w:p>
        </w:tc>
      </w:tr>
      <w:tr w:rsidR="004C17F3" w14:paraId="62E6ADEC" w14:textId="77777777" w:rsidTr="006923B5">
        <w:tc>
          <w:tcPr>
            <w:tcW w:w="1701" w:type="dxa"/>
          </w:tcPr>
          <w:p w14:paraId="245B4907" w14:textId="349F6DD6" w:rsidR="004C17F3" w:rsidRPr="00915918" w:rsidRDefault="004C17F3" w:rsidP="004C17F3">
            <w:pPr>
              <w:spacing w:line="240" w:lineRule="auto"/>
              <w:ind w:firstLine="0"/>
              <w:rPr>
                <w:rFonts w:eastAsia="Calibri"/>
                <w:lang w:val="en-US"/>
              </w:rPr>
            </w:pPr>
            <m:oMathPara>
              <m:oMath>
                <m:r>
                  <w:rPr>
                    <w:rFonts w:ascii="Cambria Math" w:eastAsiaTheme="minorEastAsia" w:hAnsi="Cambria Math" w:cstheme="minorBidi"/>
                    <w:lang w:val="en-US"/>
                  </w:rPr>
                  <m:t>k</m:t>
                </m:r>
              </m:oMath>
            </m:oMathPara>
          </w:p>
        </w:tc>
        <w:tc>
          <w:tcPr>
            <w:tcW w:w="6237" w:type="dxa"/>
          </w:tcPr>
          <w:p w14:paraId="5D0D50EE" w14:textId="640FDCFD" w:rsidR="004C17F3" w:rsidRDefault="004C17F3" w:rsidP="004C17F3">
            <w:pPr>
              <w:spacing w:line="240" w:lineRule="auto"/>
              <w:ind w:firstLine="0"/>
              <w:rPr>
                <w:lang w:val="en-US"/>
              </w:rPr>
            </w:pPr>
            <w:r>
              <w:rPr>
                <w:lang w:val="en-US"/>
              </w:rPr>
              <w:t xml:space="preserve">Thermal conductivity </w:t>
            </w:r>
          </w:p>
        </w:tc>
      </w:tr>
      <w:tr w:rsidR="004C17F3" w14:paraId="0CF9F2FB" w14:textId="77777777" w:rsidTr="006923B5">
        <w:tc>
          <w:tcPr>
            <w:tcW w:w="1701" w:type="dxa"/>
          </w:tcPr>
          <w:p w14:paraId="3FB7AA22" w14:textId="4050A392" w:rsidR="004C17F3" w:rsidRDefault="006A17F1" w:rsidP="004C17F3">
            <w:pPr>
              <w:spacing w:line="240" w:lineRule="auto"/>
              <w:ind w:firstLine="0"/>
              <w:rPr>
                <w:rFonts w:eastAsia="Calibri"/>
                <w:lang w:val="en-US"/>
              </w:rPr>
            </w:pPr>
            <m:oMathPara>
              <m:oMath>
                <m:sSub>
                  <m:sSubPr>
                    <m:ctrlPr>
                      <w:rPr>
                        <w:rFonts w:ascii="Cambria Math" w:eastAsia="Calibri" w:hAnsi="Cambria Math"/>
                        <w:i/>
                        <w:lang w:val="en-US"/>
                      </w:rPr>
                    </m:ctrlPr>
                  </m:sSubPr>
                  <m:e>
                    <m:r>
                      <w:rPr>
                        <w:rFonts w:ascii="Cambria Math" w:eastAsia="Calibri" w:hAnsi="Cambria Math"/>
                        <w:lang w:val="en-US"/>
                      </w:rPr>
                      <m:t>k</m:t>
                    </m:r>
                  </m:e>
                  <m:sub>
                    <m:r>
                      <w:rPr>
                        <w:rFonts w:ascii="Cambria Math" w:eastAsia="Calibri" w:hAnsi="Cambria Math"/>
                        <w:lang w:val="en-US"/>
                      </w:rPr>
                      <m:t>s</m:t>
                    </m:r>
                  </m:sub>
                </m:sSub>
              </m:oMath>
            </m:oMathPara>
          </w:p>
        </w:tc>
        <w:tc>
          <w:tcPr>
            <w:tcW w:w="6237" w:type="dxa"/>
          </w:tcPr>
          <w:p w14:paraId="04069E77" w14:textId="3646C3B2" w:rsidR="004C17F3" w:rsidRDefault="008551E9" w:rsidP="004C17F3">
            <w:pPr>
              <w:spacing w:line="240" w:lineRule="auto"/>
              <w:ind w:firstLine="0"/>
              <w:rPr>
                <w:lang w:val="en-US"/>
              </w:rPr>
            </w:pPr>
            <w:r>
              <w:rPr>
                <w:lang w:val="en-US"/>
              </w:rPr>
              <w:t xml:space="preserve">Species </w:t>
            </w:r>
            <w:r w:rsidRPr="005A303E">
              <w:rPr>
                <w:lang w:val="en-US"/>
              </w:rPr>
              <w:t>dependent half saturation coefficient</w:t>
            </w:r>
          </w:p>
        </w:tc>
      </w:tr>
      <w:tr w:rsidR="004C17F3" w14:paraId="349633C7" w14:textId="77777777" w:rsidTr="006923B5">
        <w:tc>
          <w:tcPr>
            <w:tcW w:w="1701" w:type="dxa"/>
          </w:tcPr>
          <w:p w14:paraId="1B30D9E2" w14:textId="4AA33D89" w:rsidR="004C17F3" w:rsidRDefault="004C17F3" w:rsidP="004C17F3">
            <w:pPr>
              <w:spacing w:line="240" w:lineRule="auto"/>
              <w:ind w:firstLine="0"/>
              <w:rPr>
                <w:rFonts w:eastAsia="Calibri"/>
                <w:lang w:val="en-US"/>
              </w:rPr>
            </w:pPr>
            <m:oMathPara>
              <m:oMath>
                <m:r>
                  <w:rPr>
                    <w:rFonts w:ascii="Cambria Math" w:hAnsi="Cambria Math"/>
                    <w:lang w:val="en-US"/>
                  </w:rPr>
                  <m:t>M</m:t>
                </m:r>
              </m:oMath>
            </m:oMathPara>
          </w:p>
        </w:tc>
        <w:tc>
          <w:tcPr>
            <w:tcW w:w="6237" w:type="dxa"/>
          </w:tcPr>
          <w:p w14:paraId="3C2362E8" w14:textId="2CCF884D" w:rsidR="004C17F3" w:rsidRDefault="004C17F3" w:rsidP="004C17F3">
            <w:pPr>
              <w:spacing w:line="240" w:lineRule="auto"/>
              <w:ind w:firstLine="0"/>
              <w:rPr>
                <w:lang w:val="en-US"/>
              </w:rPr>
            </w:pPr>
            <w:r>
              <w:rPr>
                <w:lang w:val="en-US"/>
              </w:rPr>
              <w:t>Molecular weight</w:t>
            </w:r>
          </w:p>
        </w:tc>
      </w:tr>
      <w:tr w:rsidR="004C17F3" w14:paraId="53BE9D4B" w14:textId="77777777" w:rsidTr="006923B5">
        <w:tc>
          <w:tcPr>
            <w:tcW w:w="1701" w:type="dxa"/>
          </w:tcPr>
          <w:p w14:paraId="254C11C3" w14:textId="0A437C90" w:rsidR="004C17F3" w:rsidRDefault="004C17F3" w:rsidP="004C17F3">
            <w:pPr>
              <w:spacing w:line="240" w:lineRule="auto"/>
              <w:ind w:firstLine="0"/>
              <w:rPr>
                <w:rFonts w:eastAsia="Calibri"/>
                <w:lang w:val="en-US"/>
              </w:rPr>
            </w:pPr>
            <m:oMathPara>
              <m:oMath>
                <m:r>
                  <w:rPr>
                    <w:rFonts w:ascii="Cambria Math" w:hAnsi="Cambria Math"/>
                    <w:lang w:val="en-US"/>
                  </w:rPr>
                  <m:t>n</m:t>
                </m:r>
              </m:oMath>
            </m:oMathPara>
          </w:p>
        </w:tc>
        <w:tc>
          <w:tcPr>
            <w:tcW w:w="6237" w:type="dxa"/>
          </w:tcPr>
          <w:p w14:paraId="725220BB" w14:textId="775E93ED" w:rsidR="004C17F3" w:rsidRDefault="004C17F3" w:rsidP="004C17F3">
            <w:pPr>
              <w:spacing w:line="240" w:lineRule="auto"/>
              <w:ind w:firstLine="0"/>
              <w:rPr>
                <w:lang w:val="en-US"/>
              </w:rPr>
            </w:pPr>
            <w:r>
              <w:rPr>
                <w:lang w:val="en-US"/>
              </w:rPr>
              <w:t>Refractive index</w:t>
            </w:r>
          </w:p>
        </w:tc>
      </w:tr>
      <w:tr w:rsidR="008551E9" w14:paraId="2DDCC7E8" w14:textId="77777777" w:rsidTr="006923B5">
        <w:tc>
          <w:tcPr>
            <w:tcW w:w="1701" w:type="dxa"/>
          </w:tcPr>
          <w:p w14:paraId="63E60F95" w14:textId="739C1DD9" w:rsidR="008551E9" w:rsidRDefault="006A17F1" w:rsidP="004C17F3">
            <w:pPr>
              <w:spacing w:line="240" w:lineRule="auto"/>
              <w:ind w:firstLine="0"/>
              <w:rPr>
                <w:rFonts w:eastAsia="Calibri"/>
                <w:lang w:val="en-US"/>
              </w:rPr>
            </w:pPr>
            <m:oMathPara>
              <m:oMath>
                <m:acc>
                  <m:accPr>
                    <m:chr m:val="̇"/>
                    <m:ctrlPr>
                      <w:rPr>
                        <w:rFonts w:ascii="Cambria Math" w:hAnsi="Cambria Math"/>
                        <w:i/>
                        <w:lang w:val="en-US"/>
                      </w:rPr>
                    </m:ctrlPr>
                  </m:accPr>
                  <m:e>
                    <m:r>
                      <w:rPr>
                        <w:rFonts w:ascii="Cambria Math" w:hAnsi="Cambria Math"/>
                        <w:lang w:val="en-US"/>
                      </w:rPr>
                      <m:t>n</m:t>
                    </m:r>
                  </m:e>
                </m:acc>
              </m:oMath>
            </m:oMathPara>
          </w:p>
        </w:tc>
        <w:tc>
          <w:tcPr>
            <w:tcW w:w="6237" w:type="dxa"/>
          </w:tcPr>
          <w:p w14:paraId="0BF0BF05" w14:textId="77E0C84C" w:rsidR="008551E9" w:rsidRDefault="008551E9" w:rsidP="004C17F3">
            <w:pPr>
              <w:spacing w:line="240" w:lineRule="auto"/>
              <w:ind w:firstLine="0"/>
              <w:rPr>
                <w:lang w:val="en-US"/>
              </w:rPr>
            </w:pPr>
            <w:r>
              <w:rPr>
                <w:lang w:val="en-US"/>
              </w:rPr>
              <w:t>Mole flow rate</w:t>
            </w:r>
          </w:p>
        </w:tc>
      </w:tr>
      <w:tr w:rsidR="004C17F3" w14:paraId="4F24DC5D" w14:textId="77777777" w:rsidTr="006923B5">
        <w:tc>
          <w:tcPr>
            <w:tcW w:w="1701" w:type="dxa"/>
          </w:tcPr>
          <w:p w14:paraId="14FBCFFC" w14:textId="1A33565F" w:rsidR="004C17F3" w:rsidRDefault="006A17F1" w:rsidP="004C17F3">
            <w:pPr>
              <w:spacing w:line="240" w:lineRule="auto"/>
              <w:ind w:firstLine="0"/>
              <w:rPr>
                <w:rFonts w:eastAsia="Calibri"/>
                <w:lang w:val="en-US"/>
              </w:rPr>
            </w:pPr>
            <m:oMathPara>
              <m:oMath>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sp</m:t>
                    </m:r>
                  </m:sub>
                </m:sSub>
              </m:oMath>
            </m:oMathPara>
          </w:p>
        </w:tc>
        <w:tc>
          <w:tcPr>
            <w:tcW w:w="6237" w:type="dxa"/>
          </w:tcPr>
          <w:p w14:paraId="1B66BB1C" w14:textId="651BF64C" w:rsidR="004C17F3" w:rsidRDefault="004C17F3" w:rsidP="004C17F3">
            <w:pPr>
              <w:spacing w:line="240" w:lineRule="auto"/>
              <w:ind w:firstLine="0"/>
              <w:rPr>
                <w:lang w:val="en-US"/>
              </w:rPr>
            </w:pPr>
            <w:r>
              <w:rPr>
                <w:lang w:val="en-US"/>
              </w:rPr>
              <w:t>Number of chemical species</w:t>
            </w:r>
          </w:p>
        </w:tc>
      </w:tr>
      <w:tr w:rsidR="004C17F3" w14:paraId="4458F237" w14:textId="77777777" w:rsidTr="006923B5">
        <w:tc>
          <w:tcPr>
            <w:tcW w:w="1701" w:type="dxa"/>
          </w:tcPr>
          <w:p w14:paraId="66F26A71" w14:textId="12ADD1F3" w:rsidR="004C17F3" w:rsidRPr="00232D3E" w:rsidRDefault="004C17F3" w:rsidP="004C17F3">
            <w:pPr>
              <w:spacing w:line="240" w:lineRule="auto"/>
              <w:ind w:firstLine="0"/>
              <w:rPr>
                <w:rFonts w:eastAsia="Calibri"/>
                <w:lang w:val="en-US"/>
              </w:rPr>
            </w:pPr>
            <m:oMathPara>
              <m:oMath>
                <m:r>
                  <w:rPr>
                    <w:rFonts w:ascii="Cambria Math" w:hAnsi="Cambria Math"/>
                    <w:lang w:val="en-US"/>
                  </w:rPr>
                  <m:t>p</m:t>
                </m:r>
              </m:oMath>
            </m:oMathPara>
          </w:p>
        </w:tc>
        <w:tc>
          <w:tcPr>
            <w:tcW w:w="6237" w:type="dxa"/>
          </w:tcPr>
          <w:p w14:paraId="7CEA5201" w14:textId="0E0B3630" w:rsidR="004C17F3" w:rsidRDefault="004C17F3" w:rsidP="004C17F3">
            <w:pPr>
              <w:spacing w:line="240" w:lineRule="auto"/>
              <w:ind w:firstLine="0"/>
              <w:rPr>
                <w:lang w:val="en-US"/>
              </w:rPr>
            </w:pPr>
            <w:r>
              <w:rPr>
                <w:lang w:val="en-US"/>
              </w:rPr>
              <w:t>Pressure</w:t>
            </w:r>
          </w:p>
        </w:tc>
      </w:tr>
      <w:tr w:rsidR="008109A1" w14:paraId="3B588377" w14:textId="77777777" w:rsidTr="006923B5">
        <w:tc>
          <w:tcPr>
            <w:tcW w:w="1701" w:type="dxa"/>
          </w:tcPr>
          <w:p w14:paraId="7A266538" w14:textId="34F6DD78" w:rsidR="008109A1" w:rsidRDefault="008109A1" w:rsidP="008109A1">
            <w:pPr>
              <w:spacing w:line="240" w:lineRule="auto"/>
              <w:ind w:firstLine="0"/>
              <w:rPr>
                <w:rFonts w:eastAsia="Calibri"/>
                <w:lang w:val="en-US"/>
              </w:rPr>
            </w:pPr>
            <m:oMathPara>
              <m:oMath>
                <m:r>
                  <w:rPr>
                    <w:rFonts w:ascii="Cambria Math" w:eastAsia="Calibri" w:hAnsi="Cambria Math"/>
                    <w:lang w:val="en-US"/>
                  </w:rPr>
                  <m:t>Pe</m:t>
                </m:r>
              </m:oMath>
            </m:oMathPara>
          </w:p>
        </w:tc>
        <w:tc>
          <w:tcPr>
            <w:tcW w:w="6237" w:type="dxa"/>
          </w:tcPr>
          <w:p w14:paraId="2E061B78" w14:textId="332CCBEA" w:rsidR="008109A1" w:rsidRDefault="008109A1" w:rsidP="004C17F3">
            <w:pPr>
              <w:spacing w:line="240" w:lineRule="auto"/>
              <w:ind w:firstLine="0"/>
              <w:rPr>
                <w:lang w:val="en-US"/>
              </w:rPr>
            </w:pPr>
            <w:proofErr w:type="spellStart"/>
            <w:r>
              <w:rPr>
                <w:lang w:val="en-US"/>
              </w:rPr>
              <w:t>Peclet</w:t>
            </w:r>
            <w:proofErr w:type="spellEnd"/>
            <w:r>
              <w:rPr>
                <w:lang w:val="en-US"/>
              </w:rPr>
              <w:t xml:space="preserve"> number based on pore diameter</w:t>
            </w:r>
          </w:p>
        </w:tc>
      </w:tr>
      <w:tr w:rsidR="008109A1" w14:paraId="24D4FAC3" w14:textId="77777777" w:rsidTr="006923B5">
        <w:tc>
          <w:tcPr>
            <w:tcW w:w="1701" w:type="dxa"/>
          </w:tcPr>
          <w:p w14:paraId="11C1FF12" w14:textId="107D6716" w:rsidR="008109A1" w:rsidRDefault="006A17F1" w:rsidP="008109A1">
            <w:pPr>
              <w:spacing w:line="240" w:lineRule="auto"/>
              <w:ind w:firstLine="0"/>
              <w:rPr>
                <w:rFonts w:eastAsia="Calibri"/>
                <w:lang w:val="en-US"/>
              </w:rPr>
            </w:pPr>
            <m:oMathPara>
              <m:oMath>
                <m:sSub>
                  <m:sSubPr>
                    <m:ctrlPr>
                      <w:rPr>
                        <w:rFonts w:ascii="Cambria Math" w:hAnsi="Cambria Math"/>
                        <w:i/>
                        <w:lang w:val="en-US"/>
                      </w:rPr>
                    </m:ctrlPr>
                  </m:sSubPr>
                  <m:e>
                    <m:r>
                      <w:rPr>
                        <w:rFonts w:ascii="Cambria Math" w:hAnsi="Cambria Math"/>
                        <w:lang w:val="en-US"/>
                      </w:rPr>
                      <m:t>q</m:t>
                    </m:r>
                  </m:e>
                  <m:sub>
                    <m:r>
                      <w:rPr>
                        <w:rFonts w:ascii="Cambria Math" w:hAnsi="Cambria Math"/>
                        <w:lang w:val="en-US"/>
                      </w:rPr>
                      <m:t>r</m:t>
                    </m:r>
                  </m:sub>
                </m:sSub>
              </m:oMath>
            </m:oMathPara>
          </w:p>
        </w:tc>
        <w:tc>
          <w:tcPr>
            <w:tcW w:w="6237" w:type="dxa"/>
          </w:tcPr>
          <w:p w14:paraId="5A630C1F" w14:textId="1A71C0B7" w:rsidR="008109A1" w:rsidRDefault="008109A1" w:rsidP="004C17F3">
            <w:pPr>
              <w:spacing w:line="240" w:lineRule="auto"/>
              <w:ind w:firstLine="0"/>
              <w:rPr>
                <w:lang w:val="en-US"/>
              </w:rPr>
            </w:pPr>
            <w:r>
              <w:rPr>
                <w:lang w:val="en-US"/>
              </w:rPr>
              <w:t>Radiative heat flux</w:t>
            </w:r>
          </w:p>
        </w:tc>
      </w:tr>
      <w:tr w:rsidR="004C17F3" w14:paraId="555CCE5D" w14:textId="77777777" w:rsidTr="006923B5">
        <w:tc>
          <w:tcPr>
            <w:tcW w:w="1701" w:type="dxa"/>
          </w:tcPr>
          <w:p w14:paraId="49F75BF1" w14:textId="5E2694E2" w:rsidR="004C17F3" w:rsidRDefault="004C17F3" w:rsidP="004C17F3">
            <w:pPr>
              <w:spacing w:line="240" w:lineRule="auto"/>
              <w:ind w:firstLine="0"/>
              <w:rPr>
                <w:rFonts w:eastAsia="Calibri"/>
                <w:lang w:val="en-US"/>
              </w:rPr>
            </w:pPr>
            <m:oMathPara>
              <m:oMath>
                <m:r>
                  <w:rPr>
                    <w:rFonts w:ascii="Cambria Math" w:hAnsi="Cambria Math"/>
                    <w:lang w:val="en-US"/>
                  </w:rPr>
                  <m:t>Re</m:t>
                </m:r>
              </m:oMath>
            </m:oMathPara>
          </w:p>
        </w:tc>
        <w:tc>
          <w:tcPr>
            <w:tcW w:w="6237" w:type="dxa"/>
          </w:tcPr>
          <w:p w14:paraId="318EFBC0" w14:textId="27BC6705" w:rsidR="004C17F3" w:rsidRDefault="004C17F3" w:rsidP="004C17F3">
            <w:pPr>
              <w:spacing w:line="240" w:lineRule="auto"/>
              <w:ind w:firstLine="0"/>
              <w:rPr>
                <w:lang w:val="en-US"/>
              </w:rPr>
            </w:pPr>
            <w:r>
              <w:rPr>
                <w:lang w:val="en-US"/>
              </w:rPr>
              <w:t>Reynolds number</w:t>
            </w:r>
          </w:p>
        </w:tc>
      </w:tr>
      <w:tr w:rsidR="008109A1" w14:paraId="566D6C8B" w14:textId="77777777" w:rsidTr="006923B5">
        <w:tc>
          <w:tcPr>
            <w:tcW w:w="1701" w:type="dxa"/>
          </w:tcPr>
          <w:p w14:paraId="1A34009E" w14:textId="53E3623D" w:rsidR="008109A1" w:rsidRDefault="006A17F1" w:rsidP="004C17F3">
            <w:pPr>
              <w:spacing w:line="240" w:lineRule="auto"/>
              <w:ind w:firstLine="0"/>
              <w:rPr>
                <w:rFonts w:eastAsia="Calibri"/>
                <w:lang w:val="en-US"/>
              </w:rPr>
            </w:pPr>
            <m:oMathPara>
              <m:oMath>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k</m:t>
                    </m:r>
                  </m:sub>
                </m:sSub>
              </m:oMath>
            </m:oMathPara>
          </w:p>
        </w:tc>
        <w:tc>
          <w:tcPr>
            <w:tcW w:w="6237" w:type="dxa"/>
          </w:tcPr>
          <w:p w14:paraId="58086DE9" w14:textId="0D6765CB" w:rsidR="008109A1" w:rsidRDefault="008109A1" w:rsidP="004C17F3">
            <w:pPr>
              <w:spacing w:line="240" w:lineRule="auto"/>
              <w:ind w:firstLine="0"/>
              <w:rPr>
                <w:lang w:val="en-US"/>
              </w:rPr>
            </w:pPr>
            <w:r>
              <w:rPr>
                <w:lang w:val="en-US"/>
              </w:rPr>
              <w:t xml:space="preserve">Net rate of production of </w:t>
            </w:r>
            <w:r w:rsidRPr="00680ECD">
              <w:rPr>
                <w:i/>
                <w:noProof/>
                <w:lang w:val="en-US"/>
              </w:rPr>
              <w:t>k-th</w:t>
            </w:r>
            <w:r>
              <w:rPr>
                <w:lang w:val="en-US"/>
              </w:rPr>
              <w:t xml:space="preserve"> species</w:t>
            </w:r>
          </w:p>
        </w:tc>
      </w:tr>
      <w:tr w:rsidR="004C17F3" w14:paraId="6BBC29C3" w14:textId="77777777" w:rsidTr="006923B5">
        <w:tc>
          <w:tcPr>
            <w:tcW w:w="1701" w:type="dxa"/>
          </w:tcPr>
          <w:p w14:paraId="038AB048" w14:textId="3A5F48C5" w:rsidR="004C17F3" w:rsidRPr="006C39C4" w:rsidRDefault="004C17F3" w:rsidP="004C17F3">
            <w:pPr>
              <w:spacing w:line="240" w:lineRule="auto"/>
              <w:ind w:firstLine="0"/>
              <w:rPr>
                <w:rFonts w:eastAsia="Calibri"/>
                <w:b/>
                <w:lang w:val="en-US"/>
              </w:rPr>
            </w:pPr>
            <m:oMathPara>
              <m:oMath>
                <m:r>
                  <m:rPr>
                    <m:sty m:val="bi"/>
                  </m:rPr>
                  <w:rPr>
                    <w:rFonts w:ascii="Cambria Math" w:hAnsi="Cambria Math"/>
                    <w:lang w:val="en-US"/>
                  </w:rPr>
                  <m:t>s</m:t>
                </m:r>
              </m:oMath>
            </m:oMathPara>
          </w:p>
        </w:tc>
        <w:tc>
          <w:tcPr>
            <w:tcW w:w="6237" w:type="dxa"/>
          </w:tcPr>
          <w:p w14:paraId="7A997220" w14:textId="298929F7" w:rsidR="004C17F3" w:rsidRDefault="004C17F3" w:rsidP="004C17F3">
            <w:pPr>
              <w:spacing w:line="240" w:lineRule="auto"/>
              <w:ind w:firstLine="0"/>
              <w:rPr>
                <w:lang w:val="en-US"/>
              </w:rPr>
            </w:pPr>
            <w:r>
              <w:rPr>
                <w:lang w:val="en-US"/>
              </w:rPr>
              <w:t>Direction vector</w:t>
            </w:r>
          </w:p>
        </w:tc>
      </w:tr>
      <w:tr w:rsidR="004C17F3" w14:paraId="5A66F6BC" w14:textId="77777777" w:rsidTr="006923B5">
        <w:tc>
          <w:tcPr>
            <w:tcW w:w="1701" w:type="dxa"/>
          </w:tcPr>
          <w:p w14:paraId="5DDAA57C" w14:textId="7BB3D82E" w:rsidR="004C17F3" w:rsidRPr="006C39C4" w:rsidRDefault="006A17F1" w:rsidP="004C17F3">
            <w:pPr>
              <w:spacing w:line="240" w:lineRule="auto"/>
              <w:ind w:firstLine="0"/>
              <w:rPr>
                <w:rFonts w:eastAsia="Calibri"/>
                <w:b/>
                <w:lang w:val="en-US"/>
              </w:rPr>
            </w:pPr>
            <m:oMathPara>
              <m:oMath>
                <m:acc>
                  <m:accPr>
                    <m:ctrlPr>
                      <w:rPr>
                        <w:rFonts w:ascii="Cambria Math" w:hAnsi="Cambria Math"/>
                        <w:b/>
                        <w:i/>
                        <w:lang w:val="en-US"/>
                      </w:rPr>
                    </m:ctrlPr>
                  </m:accPr>
                  <m:e>
                    <m:r>
                      <m:rPr>
                        <m:sty m:val="bi"/>
                      </m:rPr>
                      <w:rPr>
                        <w:rFonts w:ascii="Cambria Math" w:hAnsi="Cambria Math"/>
                        <w:lang w:val="en-US"/>
                      </w:rPr>
                      <m:t>s</m:t>
                    </m:r>
                  </m:e>
                </m:acc>
              </m:oMath>
            </m:oMathPara>
          </w:p>
        </w:tc>
        <w:tc>
          <w:tcPr>
            <w:tcW w:w="6237" w:type="dxa"/>
          </w:tcPr>
          <w:p w14:paraId="280B73D2" w14:textId="2B3D6C8A" w:rsidR="004C17F3" w:rsidRDefault="004C17F3" w:rsidP="004C17F3">
            <w:pPr>
              <w:spacing w:line="240" w:lineRule="auto"/>
              <w:ind w:firstLine="0"/>
              <w:rPr>
                <w:lang w:val="en-US"/>
              </w:rPr>
            </w:pPr>
            <w:r>
              <w:rPr>
                <w:lang w:val="en-US"/>
              </w:rPr>
              <w:t>Scattering direction vector</w:t>
            </w:r>
          </w:p>
        </w:tc>
      </w:tr>
      <w:tr w:rsidR="004C17F3" w14:paraId="683D79ED" w14:textId="77777777" w:rsidTr="006923B5">
        <w:tc>
          <w:tcPr>
            <w:tcW w:w="1701" w:type="dxa"/>
          </w:tcPr>
          <w:p w14:paraId="64E1C935" w14:textId="2CF9B8AD" w:rsidR="004C17F3" w:rsidRPr="00CC1B4D" w:rsidRDefault="006A17F1" w:rsidP="004C17F3">
            <w:pPr>
              <w:spacing w:line="240" w:lineRule="auto"/>
              <w:ind w:firstLine="0"/>
              <w:rPr>
                <w:rFonts w:eastAsia="Calibri"/>
                <w:b/>
                <w:lang w:val="en-US"/>
              </w:rPr>
            </w:pPr>
            <m:oMathPara>
              <m:oMath>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m</m:t>
                    </m:r>
                  </m:sub>
                </m:sSub>
              </m:oMath>
            </m:oMathPara>
          </w:p>
        </w:tc>
        <w:tc>
          <w:tcPr>
            <w:tcW w:w="6237" w:type="dxa"/>
          </w:tcPr>
          <w:p w14:paraId="44F0E2E6" w14:textId="0DF262B6" w:rsidR="004C17F3" w:rsidRDefault="004C17F3" w:rsidP="004C17F3">
            <w:pPr>
              <w:spacing w:line="240" w:lineRule="auto"/>
              <w:ind w:firstLine="0"/>
              <w:rPr>
                <w:lang w:val="en-US"/>
              </w:rPr>
            </w:pPr>
            <w:r>
              <w:rPr>
                <w:lang w:val="en-US"/>
              </w:rPr>
              <w:t>Momentum source term</w:t>
            </w:r>
          </w:p>
        </w:tc>
      </w:tr>
      <w:tr w:rsidR="004C17F3" w14:paraId="668D02F6" w14:textId="77777777" w:rsidTr="006923B5">
        <w:tc>
          <w:tcPr>
            <w:tcW w:w="1701" w:type="dxa"/>
          </w:tcPr>
          <w:p w14:paraId="1B38D7AA" w14:textId="34F3CFFB" w:rsidR="004C17F3" w:rsidRPr="00232D3E" w:rsidRDefault="006A17F1" w:rsidP="004C17F3">
            <w:pPr>
              <w:spacing w:line="240" w:lineRule="auto"/>
              <w:ind w:firstLine="0"/>
              <w:rPr>
                <w:rFonts w:eastAsia="Calibri"/>
                <w:lang w:val="en-US"/>
              </w:rPr>
            </w:pPr>
            <m:oMathPara>
              <m:oMath>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r</m:t>
                    </m:r>
                  </m:sub>
                </m:sSub>
              </m:oMath>
            </m:oMathPara>
          </w:p>
        </w:tc>
        <w:tc>
          <w:tcPr>
            <w:tcW w:w="6237" w:type="dxa"/>
          </w:tcPr>
          <w:p w14:paraId="6EB666A7" w14:textId="45F4F1BB" w:rsidR="004C17F3" w:rsidRDefault="004C17F3" w:rsidP="004C17F3">
            <w:pPr>
              <w:spacing w:line="240" w:lineRule="auto"/>
              <w:ind w:firstLine="0"/>
              <w:rPr>
                <w:lang w:val="en-US"/>
              </w:rPr>
            </w:pPr>
            <w:r>
              <w:rPr>
                <w:lang w:val="en-US"/>
              </w:rPr>
              <w:t>Radiative heat source term</w:t>
            </w:r>
          </w:p>
        </w:tc>
      </w:tr>
      <w:tr w:rsidR="004C17F3" w14:paraId="073C78C3" w14:textId="77777777" w:rsidTr="006923B5">
        <w:tc>
          <w:tcPr>
            <w:tcW w:w="1701" w:type="dxa"/>
          </w:tcPr>
          <w:p w14:paraId="4A0705B9" w14:textId="5FDE7825" w:rsidR="004C17F3" w:rsidRPr="00232D3E" w:rsidRDefault="004C17F3" w:rsidP="004C17F3">
            <w:pPr>
              <w:spacing w:line="240" w:lineRule="auto"/>
              <w:ind w:firstLine="0"/>
              <w:rPr>
                <w:rFonts w:eastAsia="Calibri"/>
                <w:lang w:val="en-US"/>
              </w:rPr>
            </w:pPr>
            <m:oMathPara>
              <m:oMath>
                <m:r>
                  <w:rPr>
                    <w:rFonts w:ascii="Cambria Math" w:eastAsia="Calibri" w:hAnsi="Cambria Math"/>
                    <w:lang w:val="en-US"/>
                  </w:rPr>
                  <m:t>Sc</m:t>
                </m:r>
              </m:oMath>
            </m:oMathPara>
          </w:p>
        </w:tc>
        <w:tc>
          <w:tcPr>
            <w:tcW w:w="6237" w:type="dxa"/>
          </w:tcPr>
          <w:p w14:paraId="0A736027" w14:textId="696BE161" w:rsidR="004C17F3" w:rsidRDefault="004C17F3" w:rsidP="004C17F3">
            <w:pPr>
              <w:spacing w:line="240" w:lineRule="auto"/>
              <w:ind w:firstLine="0"/>
              <w:rPr>
                <w:lang w:val="en-US"/>
              </w:rPr>
            </w:pPr>
            <w:r>
              <w:rPr>
                <w:lang w:val="en-US"/>
              </w:rPr>
              <w:t>Schmidt number</w:t>
            </w:r>
          </w:p>
        </w:tc>
      </w:tr>
      <w:tr w:rsidR="004C17F3" w14:paraId="45685EBA" w14:textId="77777777" w:rsidTr="006923B5">
        <w:tc>
          <w:tcPr>
            <w:tcW w:w="1701" w:type="dxa"/>
          </w:tcPr>
          <w:p w14:paraId="29305864" w14:textId="43AC8B98" w:rsidR="004C17F3" w:rsidRPr="00232D3E" w:rsidRDefault="004C17F3" w:rsidP="004C17F3">
            <w:pPr>
              <w:spacing w:line="240" w:lineRule="auto"/>
              <w:ind w:firstLine="0"/>
              <w:rPr>
                <w:rFonts w:eastAsia="Calibri"/>
                <w:lang w:val="en-US"/>
              </w:rPr>
            </w:pPr>
            <m:oMathPara>
              <m:oMath>
                <m:r>
                  <w:rPr>
                    <w:rFonts w:ascii="Cambria Math" w:eastAsia="Calibri" w:hAnsi="Cambria Math"/>
                    <w:lang w:val="en-US"/>
                  </w:rPr>
                  <m:t>Sh</m:t>
                </m:r>
              </m:oMath>
            </m:oMathPara>
          </w:p>
        </w:tc>
        <w:tc>
          <w:tcPr>
            <w:tcW w:w="6237" w:type="dxa"/>
          </w:tcPr>
          <w:p w14:paraId="3EBBCB05" w14:textId="766FEA09" w:rsidR="004C17F3" w:rsidRDefault="004C17F3" w:rsidP="004C17F3">
            <w:pPr>
              <w:spacing w:line="240" w:lineRule="auto"/>
              <w:ind w:firstLine="0"/>
              <w:rPr>
                <w:lang w:val="en-US"/>
              </w:rPr>
            </w:pPr>
            <w:r>
              <w:rPr>
                <w:lang w:val="en-US"/>
              </w:rPr>
              <w:t>Sherwood number</w:t>
            </w:r>
          </w:p>
        </w:tc>
      </w:tr>
      <w:tr w:rsidR="004C17F3" w14:paraId="0BBE3FB5" w14:textId="77777777" w:rsidTr="006923B5">
        <w:tc>
          <w:tcPr>
            <w:tcW w:w="1701" w:type="dxa"/>
          </w:tcPr>
          <w:p w14:paraId="19ADEE04" w14:textId="4B971553" w:rsidR="004C17F3" w:rsidRPr="00232D3E" w:rsidRDefault="004C17F3" w:rsidP="004C17F3">
            <w:pPr>
              <w:spacing w:line="240" w:lineRule="auto"/>
              <w:ind w:firstLine="0"/>
              <w:rPr>
                <w:rFonts w:eastAsia="Calibri"/>
                <w:lang w:val="en-US"/>
              </w:rPr>
            </w:pPr>
            <m:oMathPara>
              <m:oMath>
                <m:r>
                  <w:rPr>
                    <w:rFonts w:ascii="Cambria Math" w:eastAsia="Calibri" w:hAnsi="Cambria Math"/>
                    <w:lang w:val="en-US"/>
                  </w:rPr>
                  <m:t>t</m:t>
                </m:r>
              </m:oMath>
            </m:oMathPara>
          </w:p>
        </w:tc>
        <w:tc>
          <w:tcPr>
            <w:tcW w:w="6237" w:type="dxa"/>
          </w:tcPr>
          <w:p w14:paraId="4090BD62" w14:textId="31B44DA2" w:rsidR="004C17F3" w:rsidRDefault="004C17F3" w:rsidP="004C17F3">
            <w:pPr>
              <w:spacing w:line="240" w:lineRule="auto"/>
              <w:ind w:firstLine="0"/>
              <w:rPr>
                <w:lang w:val="en-US"/>
              </w:rPr>
            </w:pPr>
            <w:r>
              <w:rPr>
                <w:lang w:val="en-US"/>
              </w:rPr>
              <w:t xml:space="preserve">Time </w:t>
            </w:r>
          </w:p>
        </w:tc>
      </w:tr>
      <w:tr w:rsidR="004C17F3" w14:paraId="55246ABA" w14:textId="77777777" w:rsidTr="006923B5">
        <w:tc>
          <w:tcPr>
            <w:tcW w:w="1701" w:type="dxa"/>
          </w:tcPr>
          <w:p w14:paraId="10848020" w14:textId="3F707E14" w:rsidR="004C17F3" w:rsidRDefault="004C17F3" w:rsidP="004C17F3">
            <w:pPr>
              <w:spacing w:line="240" w:lineRule="auto"/>
              <w:ind w:firstLine="0"/>
              <w:rPr>
                <w:rFonts w:eastAsia="Calibri"/>
                <w:lang w:val="en-US"/>
              </w:rPr>
            </w:pPr>
            <m:oMathPara>
              <m:oMath>
                <m:r>
                  <w:rPr>
                    <w:rFonts w:ascii="Cambria Math" w:hAnsi="Cambria Math"/>
                    <w:lang w:val="en-US"/>
                  </w:rPr>
                  <m:t>T</m:t>
                </m:r>
              </m:oMath>
            </m:oMathPara>
          </w:p>
        </w:tc>
        <w:tc>
          <w:tcPr>
            <w:tcW w:w="6237" w:type="dxa"/>
          </w:tcPr>
          <w:p w14:paraId="46340804" w14:textId="445DB5FF" w:rsidR="004C17F3" w:rsidRDefault="004C17F3" w:rsidP="004C17F3">
            <w:pPr>
              <w:spacing w:line="240" w:lineRule="auto"/>
              <w:ind w:firstLine="0"/>
              <w:rPr>
                <w:lang w:val="en-US"/>
              </w:rPr>
            </w:pPr>
            <w:r>
              <w:rPr>
                <w:lang w:val="en-US"/>
              </w:rPr>
              <w:t>Temperature</w:t>
            </w:r>
          </w:p>
        </w:tc>
      </w:tr>
      <w:tr w:rsidR="004C17F3" w14:paraId="498FC923" w14:textId="77777777" w:rsidTr="006923B5">
        <w:tc>
          <w:tcPr>
            <w:tcW w:w="1701" w:type="dxa"/>
          </w:tcPr>
          <w:p w14:paraId="244BEA68" w14:textId="169E7593" w:rsidR="004C17F3" w:rsidRPr="006C39C4" w:rsidRDefault="004C17F3" w:rsidP="004C17F3">
            <w:pPr>
              <w:spacing w:line="240" w:lineRule="auto"/>
              <w:ind w:firstLine="0"/>
              <w:rPr>
                <w:rFonts w:eastAsia="Calibri"/>
                <w:b/>
                <w:lang w:val="en-US"/>
              </w:rPr>
            </w:pPr>
            <m:oMathPara>
              <m:oMath>
                <m:r>
                  <m:rPr>
                    <m:sty m:val="bi"/>
                  </m:rPr>
                  <w:rPr>
                    <w:rFonts w:ascii="Cambria Math" w:eastAsia="Calibri" w:hAnsi="Cambria Math"/>
                    <w:lang w:val="en-US"/>
                  </w:rPr>
                  <m:t>v</m:t>
                </m:r>
              </m:oMath>
            </m:oMathPara>
          </w:p>
        </w:tc>
        <w:tc>
          <w:tcPr>
            <w:tcW w:w="6237" w:type="dxa"/>
          </w:tcPr>
          <w:p w14:paraId="0F6C51EE" w14:textId="12AF2418" w:rsidR="004C17F3" w:rsidRDefault="004C17F3" w:rsidP="004C17F3">
            <w:pPr>
              <w:spacing w:line="240" w:lineRule="auto"/>
              <w:ind w:firstLine="0"/>
              <w:rPr>
                <w:lang w:val="en-US"/>
              </w:rPr>
            </w:pPr>
            <w:r>
              <w:rPr>
                <w:lang w:val="en-US"/>
              </w:rPr>
              <w:t>Velocity vector</w:t>
            </w:r>
          </w:p>
        </w:tc>
      </w:tr>
      <w:tr w:rsidR="008551E9" w14:paraId="7D7C2E26" w14:textId="77777777" w:rsidTr="006923B5">
        <w:tc>
          <w:tcPr>
            <w:tcW w:w="1701" w:type="dxa"/>
          </w:tcPr>
          <w:p w14:paraId="16D7485C" w14:textId="0F3C0D10" w:rsidR="008551E9" w:rsidRPr="008551E9" w:rsidRDefault="006A17F1" w:rsidP="008551E9">
            <w:pPr>
              <w:spacing w:line="240" w:lineRule="auto"/>
              <w:ind w:firstLine="0"/>
              <w:rPr>
                <w:rFonts w:eastAsia="Calibri"/>
                <w:lang w:val="en-US"/>
              </w:rPr>
            </w:pPr>
            <m:oMathPara>
              <m:oMath>
                <m:acc>
                  <m:accPr>
                    <m:chr m:val="̇"/>
                    <m:ctrlPr>
                      <w:rPr>
                        <w:rFonts w:ascii="Cambria Math" w:eastAsia="Calibri" w:hAnsi="Cambria Math"/>
                        <w:i/>
                        <w:lang w:val="en-US"/>
                      </w:rPr>
                    </m:ctrlPr>
                  </m:accPr>
                  <m:e>
                    <m:r>
                      <w:rPr>
                        <w:rFonts w:ascii="Cambria Math" w:eastAsia="Calibri" w:hAnsi="Cambria Math"/>
                        <w:lang w:val="en-US"/>
                      </w:rPr>
                      <m:t>V</m:t>
                    </m:r>
                  </m:e>
                </m:acc>
              </m:oMath>
            </m:oMathPara>
          </w:p>
        </w:tc>
        <w:tc>
          <w:tcPr>
            <w:tcW w:w="6237" w:type="dxa"/>
          </w:tcPr>
          <w:p w14:paraId="5BFFC02C" w14:textId="44C2C8F6" w:rsidR="008551E9" w:rsidRPr="008551E9" w:rsidRDefault="008551E9" w:rsidP="004C17F3">
            <w:pPr>
              <w:spacing w:line="240" w:lineRule="auto"/>
              <w:ind w:firstLine="0"/>
              <w:rPr>
                <w:lang w:val="en-US"/>
              </w:rPr>
            </w:pPr>
            <w:r>
              <w:rPr>
                <w:lang w:val="en-US"/>
              </w:rPr>
              <w:t>Volume flow rate</w:t>
            </w:r>
          </w:p>
        </w:tc>
      </w:tr>
      <w:tr w:rsidR="004C17F3" w14:paraId="78A499E5" w14:textId="77777777" w:rsidTr="006923B5">
        <w:tc>
          <w:tcPr>
            <w:tcW w:w="1701" w:type="dxa"/>
          </w:tcPr>
          <w:p w14:paraId="32D676D8" w14:textId="6ECBBB7D" w:rsidR="004C17F3" w:rsidRPr="006C39C4" w:rsidRDefault="004C17F3" w:rsidP="004C17F3">
            <w:pPr>
              <w:spacing w:line="240" w:lineRule="auto"/>
              <w:ind w:firstLine="0"/>
              <w:rPr>
                <w:rFonts w:eastAsia="Calibri"/>
                <w:b/>
                <w:lang w:val="en-US"/>
              </w:rPr>
            </w:pPr>
            <m:oMathPara>
              <m:oMath>
                <m:r>
                  <w:rPr>
                    <w:rFonts w:ascii="Cambria Math" w:eastAsia="Calibri" w:hAnsi="Cambria Math"/>
                    <w:lang w:val="en-US"/>
                  </w:rPr>
                  <m:t>y</m:t>
                </m:r>
              </m:oMath>
            </m:oMathPara>
          </w:p>
        </w:tc>
        <w:tc>
          <w:tcPr>
            <w:tcW w:w="6237" w:type="dxa"/>
          </w:tcPr>
          <w:p w14:paraId="689A0AFE" w14:textId="2C28EEE0" w:rsidR="004C17F3" w:rsidRDefault="004C17F3" w:rsidP="004C17F3">
            <w:pPr>
              <w:spacing w:line="240" w:lineRule="auto"/>
              <w:ind w:firstLine="0"/>
              <w:rPr>
                <w:lang w:val="en-US"/>
              </w:rPr>
            </w:pPr>
            <w:r>
              <w:rPr>
                <w:lang w:val="en-US"/>
              </w:rPr>
              <w:t xml:space="preserve">Mass fraction of the </w:t>
            </w:r>
            <w:r w:rsidRPr="00680ECD">
              <w:rPr>
                <w:i/>
                <w:noProof/>
                <w:lang w:val="en-US"/>
              </w:rPr>
              <w:t>k-th</w:t>
            </w:r>
            <w:r>
              <w:rPr>
                <w:lang w:val="en-US"/>
              </w:rPr>
              <w:t xml:space="preserve"> species in a mixture</w:t>
            </w:r>
          </w:p>
        </w:tc>
      </w:tr>
      <w:tr w:rsidR="004C17F3" w14:paraId="48B29A2C" w14:textId="77777777" w:rsidTr="006923B5">
        <w:tc>
          <w:tcPr>
            <w:tcW w:w="1701" w:type="dxa"/>
          </w:tcPr>
          <w:p w14:paraId="37C30C4C" w14:textId="2E567054" w:rsidR="004C17F3" w:rsidRPr="00461191" w:rsidRDefault="004C17F3" w:rsidP="004C17F3">
            <w:pPr>
              <w:spacing w:line="240" w:lineRule="auto"/>
              <w:ind w:firstLine="0"/>
              <w:jc w:val="center"/>
              <w:rPr>
                <w:rFonts w:eastAsia="Calibri"/>
                <w:b/>
                <w:lang w:val="en-US"/>
              </w:rPr>
            </w:pPr>
            <w:r w:rsidRPr="00461191">
              <w:rPr>
                <w:rFonts w:eastAsia="Calibri"/>
                <w:b/>
                <w:lang w:val="en-US"/>
              </w:rPr>
              <w:t>Greek</w:t>
            </w:r>
          </w:p>
        </w:tc>
        <w:tc>
          <w:tcPr>
            <w:tcW w:w="6237" w:type="dxa"/>
          </w:tcPr>
          <w:p w14:paraId="50BB9E3E" w14:textId="77777777" w:rsidR="004C17F3" w:rsidRDefault="004C17F3" w:rsidP="004C17F3">
            <w:pPr>
              <w:spacing w:line="240" w:lineRule="auto"/>
              <w:ind w:firstLine="0"/>
              <w:rPr>
                <w:lang w:val="en-US"/>
              </w:rPr>
            </w:pPr>
          </w:p>
        </w:tc>
      </w:tr>
      <w:tr w:rsidR="004C17F3" w14:paraId="21FB7D0E" w14:textId="77777777" w:rsidTr="006923B5">
        <w:tc>
          <w:tcPr>
            <w:tcW w:w="1701" w:type="dxa"/>
          </w:tcPr>
          <w:p w14:paraId="6AE32903" w14:textId="68E72813" w:rsidR="004C17F3" w:rsidRPr="00461191" w:rsidRDefault="004C17F3" w:rsidP="004C17F3">
            <w:pPr>
              <w:spacing w:line="240" w:lineRule="auto"/>
              <w:ind w:firstLine="0"/>
              <w:jc w:val="center"/>
              <w:rPr>
                <w:rFonts w:eastAsia="Calibri"/>
                <w:lang w:val="en-US"/>
              </w:rPr>
            </w:pPr>
            <m:oMathPara>
              <m:oMath>
                <m:r>
                  <w:rPr>
                    <w:rFonts w:ascii="Cambria Math" w:eastAsia="Calibri" w:hAnsi="Cambria Math"/>
                    <w:lang w:val="en-US"/>
                  </w:rPr>
                  <m:t>α</m:t>
                </m:r>
              </m:oMath>
            </m:oMathPara>
          </w:p>
        </w:tc>
        <w:tc>
          <w:tcPr>
            <w:tcW w:w="6237" w:type="dxa"/>
          </w:tcPr>
          <w:p w14:paraId="27A938F9" w14:textId="4BB24BB7" w:rsidR="004C17F3" w:rsidRDefault="004C17F3" w:rsidP="004C17F3">
            <w:pPr>
              <w:spacing w:line="240" w:lineRule="auto"/>
              <w:ind w:firstLine="0"/>
              <w:rPr>
                <w:lang w:val="en-US"/>
              </w:rPr>
            </w:pPr>
            <w:r>
              <w:rPr>
                <w:lang w:val="en-US"/>
              </w:rPr>
              <w:t>Permeability</w:t>
            </w:r>
          </w:p>
        </w:tc>
      </w:tr>
      <w:tr w:rsidR="004C17F3" w14:paraId="1B9B6F39" w14:textId="77777777" w:rsidTr="006923B5">
        <w:tc>
          <w:tcPr>
            <w:tcW w:w="1701" w:type="dxa"/>
          </w:tcPr>
          <w:p w14:paraId="11355358" w14:textId="03495002" w:rsidR="004C17F3" w:rsidRPr="00461191" w:rsidRDefault="004C17F3" w:rsidP="004C17F3">
            <w:pPr>
              <w:spacing w:line="240" w:lineRule="auto"/>
              <w:ind w:firstLine="0"/>
              <w:jc w:val="center"/>
              <w:rPr>
                <w:rFonts w:eastAsia="Calibri"/>
                <w:lang w:val="en-US"/>
              </w:rPr>
            </w:pPr>
            <m:oMathPara>
              <m:oMath>
                <m:r>
                  <w:rPr>
                    <w:rFonts w:ascii="Cambria Math" w:hAnsi="Cambria Math"/>
                    <w:lang w:val="en-US"/>
                  </w:rPr>
                  <m:t>ε</m:t>
                </m:r>
              </m:oMath>
            </m:oMathPara>
          </w:p>
        </w:tc>
        <w:tc>
          <w:tcPr>
            <w:tcW w:w="6237" w:type="dxa"/>
          </w:tcPr>
          <w:p w14:paraId="45CB196E" w14:textId="4022DC5C" w:rsidR="004C17F3" w:rsidRDefault="004C17F3" w:rsidP="004C17F3">
            <w:pPr>
              <w:spacing w:line="240" w:lineRule="auto"/>
              <w:ind w:firstLine="0"/>
              <w:rPr>
                <w:lang w:val="en-US"/>
              </w:rPr>
            </w:pPr>
            <w:r>
              <w:rPr>
                <w:lang w:val="en-US"/>
              </w:rPr>
              <w:t xml:space="preserve">Porosity </w:t>
            </w:r>
          </w:p>
        </w:tc>
      </w:tr>
      <w:tr w:rsidR="004C17F3" w14:paraId="6216FEDE" w14:textId="77777777" w:rsidTr="006923B5">
        <w:tc>
          <w:tcPr>
            <w:tcW w:w="1701" w:type="dxa"/>
          </w:tcPr>
          <w:p w14:paraId="5D1EBC6E" w14:textId="23B2F7A0" w:rsidR="004C17F3" w:rsidRDefault="004C17F3" w:rsidP="004C17F3">
            <w:pPr>
              <w:spacing w:line="240" w:lineRule="auto"/>
              <w:ind w:firstLine="0"/>
              <w:jc w:val="center"/>
              <w:rPr>
                <w:rFonts w:eastAsia="Calibri"/>
                <w:lang w:val="en-US"/>
              </w:rPr>
            </w:pPr>
            <m:oMathPara>
              <m:oMath>
                <m:r>
                  <w:rPr>
                    <w:rFonts w:ascii="Cambria Math" w:eastAsiaTheme="minorEastAsia" w:hAnsi="Cambria Math" w:cstheme="minorBidi"/>
                    <w:lang w:val="en-US"/>
                  </w:rPr>
                  <m:t>μ</m:t>
                </m:r>
              </m:oMath>
            </m:oMathPara>
          </w:p>
        </w:tc>
        <w:tc>
          <w:tcPr>
            <w:tcW w:w="6237" w:type="dxa"/>
          </w:tcPr>
          <w:p w14:paraId="7F2FA698" w14:textId="67CAAE48" w:rsidR="004C17F3" w:rsidRDefault="004C17F3" w:rsidP="004C17F3">
            <w:pPr>
              <w:spacing w:line="240" w:lineRule="auto"/>
              <w:ind w:firstLine="0"/>
              <w:rPr>
                <w:lang w:val="en-US"/>
              </w:rPr>
            </w:pPr>
            <w:r>
              <w:rPr>
                <w:lang w:val="en-US"/>
              </w:rPr>
              <w:t>Dynamic viscosity</w:t>
            </w:r>
          </w:p>
        </w:tc>
      </w:tr>
      <w:tr w:rsidR="004C17F3" w14:paraId="54335FA5" w14:textId="77777777" w:rsidTr="006923B5">
        <w:tc>
          <w:tcPr>
            <w:tcW w:w="1701" w:type="dxa"/>
          </w:tcPr>
          <w:p w14:paraId="32F580FF" w14:textId="295F1C11" w:rsidR="004C17F3" w:rsidRDefault="006A17F1" w:rsidP="004C17F3">
            <w:pPr>
              <w:spacing w:line="240" w:lineRule="auto"/>
              <w:ind w:firstLine="0"/>
              <w:jc w:val="center"/>
              <w:rPr>
                <w:rFonts w:eastAsia="Calibri"/>
                <w:lang w:val="en-US"/>
              </w:rPr>
            </w:pPr>
            <m:oMathPara>
              <m:oMath>
                <m:sSub>
                  <m:sSubPr>
                    <m:ctrlPr>
                      <w:rPr>
                        <w:rFonts w:ascii="Cambria Math" w:hAnsi="Cambria Math"/>
                        <w:i/>
                        <w:lang w:val="en-US"/>
                      </w:rPr>
                    </m:ctrlPr>
                  </m:sSubPr>
                  <m:e>
                    <m:r>
                      <w:rPr>
                        <w:rFonts w:ascii="Cambria Math" w:hAnsi="Cambria Math"/>
                        <w:lang w:val="en-US"/>
                      </w:rPr>
                      <m:t>μ</m:t>
                    </m:r>
                  </m:e>
                  <m:sub>
                    <m:r>
                      <w:rPr>
                        <w:rFonts w:ascii="Cambria Math" w:hAnsi="Cambria Math"/>
                        <w:lang w:val="en-US"/>
                      </w:rPr>
                      <m:t>t</m:t>
                    </m:r>
                  </m:sub>
                </m:sSub>
              </m:oMath>
            </m:oMathPara>
          </w:p>
        </w:tc>
        <w:tc>
          <w:tcPr>
            <w:tcW w:w="6237" w:type="dxa"/>
          </w:tcPr>
          <w:p w14:paraId="0F629679" w14:textId="50FDC379" w:rsidR="004C17F3" w:rsidRDefault="004C17F3" w:rsidP="004C17F3">
            <w:pPr>
              <w:spacing w:line="240" w:lineRule="auto"/>
              <w:ind w:firstLine="0"/>
              <w:rPr>
                <w:lang w:val="en-US"/>
              </w:rPr>
            </w:pPr>
            <w:r>
              <w:rPr>
                <w:lang w:val="en-US"/>
              </w:rPr>
              <w:t>Turbulent dynamic viscosity</w:t>
            </w:r>
          </w:p>
        </w:tc>
      </w:tr>
      <w:tr w:rsidR="004C17F3" w14:paraId="30C7B356" w14:textId="77777777" w:rsidTr="006923B5">
        <w:tc>
          <w:tcPr>
            <w:tcW w:w="1701" w:type="dxa"/>
          </w:tcPr>
          <w:p w14:paraId="3B411C96" w14:textId="7BACC4FA" w:rsidR="004C17F3" w:rsidRPr="00A16ADC" w:rsidRDefault="004C17F3" w:rsidP="004C17F3">
            <w:pPr>
              <w:spacing w:line="240" w:lineRule="auto"/>
              <w:ind w:firstLine="0"/>
              <w:jc w:val="center"/>
              <w:rPr>
                <w:rFonts w:eastAsia="Calibri"/>
                <w:lang w:val="en-US"/>
              </w:rPr>
            </w:pPr>
            <m:oMathPara>
              <m:oMath>
                <m:r>
                  <w:rPr>
                    <w:rFonts w:ascii="Cambria Math" w:eastAsiaTheme="minorEastAsia" w:hAnsi="Cambria Math" w:cstheme="minorBidi"/>
                    <w:lang w:val="en-US"/>
                  </w:rPr>
                  <m:t>υ</m:t>
                </m:r>
              </m:oMath>
            </m:oMathPara>
          </w:p>
        </w:tc>
        <w:tc>
          <w:tcPr>
            <w:tcW w:w="6237" w:type="dxa"/>
          </w:tcPr>
          <w:p w14:paraId="4BF27D8F" w14:textId="67443FF3" w:rsidR="004C17F3" w:rsidRDefault="004C17F3" w:rsidP="004C17F3">
            <w:pPr>
              <w:spacing w:line="240" w:lineRule="auto"/>
              <w:ind w:firstLine="0"/>
              <w:rPr>
                <w:lang w:val="en-US"/>
              </w:rPr>
            </w:pPr>
            <w:r>
              <w:rPr>
                <w:lang w:val="en-US"/>
              </w:rPr>
              <w:t>Kinematic viscosity</w:t>
            </w:r>
          </w:p>
        </w:tc>
      </w:tr>
      <w:tr w:rsidR="004C17F3" w14:paraId="4874B1C1" w14:textId="77777777" w:rsidTr="006923B5">
        <w:tc>
          <w:tcPr>
            <w:tcW w:w="1701" w:type="dxa"/>
          </w:tcPr>
          <w:p w14:paraId="446E8A06" w14:textId="0CC4E836" w:rsidR="004C17F3" w:rsidRDefault="004C17F3" w:rsidP="004C17F3">
            <w:pPr>
              <w:spacing w:line="240" w:lineRule="auto"/>
              <w:ind w:firstLine="0"/>
              <w:jc w:val="center"/>
              <w:rPr>
                <w:rFonts w:eastAsia="Calibri"/>
                <w:lang w:val="en-US"/>
              </w:rPr>
            </w:pPr>
            <m:oMathPara>
              <m:oMath>
                <m:r>
                  <w:rPr>
                    <w:rFonts w:ascii="Cambria Math" w:eastAsiaTheme="minorEastAsia" w:hAnsi="Cambria Math" w:cstheme="minorBidi"/>
                    <w:lang w:val="en-US"/>
                  </w:rPr>
                  <m:t>Φ</m:t>
                </m:r>
              </m:oMath>
            </m:oMathPara>
          </w:p>
        </w:tc>
        <w:tc>
          <w:tcPr>
            <w:tcW w:w="6237" w:type="dxa"/>
          </w:tcPr>
          <w:p w14:paraId="5FB1F0EE" w14:textId="59E39499" w:rsidR="004C17F3" w:rsidRDefault="004C17F3" w:rsidP="004C17F3">
            <w:pPr>
              <w:spacing w:line="240" w:lineRule="auto"/>
              <w:ind w:firstLine="0"/>
              <w:rPr>
                <w:lang w:val="en-US"/>
              </w:rPr>
            </w:pPr>
            <w:r>
              <w:rPr>
                <w:lang w:val="en-US"/>
              </w:rPr>
              <w:t>Scattering phase function</w:t>
            </w:r>
          </w:p>
        </w:tc>
      </w:tr>
      <w:tr w:rsidR="00ED156A" w14:paraId="4A2735D4" w14:textId="77777777" w:rsidTr="006923B5">
        <w:tc>
          <w:tcPr>
            <w:tcW w:w="1701" w:type="dxa"/>
          </w:tcPr>
          <w:p w14:paraId="7D295E58" w14:textId="4D18EE02" w:rsidR="00ED156A" w:rsidRDefault="006A17F1" w:rsidP="00ED156A">
            <w:pPr>
              <w:spacing w:line="240" w:lineRule="auto"/>
              <w:ind w:firstLine="0"/>
              <w:jc w:val="center"/>
              <w:rPr>
                <w:rFonts w:eastAsia="Calibri"/>
                <w:lang w:val="en-US"/>
              </w:rPr>
            </w:pPr>
            <m:oMath>
              <m:sSub>
                <m:sSubPr>
                  <m:ctrlPr>
                    <w:rPr>
                      <w:rFonts w:ascii="Cambria Math" w:eastAsiaTheme="minorEastAsia" w:hAnsi="Cambria Math" w:cstheme="minorBidi"/>
                      <w:i/>
                      <w:lang w:val="en-US"/>
                    </w:rPr>
                  </m:ctrlPr>
                </m:sSubPr>
                <m:e>
                  <m:r>
                    <w:rPr>
                      <w:rFonts w:ascii="Cambria Math" w:eastAsiaTheme="minorEastAsia" w:hAnsi="Cambria Math" w:cstheme="minorBidi"/>
                      <w:lang w:val="en-US"/>
                    </w:rPr>
                    <m:t>ϕ</m:t>
                  </m:r>
                </m:e>
                <m:sub>
                  <m:r>
                    <w:rPr>
                      <w:rFonts w:ascii="Cambria Math" w:eastAsiaTheme="minorEastAsia" w:hAnsi="Cambria Math" w:cstheme="minorBidi"/>
                      <w:lang w:val="en-US"/>
                    </w:rPr>
                    <m:t>T</m:t>
                  </m:r>
                </m:sub>
              </m:sSub>
            </m:oMath>
            <w:r w:rsidR="00ED156A" w:rsidRPr="00ED156A">
              <w:rPr>
                <w:rFonts w:ascii="Cambria Math" w:eastAsiaTheme="minorEastAsia" w:hAnsi="Cambria Math" w:cstheme="minorBidi"/>
                <w:i/>
                <w:lang w:val="en-US"/>
              </w:rPr>
              <w:t xml:space="preserve"> </w:t>
            </w:r>
          </w:p>
        </w:tc>
        <w:tc>
          <w:tcPr>
            <w:tcW w:w="6237" w:type="dxa"/>
          </w:tcPr>
          <w:p w14:paraId="37156096" w14:textId="600AE9EE" w:rsidR="00ED156A" w:rsidRDefault="00ED156A" w:rsidP="00ED156A">
            <w:pPr>
              <w:spacing w:line="240" w:lineRule="auto"/>
              <w:ind w:firstLine="0"/>
              <w:rPr>
                <w:lang w:val="en-US"/>
              </w:rPr>
            </w:pPr>
            <w:r w:rsidRPr="00802745">
              <w:t>Dimensionless</w:t>
            </w:r>
            <w:r>
              <w:t xml:space="preserve"> </w:t>
            </w:r>
            <w:r w:rsidRPr="00802745">
              <w:t>factor</w:t>
            </w:r>
          </w:p>
        </w:tc>
      </w:tr>
      <w:tr w:rsidR="004C17F3" w14:paraId="02BC10E5" w14:textId="77777777" w:rsidTr="006923B5">
        <w:tc>
          <w:tcPr>
            <w:tcW w:w="1701" w:type="dxa"/>
          </w:tcPr>
          <w:p w14:paraId="3EB36C28" w14:textId="10BC1030" w:rsidR="004C17F3" w:rsidRDefault="004C17F3" w:rsidP="004C17F3">
            <w:pPr>
              <w:spacing w:line="240" w:lineRule="auto"/>
              <w:ind w:firstLine="0"/>
              <w:jc w:val="center"/>
              <w:rPr>
                <w:rFonts w:eastAsia="Calibri"/>
                <w:lang w:val="en-US"/>
              </w:rPr>
            </w:pPr>
            <m:oMathPara>
              <m:oMath>
                <m:r>
                  <w:rPr>
                    <w:rFonts w:ascii="Cambria Math" w:eastAsiaTheme="minorEastAsia" w:hAnsi="Cambria Math" w:cstheme="minorBidi"/>
                    <w:lang w:val="en-US"/>
                  </w:rPr>
                  <m:t>ρ</m:t>
                </m:r>
              </m:oMath>
            </m:oMathPara>
          </w:p>
        </w:tc>
        <w:tc>
          <w:tcPr>
            <w:tcW w:w="6237" w:type="dxa"/>
          </w:tcPr>
          <w:p w14:paraId="04491520" w14:textId="2BA98C1B" w:rsidR="004C17F3" w:rsidRDefault="004C17F3" w:rsidP="004C17F3">
            <w:pPr>
              <w:spacing w:line="240" w:lineRule="auto"/>
              <w:ind w:firstLine="0"/>
              <w:rPr>
                <w:lang w:val="en-US"/>
              </w:rPr>
            </w:pPr>
            <w:r>
              <w:rPr>
                <w:lang w:val="en-US"/>
              </w:rPr>
              <w:t xml:space="preserve">Density </w:t>
            </w:r>
          </w:p>
        </w:tc>
      </w:tr>
      <w:tr w:rsidR="004C17F3" w14:paraId="55C86AFB" w14:textId="77777777" w:rsidTr="006923B5">
        <w:tc>
          <w:tcPr>
            <w:tcW w:w="1701" w:type="dxa"/>
          </w:tcPr>
          <w:p w14:paraId="5742AEDB" w14:textId="22C744EC" w:rsidR="004C17F3" w:rsidRDefault="004C17F3" w:rsidP="004C17F3">
            <w:pPr>
              <w:spacing w:line="240" w:lineRule="auto"/>
              <w:ind w:firstLine="0"/>
              <w:jc w:val="center"/>
              <w:rPr>
                <w:rFonts w:eastAsia="Calibri"/>
                <w:lang w:val="en-US"/>
              </w:rPr>
            </w:pPr>
            <m:oMathPara>
              <m:oMath>
                <m:r>
                  <w:rPr>
                    <w:rFonts w:ascii="Cambria Math" w:eastAsiaTheme="minorEastAsia" w:hAnsi="Cambria Math" w:cstheme="minorBidi"/>
                    <w:lang w:val="en-US"/>
                  </w:rPr>
                  <m:t>σ</m:t>
                </m:r>
              </m:oMath>
            </m:oMathPara>
          </w:p>
        </w:tc>
        <w:tc>
          <w:tcPr>
            <w:tcW w:w="6237" w:type="dxa"/>
          </w:tcPr>
          <w:p w14:paraId="343AFB53" w14:textId="672389F4" w:rsidR="004C17F3" w:rsidRDefault="004C17F3" w:rsidP="004C17F3">
            <w:pPr>
              <w:spacing w:line="240" w:lineRule="auto"/>
              <w:ind w:firstLine="0"/>
              <w:rPr>
                <w:lang w:val="en-US"/>
              </w:rPr>
            </w:pPr>
            <w:r>
              <w:rPr>
                <w:lang w:val="en-US"/>
              </w:rPr>
              <w:t>Stefan-Boltzmann constant</w:t>
            </w:r>
          </w:p>
        </w:tc>
      </w:tr>
      <w:tr w:rsidR="004C17F3" w14:paraId="5281561A" w14:textId="77777777" w:rsidTr="006923B5">
        <w:tc>
          <w:tcPr>
            <w:tcW w:w="1701" w:type="dxa"/>
          </w:tcPr>
          <w:p w14:paraId="684942BE" w14:textId="4BC52F0E" w:rsidR="004C17F3" w:rsidRDefault="006A17F1" w:rsidP="004C17F3">
            <w:pPr>
              <w:spacing w:line="240" w:lineRule="auto"/>
              <w:ind w:firstLine="0"/>
              <w:jc w:val="center"/>
              <w:rPr>
                <w:rFonts w:eastAsia="Calibri"/>
                <w:lang w:val="en-US"/>
              </w:rPr>
            </w:pPr>
            <m:oMathPara>
              <m:oMath>
                <m:sSub>
                  <m:sSubPr>
                    <m:ctrlPr>
                      <w:rPr>
                        <w:rFonts w:ascii="Cambria Math" w:eastAsiaTheme="minorEastAsia" w:hAnsi="Cambria Math" w:cstheme="minorBidi"/>
                        <w:i/>
                        <w:lang w:val="en-US"/>
                      </w:rPr>
                    </m:ctrlPr>
                  </m:sSubPr>
                  <m:e>
                    <m:r>
                      <w:rPr>
                        <w:rFonts w:ascii="Cambria Math" w:eastAsiaTheme="minorEastAsia" w:hAnsi="Cambria Math" w:cstheme="minorBidi"/>
                        <w:lang w:val="en-US"/>
                      </w:rPr>
                      <m:t>σ</m:t>
                    </m:r>
                  </m:e>
                  <m:sub>
                    <m:r>
                      <w:rPr>
                        <w:rFonts w:ascii="Cambria Math" w:eastAsiaTheme="minorEastAsia" w:hAnsi="Cambria Math" w:cstheme="minorBidi"/>
                        <w:lang w:val="en-US"/>
                      </w:rPr>
                      <m:t>s</m:t>
                    </m:r>
                  </m:sub>
                </m:sSub>
              </m:oMath>
            </m:oMathPara>
          </w:p>
        </w:tc>
        <w:tc>
          <w:tcPr>
            <w:tcW w:w="6237" w:type="dxa"/>
          </w:tcPr>
          <w:p w14:paraId="5D925986" w14:textId="12CA242B" w:rsidR="004C17F3" w:rsidRDefault="004C17F3" w:rsidP="004C17F3">
            <w:pPr>
              <w:spacing w:line="240" w:lineRule="auto"/>
              <w:ind w:firstLine="0"/>
              <w:rPr>
                <w:lang w:val="en-US"/>
              </w:rPr>
            </w:pPr>
            <w:r>
              <w:rPr>
                <w:lang w:val="en-US"/>
              </w:rPr>
              <w:t>Scattering coefficient</w:t>
            </w:r>
          </w:p>
        </w:tc>
      </w:tr>
      <w:tr w:rsidR="004C17F3" w14:paraId="2C7F0CF5" w14:textId="77777777" w:rsidTr="006923B5">
        <w:tc>
          <w:tcPr>
            <w:tcW w:w="1701" w:type="dxa"/>
          </w:tcPr>
          <w:p w14:paraId="2F4C67F3" w14:textId="28C21BBD" w:rsidR="004C17F3" w:rsidRPr="00EA1E94" w:rsidRDefault="004C17F3" w:rsidP="004C17F3">
            <w:pPr>
              <w:spacing w:line="240" w:lineRule="auto"/>
              <w:ind w:firstLine="0"/>
              <w:jc w:val="center"/>
              <w:rPr>
                <w:rFonts w:eastAsia="Calibri"/>
                <w:lang w:val="en-US"/>
              </w:rPr>
            </w:pPr>
            <m:oMathPara>
              <m:oMath>
                <m:r>
                  <w:rPr>
                    <w:rFonts w:ascii="Cambria Math" w:eastAsiaTheme="minorEastAsia" w:hAnsi="Cambria Math" w:cstheme="minorBidi"/>
                    <w:lang w:val="en-US"/>
                  </w:rPr>
                  <m:t>Ω</m:t>
                </m:r>
              </m:oMath>
            </m:oMathPara>
          </w:p>
        </w:tc>
        <w:tc>
          <w:tcPr>
            <w:tcW w:w="6237" w:type="dxa"/>
          </w:tcPr>
          <w:p w14:paraId="213C9724" w14:textId="718F33B5" w:rsidR="004C17F3" w:rsidRDefault="004C17F3" w:rsidP="004C17F3">
            <w:pPr>
              <w:spacing w:line="240" w:lineRule="auto"/>
              <w:ind w:firstLine="0"/>
              <w:rPr>
                <w:lang w:val="en-US"/>
              </w:rPr>
            </w:pPr>
            <w:r>
              <w:rPr>
                <w:lang w:val="en-US"/>
              </w:rPr>
              <w:t>Solid angle</w:t>
            </w:r>
          </w:p>
        </w:tc>
      </w:tr>
      <w:tr w:rsidR="008551E9" w14:paraId="48182FD4" w14:textId="77777777" w:rsidTr="006923B5">
        <w:tc>
          <w:tcPr>
            <w:tcW w:w="1701" w:type="dxa"/>
          </w:tcPr>
          <w:p w14:paraId="515CB989" w14:textId="7E0C3554" w:rsidR="008551E9" w:rsidRDefault="008551E9" w:rsidP="004C17F3">
            <w:pPr>
              <w:spacing w:line="240" w:lineRule="auto"/>
              <w:ind w:firstLine="0"/>
              <w:jc w:val="center"/>
              <w:rPr>
                <w:rFonts w:eastAsia="Calibri"/>
                <w:lang w:val="en-US"/>
              </w:rPr>
            </w:pPr>
            <m:oMathPara>
              <m:oMath>
                <m:r>
                  <w:rPr>
                    <w:rFonts w:ascii="Cambria Math" w:hAnsi="Cambria Math"/>
                    <w:lang w:val="en-US"/>
                  </w:rPr>
                  <m:t>Π</m:t>
                </m:r>
              </m:oMath>
            </m:oMathPara>
          </w:p>
        </w:tc>
        <w:tc>
          <w:tcPr>
            <w:tcW w:w="6237" w:type="dxa"/>
          </w:tcPr>
          <w:p w14:paraId="6D4696E8" w14:textId="760961A6" w:rsidR="008551E9" w:rsidRDefault="008551E9" w:rsidP="004C17F3">
            <w:pPr>
              <w:spacing w:line="240" w:lineRule="auto"/>
              <w:ind w:firstLine="0"/>
              <w:rPr>
                <w:lang w:val="en-US"/>
              </w:rPr>
            </w:pPr>
            <w:r>
              <w:rPr>
                <w:lang w:val="en-US"/>
              </w:rPr>
              <w:t>Recirculation rate</w:t>
            </w:r>
          </w:p>
        </w:tc>
      </w:tr>
      <w:tr w:rsidR="004C17F3" w14:paraId="75851425" w14:textId="77777777" w:rsidTr="006923B5">
        <w:tc>
          <w:tcPr>
            <w:tcW w:w="1701" w:type="dxa"/>
          </w:tcPr>
          <w:p w14:paraId="16156FE6" w14:textId="70E32021" w:rsidR="004C17F3" w:rsidRPr="00461191" w:rsidRDefault="004C17F3" w:rsidP="004C17F3">
            <w:pPr>
              <w:spacing w:line="240" w:lineRule="auto"/>
              <w:ind w:firstLine="0"/>
              <w:jc w:val="center"/>
              <w:rPr>
                <w:rFonts w:eastAsia="Calibri"/>
                <w:b/>
                <w:lang w:val="en-US"/>
              </w:rPr>
            </w:pPr>
            <w:r w:rsidRPr="00461191">
              <w:rPr>
                <w:rFonts w:eastAsia="Calibri"/>
                <w:b/>
                <w:lang w:val="en-US"/>
              </w:rPr>
              <w:t>Subscripts</w:t>
            </w:r>
          </w:p>
        </w:tc>
        <w:tc>
          <w:tcPr>
            <w:tcW w:w="6237" w:type="dxa"/>
          </w:tcPr>
          <w:p w14:paraId="4F72787C" w14:textId="77777777" w:rsidR="004C17F3" w:rsidRDefault="004C17F3" w:rsidP="004C17F3">
            <w:pPr>
              <w:spacing w:line="240" w:lineRule="auto"/>
              <w:ind w:firstLine="0"/>
              <w:rPr>
                <w:lang w:val="en-US"/>
              </w:rPr>
            </w:pPr>
          </w:p>
        </w:tc>
      </w:tr>
      <w:tr w:rsidR="004C17F3" w14:paraId="3120CCDE" w14:textId="77777777" w:rsidTr="006923B5">
        <w:tc>
          <w:tcPr>
            <w:tcW w:w="1701" w:type="dxa"/>
          </w:tcPr>
          <w:p w14:paraId="79D583D6" w14:textId="7F90EABE" w:rsidR="004C17F3" w:rsidRPr="00461191" w:rsidRDefault="004C17F3" w:rsidP="004C17F3">
            <w:pPr>
              <w:spacing w:line="240" w:lineRule="auto"/>
              <w:ind w:firstLine="0"/>
              <w:jc w:val="center"/>
              <w:rPr>
                <w:rFonts w:eastAsia="Calibri"/>
                <w:i/>
                <w:lang w:val="en-US"/>
              </w:rPr>
            </w:pPr>
            <m:oMathPara>
              <m:oMath>
                <m:r>
                  <w:rPr>
                    <w:rFonts w:ascii="Cambria Math" w:eastAsiaTheme="minorEastAsia" w:hAnsi="Cambria Math" w:cstheme="minorBidi"/>
                    <w:lang w:val="en-US"/>
                  </w:rPr>
                  <m:t>f</m:t>
                </m:r>
              </m:oMath>
            </m:oMathPara>
          </w:p>
        </w:tc>
        <w:tc>
          <w:tcPr>
            <w:tcW w:w="6237" w:type="dxa"/>
          </w:tcPr>
          <w:p w14:paraId="0F2FA02E" w14:textId="5320C6AA" w:rsidR="004C17F3" w:rsidRDefault="004C17F3" w:rsidP="004C17F3">
            <w:pPr>
              <w:spacing w:line="240" w:lineRule="auto"/>
              <w:ind w:firstLine="0"/>
              <w:rPr>
                <w:lang w:val="en-US"/>
              </w:rPr>
            </w:pPr>
            <w:r>
              <w:rPr>
                <w:lang w:val="en-US"/>
              </w:rPr>
              <w:t xml:space="preserve">Fluid </w:t>
            </w:r>
          </w:p>
        </w:tc>
      </w:tr>
      <w:tr w:rsidR="004C17F3" w14:paraId="38BBA665" w14:textId="77777777" w:rsidTr="006923B5">
        <w:tc>
          <w:tcPr>
            <w:tcW w:w="1701" w:type="dxa"/>
          </w:tcPr>
          <w:p w14:paraId="2E8A2965" w14:textId="21F35968" w:rsidR="004C17F3" w:rsidRDefault="004C17F3" w:rsidP="004C17F3">
            <w:pPr>
              <w:spacing w:line="240" w:lineRule="auto"/>
              <w:ind w:firstLine="0"/>
              <w:jc w:val="center"/>
              <w:rPr>
                <w:rFonts w:eastAsia="Calibri"/>
                <w:lang w:val="en-US"/>
              </w:rPr>
            </w:pPr>
            <m:oMathPara>
              <m:oMath>
                <m:r>
                  <w:rPr>
                    <w:rFonts w:ascii="Cambria Math" w:eastAsiaTheme="minorEastAsia" w:hAnsi="Cambria Math" w:cstheme="minorBidi"/>
                    <w:lang w:val="en-US"/>
                  </w:rPr>
                  <m:t>k</m:t>
                </m:r>
              </m:oMath>
            </m:oMathPara>
          </w:p>
        </w:tc>
        <w:tc>
          <w:tcPr>
            <w:tcW w:w="6237" w:type="dxa"/>
          </w:tcPr>
          <w:p w14:paraId="0562C210" w14:textId="03AD3543" w:rsidR="004C17F3" w:rsidRDefault="004C17F3" w:rsidP="004C17F3">
            <w:pPr>
              <w:spacing w:line="240" w:lineRule="auto"/>
              <w:ind w:firstLine="0"/>
              <w:rPr>
                <w:lang w:val="en-US"/>
              </w:rPr>
            </w:pPr>
            <w:r>
              <w:rPr>
                <w:lang w:val="en-US"/>
              </w:rPr>
              <w:t>Index</w:t>
            </w:r>
          </w:p>
        </w:tc>
      </w:tr>
      <w:tr w:rsidR="004C17F3" w14:paraId="24BC6B09" w14:textId="77777777" w:rsidTr="006923B5">
        <w:tc>
          <w:tcPr>
            <w:tcW w:w="1701" w:type="dxa"/>
          </w:tcPr>
          <w:p w14:paraId="389DFC62" w14:textId="7967C91D" w:rsidR="004C17F3" w:rsidRDefault="004C17F3" w:rsidP="004C17F3">
            <w:pPr>
              <w:spacing w:line="240" w:lineRule="auto"/>
              <w:ind w:firstLine="0"/>
              <w:jc w:val="center"/>
              <w:rPr>
                <w:rFonts w:eastAsia="Calibri"/>
                <w:lang w:val="en-US"/>
              </w:rPr>
            </w:pPr>
            <m:oMathPara>
              <m:oMath>
                <m:r>
                  <w:rPr>
                    <w:rFonts w:ascii="Cambria Math" w:hAnsi="Cambria Math"/>
                    <w:lang w:val="en-US"/>
                  </w:rPr>
                  <m:t>liq</m:t>
                </m:r>
              </m:oMath>
            </m:oMathPara>
          </w:p>
        </w:tc>
        <w:tc>
          <w:tcPr>
            <w:tcW w:w="6237" w:type="dxa"/>
          </w:tcPr>
          <w:p w14:paraId="1FE8100C" w14:textId="0EB991AE" w:rsidR="004C17F3" w:rsidRDefault="004C17F3" w:rsidP="004C17F3">
            <w:pPr>
              <w:spacing w:line="240" w:lineRule="auto"/>
              <w:ind w:firstLine="0"/>
              <w:rPr>
                <w:lang w:val="en-US"/>
              </w:rPr>
            </w:pPr>
            <w:r>
              <w:rPr>
                <w:lang w:val="en-US"/>
              </w:rPr>
              <w:t xml:space="preserve">Liquid </w:t>
            </w:r>
          </w:p>
        </w:tc>
      </w:tr>
      <w:tr w:rsidR="004C17F3" w14:paraId="77E6B025" w14:textId="77777777" w:rsidTr="006923B5">
        <w:tc>
          <w:tcPr>
            <w:tcW w:w="1701" w:type="dxa"/>
          </w:tcPr>
          <w:p w14:paraId="75506A71" w14:textId="49A44E5D" w:rsidR="004C17F3" w:rsidRDefault="004C17F3" w:rsidP="004C17F3">
            <w:pPr>
              <w:spacing w:line="240" w:lineRule="auto"/>
              <w:ind w:firstLine="0"/>
              <w:jc w:val="center"/>
              <w:rPr>
                <w:rFonts w:eastAsia="Calibri"/>
                <w:lang w:val="en-US"/>
              </w:rPr>
            </w:pPr>
            <m:oMathPara>
              <m:oMath>
                <m:r>
                  <w:rPr>
                    <w:rFonts w:ascii="Cambria Math" w:eastAsia="Calibri" w:hAnsi="Cambria Math"/>
                    <w:lang w:val="en-US"/>
                  </w:rPr>
                  <m:t>max</m:t>
                </m:r>
              </m:oMath>
            </m:oMathPara>
          </w:p>
        </w:tc>
        <w:tc>
          <w:tcPr>
            <w:tcW w:w="6237" w:type="dxa"/>
          </w:tcPr>
          <w:p w14:paraId="2910785F" w14:textId="083BBD7C" w:rsidR="004C17F3" w:rsidRDefault="004C17F3" w:rsidP="004C17F3">
            <w:pPr>
              <w:spacing w:line="240" w:lineRule="auto"/>
              <w:ind w:firstLine="0"/>
              <w:rPr>
                <w:lang w:val="en-US"/>
              </w:rPr>
            </w:pPr>
            <w:r>
              <w:rPr>
                <w:lang w:val="en-US"/>
              </w:rPr>
              <w:t xml:space="preserve">Maximum </w:t>
            </w:r>
          </w:p>
        </w:tc>
      </w:tr>
      <w:tr w:rsidR="004C17F3" w14:paraId="1C6700E6" w14:textId="77777777" w:rsidTr="006923B5">
        <w:tc>
          <w:tcPr>
            <w:tcW w:w="1701" w:type="dxa"/>
          </w:tcPr>
          <w:p w14:paraId="2F59B41A" w14:textId="36539514" w:rsidR="004C17F3" w:rsidRDefault="004C17F3" w:rsidP="004C17F3">
            <w:pPr>
              <w:spacing w:line="240" w:lineRule="auto"/>
              <w:ind w:firstLine="0"/>
              <w:jc w:val="center"/>
              <w:rPr>
                <w:rFonts w:eastAsia="Calibri"/>
                <w:lang w:val="en-US"/>
              </w:rPr>
            </w:pPr>
            <m:oMathPara>
              <m:oMath>
                <m:r>
                  <w:rPr>
                    <w:rFonts w:ascii="Cambria Math" w:eastAsiaTheme="minorEastAsia" w:hAnsi="Cambria Math" w:cstheme="minorBidi"/>
                    <w:lang w:val="en-US"/>
                  </w:rPr>
                  <m:t>p</m:t>
                </m:r>
              </m:oMath>
            </m:oMathPara>
          </w:p>
        </w:tc>
        <w:tc>
          <w:tcPr>
            <w:tcW w:w="6237" w:type="dxa"/>
          </w:tcPr>
          <w:p w14:paraId="1F5F0C49" w14:textId="3E498D32" w:rsidR="004C17F3" w:rsidRDefault="004C17F3" w:rsidP="004C17F3">
            <w:pPr>
              <w:spacing w:line="240" w:lineRule="auto"/>
              <w:ind w:firstLine="0"/>
              <w:rPr>
                <w:lang w:val="en-US"/>
              </w:rPr>
            </w:pPr>
            <w:r>
              <w:rPr>
                <w:lang w:val="en-US"/>
              </w:rPr>
              <w:t xml:space="preserve">Pore </w:t>
            </w:r>
          </w:p>
        </w:tc>
      </w:tr>
      <w:tr w:rsidR="004C17F3" w14:paraId="23CB60BB" w14:textId="77777777" w:rsidTr="006923B5">
        <w:tc>
          <w:tcPr>
            <w:tcW w:w="1701" w:type="dxa"/>
          </w:tcPr>
          <w:p w14:paraId="2436C620" w14:textId="5028DED9" w:rsidR="004C17F3" w:rsidRDefault="004C17F3" w:rsidP="004C17F3">
            <w:pPr>
              <w:spacing w:line="240" w:lineRule="auto"/>
              <w:ind w:firstLine="0"/>
              <w:jc w:val="center"/>
              <w:rPr>
                <w:rFonts w:eastAsia="Calibri"/>
                <w:lang w:val="en-US"/>
              </w:rPr>
            </w:pPr>
            <m:oMathPara>
              <m:oMath>
                <m:r>
                  <w:rPr>
                    <w:rFonts w:ascii="Cambria Math" w:eastAsiaTheme="minorEastAsia" w:hAnsi="Cambria Math" w:cstheme="minorBidi"/>
                    <w:lang w:val="en-US"/>
                  </w:rPr>
                  <m:t>r</m:t>
                </m:r>
              </m:oMath>
            </m:oMathPara>
          </w:p>
        </w:tc>
        <w:tc>
          <w:tcPr>
            <w:tcW w:w="6237" w:type="dxa"/>
          </w:tcPr>
          <w:p w14:paraId="645B7604" w14:textId="2975E7ED" w:rsidR="004C17F3" w:rsidRDefault="004C17F3" w:rsidP="004C17F3">
            <w:pPr>
              <w:spacing w:line="240" w:lineRule="auto"/>
              <w:ind w:firstLine="0"/>
              <w:rPr>
                <w:lang w:val="en-US"/>
              </w:rPr>
            </w:pPr>
            <w:r>
              <w:rPr>
                <w:lang w:val="en-US"/>
              </w:rPr>
              <w:t>Radiation</w:t>
            </w:r>
          </w:p>
        </w:tc>
      </w:tr>
      <w:tr w:rsidR="004C17F3" w14:paraId="2D4A3092" w14:textId="77777777" w:rsidTr="006923B5">
        <w:tc>
          <w:tcPr>
            <w:tcW w:w="1701" w:type="dxa"/>
          </w:tcPr>
          <w:p w14:paraId="52338039" w14:textId="18F98B7C" w:rsidR="004C17F3" w:rsidRDefault="004C17F3" w:rsidP="004C17F3">
            <w:pPr>
              <w:spacing w:line="240" w:lineRule="auto"/>
              <w:ind w:firstLine="0"/>
              <w:jc w:val="center"/>
              <w:rPr>
                <w:rFonts w:eastAsia="Calibri"/>
                <w:lang w:val="en-US"/>
              </w:rPr>
            </w:pPr>
            <m:oMathPara>
              <m:oMath>
                <m:r>
                  <w:rPr>
                    <w:rFonts w:ascii="Cambria Math" w:eastAsiaTheme="minorEastAsia" w:hAnsi="Cambria Math" w:cstheme="minorBidi"/>
                    <w:lang w:val="en-US"/>
                  </w:rPr>
                  <m:t>s</m:t>
                </m:r>
              </m:oMath>
            </m:oMathPara>
          </w:p>
        </w:tc>
        <w:tc>
          <w:tcPr>
            <w:tcW w:w="6237" w:type="dxa"/>
          </w:tcPr>
          <w:p w14:paraId="1CCADB42" w14:textId="343D696B" w:rsidR="004C17F3" w:rsidRDefault="004C17F3" w:rsidP="004C17F3">
            <w:pPr>
              <w:spacing w:line="240" w:lineRule="auto"/>
              <w:ind w:firstLine="0"/>
              <w:rPr>
                <w:lang w:val="en-US"/>
              </w:rPr>
            </w:pPr>
            <w:r>
              <w:rPr>
                <w:lang w:val="en-US"/>
              </w:rPr>
              <w:t xml:space="preserve">Solid </w:t>
            </w:r>
          </w:p>
        </w:tc>
      </w:tr>
      <w:tr w:rsidR="004C17F3" w14:paraId="40FDBF5C" w14:textId="77777777" w:rsidTr="006923B5">
        <w:tc>
          <w:tcPr>
            <w:tcW w:w="1701" w:type="dxa"/>
          </w:tcPr>
          <w:p w14:paraId="1A53B8BA" w14:textId="7B648F93" w:rsidR="004C17F3" w:rsidRDefault="004C17F3" w:rsidP="004C17F3">
            <w:pPr>
              <w:spacing w:line="240" w:lineRule="auto"/>
              <w:ind w:firstLine="0"/>
              <w:jc w:val="center"/>
              <w:rPr>
                <w:rFonts w:eastAsia="Calibri"/>
                <w:lang w:val="en-US"/>
              </w:rPr>
            </w:pPr>
            <m:oMathPara>
              <m:oMath>
                <m:r>
                  <w:rPr>
                    <w:rFonts w:ascii="Cambria Math" w:eastAsiaTheme="minorEastAsia" w:hAnsi="Cambria Math" w:cstheme="minorBidi"/>
                    <w:lang w:val="en-US"/>
                  </w:rPr>
                  <m:t>sp</m:t>
                </m:r>
              </m:oMath>
            </m:oMathPara>
          </w:p>
        </w:tc>
        <w:tc>
          <w:tcPr>
            <w:tcW w:w="6237" w:type="dxa"/>
          </w:tcPr>
          <w:p w14:paraId="18E269B3" w14:textId="49D4D2CF" w:rsidR="004C17F3" w:rsidRDefault="004C17F3" w:rsidP="004C17F3">
            <w:pPr>
              <w:spacing w:line="240" w:lineRule="auto"/>
              <w:ind w:firstLine="0"/>
              <w:rPr>
                <w:lang w:val="en-US"/>
              </w:rPr>
            </w:pPr>
            <w:r>
              <w:rPr>
                <w:lang w:val="en-US"/>
              </w:rPr>
              <w:t xml:space="preserve">Species </w:t>
            </w:r>
          </w:p>
        </w:tc>
      </w:tr>
      <w:tr w:rsidR="004C17F3" w14:paraId="36EEDAF9" w14:textId="77777777" w:rsidTr="006923B5">
        <w:tc>
          <w:tcPr>
            <w:tcW w:w="1701" w:type="dxa"/>
          </w:tcPr>
          <w:p w14:paraId="6C165947" w14:textId="1D60FF54" w:rsidR="004C17F3" w:rsidRDefault="004C17F3" w:rsidP="004C17F3">
            <w:pPr>
              <w:spacing w:line="240" w:lineRule="auto"/>
              <w:ind w:firstLine="0"/>
              <w:jc w:val="center"/>
              <w:rPr>
                <w:rFonts w:eastAsia="Calibri"/>
                <w:lang w:val="en-US"/>
              </w:rPr>
            </w:pPr>
            <m:oMathPara>
              <m:oMath>
                <m:r>
                  <w:rPr>
                    <w:rFonts w:ascii="Cambria Math" w:eastAsiaTheme="minorEastAsia" w:hAnsi="Cambria Math" w:cstheme="minorBidi"/>
                    <w:lang w:val="en-US"/>
                  </w:rPr>
                  <m:t>t</m:t>
                </m:r>
              </m:oMath>
            </m:oMathPara>
          </w:p>
        </w:tc>
        <w:tc>
          <w:tcPr>
            <w:tcW w:w="6237" w:type="dxa"/>
          </w:tcPr>
          <w:p w14:paraId="306BE9A3" w14:textId="1679A33B" w:rsidR="004C17F3" w:rsidRDefault="004C17F3" w:rsidP="004C17F3">
            <w:pPr>
              <w:spacing w:line="240" w:lineRule="auto"/>
              <w:ind w:firstLine="0"/>
              <w:rPr>
                <w:lang w:val="en-US"/>
              </w:rPr>
            </w:pPr>
            <w:r>
              <w:rPr>
                <w:lang w:val="en-US"/>
              </w:rPr>
              <w:t xml:space="preserve">Turbulent </w:t>
            </w:r>
          </w:p>
        </w:tc>
      </w:tr>
    </w:tbl>
    <w:p w14:paraId="12F58754" w14:textId="22FE0A38" w:rsidR="00461191" w:rsidRDefault="00461191" w:rsidP="00BE71BD">
      <w:pPr>
        <w:rPr>
          <w:lang w:val="en-US"/>
        </w:rPr>
      </w:pPr>
    </w:p>
    <w:p w14:paraId="4DC5B5D0" w14:textId="77777777" w:rsidR="0005527D" w:rsidRDefault="0005527D">
      <w:pPr>
        <w:spacing w:line="276" w:lineRule="auto"/>
        <w:ind w:firstLine="0"/>
        <w:jc w:val="left"/>
        <w:rPr>
          <w:rFonts w:eastAsiaTheme="majorEastAsia" w:cstheme="majorBidi"/>
          <w:b/>
          <w:bCs/>
          <w:color w:val="4F81BD" w:themeColor="accent1"/>
          <w:sz w:val="26"/>
          <w:szCs w:val="26"/>
          <w:lang w:val="en-US"/>
        </w:rPr>
      </w:pPr>
      <w:r>
        <w:rPr>
          <w:lang w:val="en-US"/>
        </w:rPr>
        <w:br w:type="page"/>
      </w:r>
    </w:p>
    <w:p w14:paraId="355ED362" w14:textId="5FF17942" w:rsidR="0005527D" w:rsidRDefault="0005527D" w:rsidP="0005527D">
      <w:pPr>
        <w:pStyle w:val="Titolo2"/>
        <w:numPr>
          <w:ilvl w:val="0"/>
          <w:numId w:val="0"/>
        </w:numPr>
        <w:rPr>
          <w:lang w:val="en-US"/>
        </w:rPr>
      </w:pPr>
      <w:r>
        <w:rPr>
          <w:lang w:val="en-US"/>
        </w:rPr>
        <w:lastRenderedPageBreak/>
        <w:t>Appendix – System modeling</w:t>
      </w:r>
    </w:p>
    <w:p w14:paraId="6E01B925" w14:textId="2CF13E78" w:rsidR="006060A3" w:rsidRPr="006922B2" w:rsidRDefault="006923B5" w:rsidP="00ED156A">
      <w:pPr>
        <w:pStyle w:val="Titolo3"/>
        <w:numPr>
          <w:ilvl w:val="0"/>
          <w:numId w:val="0"/>
        </w:numPr>
        <w:ind w:left="720" w:hanging="360"/>
        <w:rPr>
          <w:color w:val="4F81BD" w:themeColor="accent1"/>
          <w:lang w:val="en-US"/>
        </w:rPr>
      </w:pPr>
      <w:r>
        <w:rPr>
          <w:color w:val="4F81BD" w:themeColor="accent1"/>
          <w:lang w:val="en-US"/>
        </w:rPr>
        <w:t xml:space="preserve">Section 1: </w:t>
      </w:r>
      <w:r w:rsidR="00461191">
        <w:rPr>
          <w:color w:val="4F81BD" w:themeColor="accent1"/>
          <w:lang w:val="en-US"/>
        </w:rPr>
        <w:t>O</w:t>
      </w:r>
      <w:r w:rsidR="006060A3">
        <w:rPr>
          <w:color w:val="4F81BD" w:themeColor="accent1"/>
          <w:lang w:val="en-US"/>
        </w:rPr>
        <w:t xml:space="preserve">xy-combustor </w:t>
      </w:r>
    </w:p>
    <w:p w14:paraId="5328B973" w14:textId="77777777" w:rsidR="006060A3" w:rsidRPr="00ED156A" w:rsidRDefault="006060A3" w:rsidP="00ED156A">
      <w:pPr>
        <w:ind w:left="360" w:firstLine="0"/>
        <w:rPr>
          <w:b/>
          <w:lang w:val="en-US"/>
        </w:rPr>
      </w:pPr>
      <w:r w:rsidRPr="00ED156A">
        <w:rPr>
          <w:b/>
          <w:lang w:val="en-US"/>
        </w:rPr>
        <w:t>The proposed geometry</w:t>
      </w:r>
    </w:p>
    <w:p w14:paraId="5C5F581A" w14:textId="73C895CC" w:rsidR="006060A3" w:rsidRPr="00E662AE" w:rsidRDefault="006060A3" w:rsidP="006060A3">
      <w:pPr>
        <w:rPr>
          <w:b/>
          <w:bCs/>
          <w:lang w:val="en-US"/>
        </w:rPr>
      </w:pPr>
      <w:r w:rsidRPr="00E662AE">
        <w:rPr>
          <w:lang w:val="en-US"/>
        </w:rPr>
        <w:t xml:space="preserve">The oxy-combustor is composed of four concentric pipes. The oxygen </w:t>
      </w:r>
      <w:r w:rsidRPr="00680ECD">
        <w:rPr>
          <w:noProof/>
          <w:lang w:val="en-US"/>
        </w:rPr>
        <w:t>is divided</w:t>
      </w:r>
      <w:r w:rsidRPr="00E662AE">
        <w:rPr>
          <w:lang w:val="en-US"/>
        </w:rPr>
        <w:t xml:space="preserve"> into two streams: primary and secondary. </w:t>
      </w:r>
      <w:r>
        <w:rPr>
          <w:lang w:val="en-US"/>
        </w:rPr>
        <w:t xml:space="preserve">As shown in Figure </w:t>
      </w:r>
      <w:r w:rsidR="001564E2">
        <w:rPr>
          <w:lang w:val="en-US"/>
        </w:rPr>
        <w:t>A1</w:t>
      </w:r>
      <w:r>
        <w:rPr>
          <w:lang w:val="en-US"/>
        </w:rPr>
        <w:t>, p</w:t>
      </w:r>
      <w:r w:rsidRPr="00E662AE">
        <w:rPr>
          <w:lang w:val="en-US"/>
        </w:rPr>
        <w:t xml:space="preserve">rimary oxygen has an inlet (2) and flows through the distribution pipe to its outlet being the three rows of nozzles. Analogously, the secondary oxygen inflows through an inlet (5) and enters the combustion zone by outlet nozzles. The </w:t>
      </w:r>
      <w:r w:rsidRPr="00680ECD">
        <w:rPr>
          <w:noProof/>
          <w:lang w:val="en-US"/>
        </w:rPr>
        <w:t>primary</w:t>
      </w:r>
      <w:r w:rsidRPr="00E662AE">
        <w:rPr>
          <w:lang w:val="en-US"/>
        </w:rPr>
        <w:t xml:space="preserve"> oxygen pipe </w:t>
      </w:r>
      <w:r w:rsidRPr="00680ECD">
        <w:rPr>
          <w:noProof/>
          <w:lang w:val="en-US"/>
        </w:rPr>
        <w:t>is placed</w:t>
      </w:r>
      <w:r w:rsidRPr="00E662AE">
        <w:rPr>
          <w:lang w:val="en-US"/>
        </w:rPr>
        <w:t xml:space="preserve"> inside the cylinder made of porous material (</w:t>
      </w:r>
      <w:proofErr w:type="spellStart"/>
      <w:r w:rsidRPr="00E662AE">
        <w:rPr>
          <w:lang w:val="en-US"/>
        </w:rPr>
        <w:t>SiC</w:t>
      </w:r>
      <w:proofErr w:type="spellEnd"/>
      <w:r w:rsidRPr="00E662AE">
        <w:rPr>
          <w:lang w:val="en-US"/>
        </w:rPr>
        <w:t xml:space="preserve">). The porous material cylinder </w:t>
      </w:r>
      <w:r w:rsidRPr="00680ECD">
        <w:rPr>
          <w:noProof/>
          <w:lang w:val="en-US"/>
        </w:rPr>
        <w:t>is connected</w:t>
      </w:r>
      <w:r w:rsidRPr="00E662AE">
        <w:rPr>
          <w:lang w:val="en-US"/>
        </w:rPr>
        <w:t xml:space="preserve"> to the inlet of off-anode </w:t>
      </w:r>
      <w:r w:rsidRPr="00680ECD">
        <w:rPr>
          <w:noProof/>
          <w:lang w:val="en-US"/>
        </w:rPr>
        <w:t>gases</w:t>
      </w:r>
      <w:r w:rsidRPr="00E662AE">
        <w:rPr>
          <w:lang w:val="en-US"/>
        </w:rPr>
        <w:t xml:space="preserve"> (1) leaving the SOFC stack by a pipe. The </w:t>
      </w:r>
      <w:r w:rsidRPr="00680ECD">
        <w:rPr>
          <w:noProof/>
          <w:lang w:val="en-US"/>
        </w:rPr>
        <w:t>primary</w:t>
      </w:r>
      <w:r w:rsidRPr="00E662AE">
        <w:rPr>
          <w:lang w:val="en-US"/>
        </w:rPr>
        <w:t xml:space="preserve"> oxygen outlet nozzles (total of three) are fabricated by circumferentially boring holes in the pipe at a certain angle </w:t>
      </w:r>
      <w:r w:rsidR="004B4F48">
        <w:rPr>
          <w:noProof/>
          <w:lang w:val="en-US"/>
        </w:rPr>
        <w:t>on</w:t>
      </w:r>
      <w:r w:rsidRPr="00E662AE">
        <w:rPr>
          <w:lang w:val="en-US"/>
        </w:rPr>
        <w:t xml:space="preserve"> the main axis of the combustor. The second part of the oxy-combustor is also filled-up with</w:t>
      </w:r>
      <w:r w:rsidR="004B4F48">
        <w:rPr>
          <w:lang w:val="en-US"/>
        </w:rPr>
        <w:t xml:space="preserve"> a</w:t>
      </w:r>
      <w:r w:rsidRPr="00E662AE">
        <w:rPr>
          <w:lang w:val="en-US"/>
        </w:rPr>
        <w:t xml:space="preserve"> </w:t>
      </w:r>
      <w:r w:rsidRPr="004B4F48">
        <w:rPr>
          <w:noProof/>
          <w:lang w:val="en-US"/>
        </w:rPr>
        <w:t>porous</w:t>
      </w:r>
      <w:r w:rsidRPr="00E662AE">
        <w:rPr>
          <w:lang w:val="en-US"/>
        </w:rPr>
        <w:t xml:space="preserve"> material that forms a cylinder. The ignition and outlet zone </w:t>
      </w:r>
      <w:r w:rsidRPr="00680ECD">
        <w:rPr>
          <w:noProof/>
          <w:lang w:val="en-US"/>
        </w:rPr>
        <w:t>is located</w:t>
      </w:r>
      <w:r w:rsidRPr="00E662AE">
        <w:rPr>
          <w:lang w:val="en-US"/>
        </w:rPr>
        <w:t xml:space="preserve"> near the outlet of the exhaust </w:t>
      </w:r>
      <w:r w:rsidRPr="00680ECD">
        <w:rPr>
          <w:noProof/>
          <w:lang w:val="en-US"/>
        </w:rPr>
        <w:t>gases</w:t>
      </w:r>
      <w:r w:rsidRPr="00E662AE">
        <w:rPr>
          <w:lang w:val="en-US"/>
        </w:rPr>
        <w:t xml:space="preserve">, just after the cylinder made of porous material (11). The zone (12) </w:t>
      </w:r>
      <w:r w:rsidRPr="00680ECD">
        <w:rPr>
          <w:noProof/>
          <w:lang w:val="en-US"/>
        </w:rPr>
        <w:t>is equipped</w:t>
      </w:r>
      <w:r w:rsidRPr="00E662AE">
        <w:rPr>
          <w:lang w:val="en-US"/>
        </w:rPr>
        <w:t xml:space="preserve"> with igniter ports and oxygen probe ports (18). There are also thermocouple ports (16) installed in crucial areas of the oxy-combustor. The casing of the whole device </w:t>
      </w:r>
      <w:r w:rsidRPr="00680ECD">
        <w:rPr>
          <w:noProof/>
          <w:lang w:val="en-US"/>
        </w:rPr>
        <w:t>is cooled</w:t>
      </w:r>
      <w:r w:rsidRPr="00E662AE">
        <w:rPr>
          <w:lang w:val="en-US"/>
        </w:rPr>
        <w:t xml:space="preserve"> by the flow of cooling air. The cooling air is flowing from its inlet (13), through </w:t>
      </w:r>
      <w:r w:rsidRPr="00680ECD">
        <w:rPr>
          <w:noProof/>
          <w:lang w:val="en-US"/>
        </w:rPr>
        <w:t>spiral</w:t>
      </w:r>
      <w:r w:rsidRPr="00E662AE">
        <w:rPr>
          <w:lang w:val="en-US"/>
        </w:rPr>
        <w:t xml:space="preserve"> path enforced by a helix-shaped baffle (15), to the outlet (14).</w:t>
      </w:r>
    </w:p>
    <w:p w14:paraId="50C3C9CA" w14:textId="77777777" w:rsidR="006060A3" w:rsidRDefault="006060A3" w:rsidP="0045084A">
      <w:pPr>
        <w:jc w:val="center"/>
        <w:rPr>
          <w:lang w:val="en-US"/>
        </w:rPr>
      </w:pPr>
      <w:r>
        <w:rPr>
          <w:noProof/>
          <w:lang w:val="it-IT" w:eastAsia="it-IT"/>
        </w:rPr>
        <w:drawing>
          <wp:inline distT="0" distB="0" distL="0" distR="0" wp14:anchorId="5A1576F9" wp14:editId="6CC83308">
            <wp:extent cx="3200400" cy="2598253"/>
            <wp:effectExtent l="0" t="0" r="0" b="0"/>
            <wp:docPr id="6" name="Obraz 0" descr="burner-is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rner-iso.png"/>
                    <pic:cNvPicPr/>
                  </pic:nvPicPr>
                  <pic:blipFill>
                    <a:blip r:embed="rId31" cstate="print"/>
                    <a:stretch>
                      <a:fillRect/>
                    </a:stretch>
                  </pic:blipFill>
                  <pic:spPr>
                    <a:xfrm>
                      <a:off x="0" y="0"/>
                      <a:ext cx="3210225" cy="2606229"/>
                    </a:xfrm>
                    <a:prstGeom prst="rect">
                      <a:avLst/>
                    </a:prstGeom>
                  </pic:spPr>
                </pic:pic>
              </a:graphicData>
            </a:graphic>
          </wp:inline>
        </w:drawing>
      </w:r>
    </w:p>
    <w:p w14:paraId="02213D41" w14:textId="0EB439A0" w:rsidR="006060A3" w:rsidRPr="00DB370D" w:rsidRDefault="001564E2" w:rsidP="00E94452">
      <w:pPr>
        <w:pStyle w:val="Didascalia"/>
        <w:rPr>
          <w:lang w:val="en-US"/>
        </w:rPr>
      </w:pPr>
      <w:r>
        <w:rPr>
          <w:lang w:val="en-US"/>
        </w:rPr>
        <w:t>Figure A1</w:t>
      </w:r>
      <w:r w:rsidR="006060A3" w:rsidRPr="00DB370D">
        <w:rPr>
          <w:lang w:val="en-US"/>
        </w:rPr>
        <w:t>. Isometric view of the oxy-combustor.</w:t>
      </w:r>
    </w:p>
    <w:p w14:paraId="5037852F" w14:textId="77777777" w:rsidR="006060A3" w:rsidRPr="00ED156A" w:rsidRDefault="006060A3" w:rsidP="006060A3">
      <w:pPr>
        <w:rPr>
          <w:b/>
          <w:lang w:val="en-US"/>
        </w:rPr>
      </w:pPr>
      <w:r w:rsidRPr="00ED156A">
        <w:rPr>
          <w:b/>
          <w:lang w:val="en-US"/>
        </w:rPr>
        <w:t>The numerical model</w:t>
      </w:r>
    </w:p>
    <w:p w14:paraId="7CFD3A1C" w14:textId="4D33C8A7" w:rsidR="006060A3" w:rsidRDefault="004B4F48" w:rsidP="006060A3">
      <w:pPr>
        <w:spacing w:after="120"/>
        <w:rPr>
          <w:lang w:val="en-US"/>
        </w:rPr>
      </w:pPr>
      <w:r>
        <w:rPr>
          <w:noProof/>
          <w:lang w:val="en-US"/>
        </w:rPr>
        <w:t>On</w:t>
      </w:r>
      <w:r w:rsidR="006060A3">
        <w:rPr>
          <w:lang w:val="en-US"/>
        </w:rPr>
        <w:t xml:space="preserve"> the proposed geometry, a numerical model was developed and implemented in Computational Fluid Dynamic (CFD) code. The mathematical model of the oxy-combustor </w:t>
      </w:r>
      <w:r w:rsidR="006060A3" w:rsidRPr="004B4F48">
        <w:rPr>
          <w:noProof/>
          <w:lang w:val="en-US"/>
        </w:rPr>
        <w:t>is described</w:t>
      </w:r>
      <w:r w:rsidR="006060A3">
        <w:rPr>
          <w:lang w:val="en-US"/>
        </w:rPr>
        <w:t xml:space="preserve"> by a set of equations, which are solved by ANSYS-Fluent solvers.</w:t>
      </w:r>
    </w:p>
    <w:p w14:paraId="19AB3371" w14:textId="77777777" w:rsidR="006060A3" w:rsidRDefault="006060A3" w:rsidP="006060A3">
      <w:pPr>
        <w:spacing w:after="120"/>
        <w:rPr>
          <w:lang w:val="en-US"/>
        </w:rPr>
      </w:pPr>
      <w:r>
        <w:rPr>
          <w:lang w:val="en-US"/>
        </w:rPr>
        <w:t xml:space="preserve">Continuity equation: </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7"/>
        <w:gridCol w:w="907"/>
      </w:tblGrid>
      <w:tr w:rsidR="006060A3" w14:paraId="03F82D8B" w14:textId="77777777" w:rsidTr="0045084A">
        <w:trPr>
          <w:trHeight w:val="680"/>
          <w:jc w:val="center"/>
        </w:trPr>
        <w:tc>
          <w:tcPr>
            <w:tcW w:w="7937" w:type="dxa"/>
            <w:vAlign w:val="center"/>
          </w:tcPr>
          <w:p w14:paraId="57E145D9" w14:textId="5870C458" w:rsidR="006060A3" w:rsidRDefault="006A17F1" w:rsidP="0045084A">
            <w:pPr>
              <w:jc w:val="center"/>
              <w:rPr>
                <w:lang w:val="en-US"/>
              </w:rPr>
            </w:pPr>
            <m:oMathPara>
              <m:oMath>
                <m:f>
                  <m:fPr>
                    <m:ctrlPr>
                      <w:rPr>
                        <w:rFonts w:ascii="Cambria Math" w:hAnsi="Cambria Math"/>
                        <w:i/>
                        <w:lang w:val="en-US"/>
                      </w:rPr>
                    </m:ctrlPr>
                  </m:fPr>
                  <m:num>
                    <m:r>
                      <w:rPr>
                        <w:rFonts w:ascii="Cambria Math" w:hAnsi="Cambria Math"/>
                        <w:lang w:val="en-US"/>
                      </w:rPr>
                      <m:t>∂(ε</m:t>
                    </m:r>
                    <m:sSub>
                      <m:sSubPr>
                        <m:ctrlPr>
                          <w:rPr>
                            <w:rFonts w:ascii="Cambria Math" w:hAnsi="Cambria Math"/>
                            <w:i/>
                            <w:lang w:val="en-US"/>
                          </w:rPr>
                        </m:ctrlPr>
                      </m:sSubPr>
                      <m:e>
                        <m:r>
                          <w:rPr>
                            <w:rFonts w:ascii="Cambria Math" w:hAnsi="Cambria Math"/>
                            <w:lang w:val="en-US"/>
                          </w:rPr>
                          <m:t>ρ</m:t>
                        </m:r>
                      </m:e>
                      <m:sub>
                        <m:r>
                          <w:rPr>
                            <w:rFonts w:ascii="Cambria Math" w:hAnsi="Cambria Math"/>
                            <w:lang w:val="en-US"/>
                          </w:rPr>
                          <m:t>f</m:t>
                        </m:r>
                      </m:sub>
                    </m:sSub>
                    <m:r>
                      <w:rPr>
                        <w:rFonts w:ascii="Cambria Math" w:hAnsi="Cambria Math"/>
                        <w:lang w:val="en-US"/>
                      </w:rPr>
                      <m:t>)</m:t>
                    </m:r>
                  </m:num>
                  <m:den>
                    <m:r>
                      <w:rPr>
                        <w:rFonts w:ascii="Cambria Math" w:hAnsi="Cambria Math"/>
                        <w:lang w:val="en-US"/>
                      </w:rPr>
                      <m:t>∂t</m:t>
                    </m:r>
                  </m:den>
                </m:f>
                <m:r>
                  <w:rPr>
                    <w:rFonts w:ascii="Cambria Math" w:hAnsi="Cambria Math"/>
                    <w:lang w:val="en-US"/>
                  </w:rPr>
                  <m:t>+</m:t>
                </m:r>
                <m:r>
                  <m:rPr>
                    <m:sty m:val="p"/>
                  </m:rPr>
                  <w:rPr>
                    <w:rFonts w:ascii="Cambria Math" w:hAnsi="Cambria Math"/>
                    <w:lang w:val="en-US"/>
                  </w:rPr>
                  <m:t>∇</m:t>
                </m:r>
                <m:r>
                  <w:rPr>
                    <w:rFonts w:ascii="Cambria Math" w:hAnsi="Cambria Math"/>
                    <w:lang w:val="en-US"/>
                  </w:rPr>
                  <m:t>∙</m:t>
                </m:r>
                <m:d>
                  <m:dPr>
                    <m:ctrlPr>
                      <w:rPr>
                        <w:rFonts w:ascii="Cambria Math" w:hAnsi="Cambria Math"/>
                        <w:i/>
                        <w:lang w:val="en-US"/>
                      </w:rPr>
                    </m:ctrlPr>
                  </m:dPr>
                  <m:e>
                    <m:r>
                      <w:rPr>
                        <w:rFonts w:ascii="Cambria Math" w:hAnsi="Cambria Math"/>
                        <w:lang w:val="en-US"/>
                      </w:rPr>
                      <m:t>ε</m:t>
                    </m:r>
                    <m:sSub>
                      <m:sSubPr>
                        <m:ctrlPr>
                          <w:rPr>
                            <w:rFonts w:ascii="Cambria Math" w:hAnsi="Cambria Math"/>
                            <w:i/>
                            <w:lang w:val="en-US"/>
                          </w:rPr>
                        </m:ctrlPr>
                      </m:sSubPr>
                      <m:e>
                        <m:r>
                          <w:rPr>
                            <w:rFonts w:ascii="Cambria Math" w:hAnsi="Cambria Math"/>
                            <w:lang w:val="en-US"/>
                          </w:rPr>
                          <m:t>ρ</m:t>
                        </m:r>
                      </m:e>
                      <m:sub>
                        <m:r>
                          <w:rPr>
                            <w:rFonts w:ascii="Cambria Math" w:hAnsi="Cambria Math"/>
                            <w:lang w:val="en-US"/>
                          </w:rPr>
                          <m:t>f</m:t>
                        </m:r>
                      </m:sub>
                    </m:sSub>
                    <m:r>
                      <m:rPr>
                        <m:sty m:val="bi"/>
                      </m:rPr>
                      <w:rPr>
                        <w:rFonts w:ascii="Cambria Math" w:hAnsi="Cambria Math"/>
                        <w:lang w:val="en-US"/>
                      </w:rPr>
                      <m:t>v</m:t>
                    </m:r>
                  </m:e>
                </m:d>
                <m:r>
                  <w:rPr>
                    <w:rFonts w:ascii="Cambria Math" w:hAnsi="Cambria Math"/>
                    <w:lang w:val="en-US"/>
                  </w:rPr>
                  <m:t>=0</m:t>
                </m:r>
              </m:oMath>
            </m:oMathPara>
          </w:p>
        </w:tc>
        <w:tc>
          <w:tcPr>
            <w:tcW w:w="907" w:type="dxa"/>
            <w:vAlign w:val="center"/>
          </w:tcPr>
          <w:p w14:paraId="784180D4" w14:textId="77777777" w:rsidR="006060A3" w:rsidRDefault="006060A3" w:rsidP="006060A3">
            <w:pPr>
              <w:keepNext/>
              <w:ind w:firstLine="0"/>
              <w:jc w:val="center"/>
              <w:rPr>
                <w:lang w:val="en-US"/>
              </w:rPr>
            </w:pPr>
            <w:r>
              <w:rPr>
                <w:lang w:val="en-US"/>
              </w:rPr>
              <w:t>(1)</w:t>
            </w:r>
          </w:p>
        </w:tc>
      </w:tr>
    </w:tbl>
    <w:p w14:paraId="62F7EFF5" w14:textId="05FA1579" w:rsidR="006060A3" w:rsidRDefault="006060A3" w:rsidP="006060A3">
      <w:pPr>
        <w:spacing w:before="120" w:after="120"/>
        <w:rPr>
          <w:lang w:val="en-US"/>
        </w:rPr>
      </w:pPr>
      <w:r>
        <w:rPr>
          <w:lang w:val="en-US"/>
        </w:rPr>
        <w:t>Momentum equation:</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7"/>
        <w:gridCol w:w="907"/>
      </w:tblGrid>
      <w:tr w:rsidR="006060A3" w14:paraId="19A0D105" w14:textId="77777777" w:rsidTr="0045084A">
        <w:trPr>
          <w:trHeight w:val="680"/>
          <w:jc w:val="center"/>
        </w:trPr>
        <w:tc>
          <w:tcPr>
            <w:tcW w:w="7937" w:type="dxa"/>
            <w:vAlign w:val="center"/>
          </w:tcPr>
          <w:p w14:paraId="5CBD6843" w14:textId="3591A886" w:rsidR="006060A3" w:rsidRDefault="006060A3" w:rsidP="0045084A">
            <w:pPr>
              <w:jc w:val="center"/>
              <w:rPr>
                <w:lang w:val="en-US"/>
              </w:rPr>
            </w:pPr>
            <m:oMathPara>
              <m:oMath>
                <m:r>
                  <w:rPr>
                    <w:rFonts w:ascii="Cambria Math" w:hAnsi="Cambria Math"/>
                    <w:lang w:val="en-US"/>
                  </w:rPr>
                  <m:t>ε</m:t>
                </m:r>
                <m:sSub>
                  <m:sSubPr>
                    <m:ctrlPr>
                      <w:rPr>
                        <w:rFonts w:ascii="Cambria Math" w:hAnsi="Cambria Math"/>
                        <w:i/>
                        <w:lang w:val="en-US"/>
                      </w:rPr>
                    </m:ctrlPr>
                  </m:sSubPr>
                  <m:e>
                    <m:r>
                      <w:rPr>
                        <w:rFonts w:ascii="Cambria Math" w:hAnsi="Cambria Math"/>
                        <w:lang w:val="en-US"/>
                      </w:rPr>
                      <m:t>ρ</m:t>
                    </m:r>
                  </m:e>
                  <m:sub>
                    <m:r>
                      <w:rPr>
                        <w:rFonts w:ascii="Cambria Math" w:hAnsi="Cambria Math"/>
                        <w:lang w:val="en-US"/>
                      </w:rPr>
                      <m:t>f</m:t>
                    </m:r>
                  </m:sub>
                </m:sSub>
                <m:f>
                  <m:fPr>
                    <m:ctrlPr>
                      <w:rPr>
                        <w:rFonts w:ascii="Cambria Math" w:hAnsi="Cambria Math"/>
                        <w:i/>
                        <w:lang w:val="en-US"/>
                      </w:rPr>
                    </m:ctrlPr>
                  </m:fPr>
                  <m:num>
                    <m:r>
                      <w:rPr>
                        <w:rFonts w:ascii="Cambria Math" w:hAnsi="Cambria Math"/>
                        <w:lang w:val="en-US"/>
                      </w:rPr>
                      <m:t>∂</m:t>
                    </m:r>
                    <m:r>
                      <m:rPr>
                        <m:sty m:val="bi"/>
                      </m:rPr>
                      <w:rPr>
                        <w:rFonts w:ascii="Cambria Math" w:hAnsi="Cambria Math"/>
                        <w:lang w:val="en-US"/>
                      </w:rPr>
                      <m:t>v</m:t>
                    </m:r>
                  </m:num>
                  <m:den>
                    <m:r>
                      <w:rPr>
                        <w:rFonts w:ascii="Cambria Math" w:hAnsi="Cambria Math"/>
                        <w:lang w:val="en-US"/>
                      </w:rPr>
                      <m:t>∂t</m:t>
                    </m:r>
                  </m:den>
                </m:f>
                <m:r>
                  <w:rPr>
                    <w:rFonts w:ascii="Cambria Math" w:hAnsi="Cambria Math"/>
                    <w:lang w:val="en-US"/>
                  </w:rPr>
                  <m:t>+ε</m:t>
                </m:r>
                <m:sSub>
                  <m:sSubPr>
                    <m:ctrlPr>
                      <w:rPr>
                        <w:rFonts w:ascii="Cambria Math" w:hAnsi="Cambria Math"/>
                        <w:i/>
                        <w:lang w:val="en-US"/>
                      </w:rPr>
                    </m:ctrlPr>
                  </m:sSubPr>
                  <m:e>
                    <m:r>
                      <w:rPr>
                        <w:rFonts w:ascii="Cambria Math" w:hAnsi="Cambria Math"/>
                        <w:lang w:val="en-US"/>
                      </w:rPr>
                      <m:t>ρ</m:t>
                    </m:r>
                  </m:e>
                  <m:sub>
                    <m:r>
                      <w:rPr>
                        <w:rFonts w:ascii="Cambria Math" w:hAnsi="Cambria Math"/>
                        <w:lang w:val="en-US"/>
                      </w:rPr>
                      <m:t>f</m:t>
                    </m:r>
                  </m:sub>
                </m:sSub>
                <m:r>
                  <m:rPr>
                    <m:sty m:val="bi"/>
                  </m:rPr>
                  <w:rPr>
                    <w:rFonts w:ascii="Cambria Math" w:hAnsi="Cambria Math"/>
                    <w:lang w:val="en-US"/>
                  </w:rPr>
                  <m:t>v</m:t>
                </m:r>
                <m:r>
                  <w:rPr>
                    <w:rFonts w:ascii="Cambria Math" w:hAnsi="Cambria Math"/>
                    <w:lang w:val="en-US"/>
                  </w:rPr>
                  <m:t>∙</m:t>
                </m:r>
                <m:r>
                  <m:rPr>
                    <m:sty m:val="p"/>
                  </m:rPr>
                  <w:rPr>
                    <w:rFonts w:ascii="Cambria Math" w:hAnsi="Cambria Math"/>
                    <w:lang w:val="en-US"/>
                  </w:rPr>
                  <m:t>∇</m:t>
                </m:r>
                <m:r>
                  <m:rPr>
                    <m:sty m:val="bi"/>
                  </m:rPr>
                  <w:rPr>
                    <w:rFonts w:ascii="Cambria Math" w:hAnsi="Cambria Math"/>
                    <w:lang w:val="en-US"/>
                  </w:rPr>
                  <m:t>v</m:t>
                </m:r>
                <m:r>
                  <w:rPr>
                    <w:rFonts w:ascii="Cambria Math" w:hAnsi="Cambria Math"/>
                    <w:lang w:val="en-US"/>
                  </w:rPr>
                  <m:t>=-ε</m:t>
                </m:r>
                <m:sSub>
                  <m:sSubPr>
                    <m:ctrlPr>
                      <w:rPr>
                        <w:rFonts w:ascii="Cambria Math" w:hAnsi="Cambria Math"/>
                        <w:i/>
                        <w:lang w:val="en-US"/>
                      </w:rPr>
                    </m:ctrlPr>
                  </m:sSubPr>
                  <m:e>
                    <m:r>
                      <w:rPr>
                        <w:rFonts w:ascii="Cambria Math" w:hAnsi="Cambria Math"/>
                        <w:lang w:val="en-US"/>
                      </w:rPr>
                      <m:t>μ</m:t>
                    </m:r>
                  </m:e>
                  <m:sub>
                    <m:r>
                      <w:rPr>
                        <w:rFonts w:ascii="Cambria Math" w:hAnsi="Cambria Math"/>
                        <w:lang w:val="en-US"/>
                      </w:rPr>
                      <m:t>f</m:t>
                    </m:r>
                  </m:sub>
                </m:sSub>
                <m:r>
                  <m:rPr>
                    <m:sty m:val="p"/>
                  </m:rPr>
                  <w:rPr>
                    <w:rFonts w:ascii="Cambria Math" w:hAnsi="Cambria Math"/>
                    <w:lang w:val="en-US"/>
                  </w:rPr>
                  <m:t>∇</m:t>
                </m:r>
                <m:r>
                  <w:rPr>
                    <w:rFonts w:ascii="Cambria Math" w:hAnsi="Cambria Math"/>
                    <w:lang w:val="en-US"/>
                  </w:rPr>
                  <m:t>∙</m:t>
                </m:r>
                <m:d>
                  <m:dPr>
                    <m:ctrlPr>
                      <w:rPr>
                        <w:rFonts w:ascii="Cambria Math" w:hAnsi="Cambria Math"/>
                        <w:i/>
                        <w:lang w:val="en-US"/>
                      </w:rPr>
                    </m:ctrlPr>
                  </m:dPr>
                  <m:e>
                    <m:r>
                      <m:rPr>
                        <m:sty m:val="p"/>
                      </m:rPr>
                      <w:rPr>
                        <w:rFonts w:ascii="Cambria Math" w:hAnsi="Cambria Math"/>
                        <w:lang w:val="en-US"/>
                      </w:rPr>
                      <m:t>∇</m:t>
                    </m:r>
                    <m:r>
                      <m:rPr>
                        <m:sty m:val="bi"/>
                      </m:rPr>
                      <w:rPr>
                        <w:rFonts w:ascii="Cambria Math" w:hAnsi="Cambria Math"/>
                        <w:lang w:val="en-US"/>
                      </w:rPr>
                      <m:t>v</m:t>
                    </m:r>
                  </m:e>
                </m:d>
                <m:r>
                  <w:rPr>
                    <w:rFonts w:ascii="Cambria Math" w:hAnsi="Cambria Math"/>
                    <w:lang w:val="en-US"/>
                  </w:rPr>
                  <m:t>-</m:t>
                </m:r>
                <m:sSub>
                  <m:sSubPr>
                    <m:ctrlPr>
                      <w:rPr>
                        <w:rFonts w:ascii="Cambria Math" w:hAnsi="Cambria Math"/>
                        <w:i/>
                        <w:lang w:val="en-US"/>
                      </w:rPr>
                    </m:ctrlPr>
                  </m:sSubPr>
                  <m:e>
                    <m:r>
                      <w:rPr>
                        <w:rFonts w:ascii="Cambria Math" w:hAnsi="Cambria Math"/>
                        <w:lang w:val="en-US"/>
                      </w:rPr>
                      <m:t>(</m:t>
                    </m:r>
                    <m:r>
                      <m:rPr>
                        <m:sty m:val="p"/>
                      </m:rPr>
                      <w:rPr>
                        <w:rFonts w:ascii="Cambria Math" w:hAnsi="Cambria Math"/>
                        <w:lang w:val="en-US"/>
                      </w:rPr>
                      <m:t>∇</m:t>
                    </m:r>
                    <m:r>
                      <w:rPr>
                        <w:rFonts w:ascii="Cambria Math" w:hAnsi="Cambria Math"/>
                        <w:lang w:val="en-US"/>
                      </w:rPr>
                      <m:t>p)</m:t>
                    </m:r>
                  </m:e>
                  <m:sub>
                    <m:r>
                      <w:rPr>
                        <w:rFonts w:ascii="Cambria Math" w:hAnsi="Cambria Math"/>
                        <w:lang w:val="en-US"/>
                      </w:rPr>
                      <m:t>p</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m</m:t>
                    </m:r>
                  </m:sub>
                </m:sSub>
              </m:oMath>
            </m:oMathPara>
          </w:p>
        </w:tc>
        <w:tc>
          <w:tcPr>
            <w:tcW w:w="907" w:type="dxa"/>
            <w:vAlign w:val="center"/>
          </w:tcPr>
          <w:p w14:paraId="6955BF82" w14:textId="77777777" w:rsidR="006060A3" w:rsidRDefault="006060A3" w:rsidP="006060A3">
            <w:pPr>
              <w:ind w:firstLine="34"/>
              <w:jc w:val="center"/>
              <w:rPr>
                <w:lang w:val="en-US"/>
              </w:rPr>
            </w:pPr>
            <w:r>
              <w:rPr>
                <w:lang w:val="en-US"/>
              </w:rPr>
              <w:t>(2)</w:t>
            </w:r>
          </w:p>
        </w:tc>
      </w:tr>
    </w:tbl>
    <w:p w14:paraId="497F6AC8" w14:textId="25AABDD3" w:rsidR="006060A3" w:rsidRDefault="006060A3" w:rsidP="006060A3">
      <w:pPr>
        <w:spacing w:before="120" w:after="120"/>
        <w:rPr>
          <w:lang w:val="en-US"/>
        </w:rPr>
      </w:pPr>
      <w:r>
        <w:rPr>
          <w:lang w:val="en-US"/>
        </w:rPr>
        <w:t>Energy balance for gaseous phase:</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7"/>
        <w:gridCol w:w="907"/>
      </w:tblGrid>
      <w:tr w:rsidR="0045084A" w14:paraId="78719173" w14:textId="77777777" w:rsidTr="0045084A">
        <w:trPr>
          <w:trHeight w:val="680"/>
          <w:jc w:val="center"/>
        </w:trPr>
        <w:tc>
          <w:tcPr>
            <w:tcW w:w="7937" w:type="dxa"/>
            <w:vAlign w:val="center"/>
          </w:tcPr>
          <w:p w14:paraId="38305CD0" w14:textId="77777777" w:rsidR="006060A3" w:rsidRDefault="006060A3" w:rsidP="0045084A">
            <w:pPr>
              <w:jc w:val="center"/>
              <w:rPr>
                <w:lang w:val="en-US"/>
              </w:rPr>
            </w:pPr>
            <m:oMathPara>
              <m:oMath>
                <m:r>
                  <w:rPr>
                    <w:rFonts w:ascii="Cambria Math" w:hAnsi="Cambria Math"/>
                    <w:lang w:val="en-US"/>
                  </w:rPr>
                  <m:t>ε</m:t>
                </m:r>
                <m:sSub>
                  <m:sSubPr>
                    <m:ctrlPr>
                      <w:rPr>
                        <w:rFonts w:ascii="Cambria Math" w:hAnsi="Cambria Math"/>
                        <w:i/>
                        <w:lang w:val="en-US"/>
                      </w:rPr>
                    </m:ctrlPr>
                  </m:sSubPr>
                  <m:e>
                    <m:r>
                      <w:rPr>
                        <w:rFonts w:ascii="Cambria Math" w:hAnsi="Cambria Math"/>
                        <w:lang w:val="en-US"/>
                      </w:rPr>
                      <m:t>ρ</m:t>
                    </m:r>
                  </m:e>
                  <m:sub>
                    <m:r>
                      <w:rPr>
                        <w:rFonts w:ascii="Cambria Math" w:hAnsi="Cambria Math"/>
                        <w:lang w:val="en-US"/>
                      </w:rPr>
                      <m:t>f</m:t>
                    </m:r>
                  </m:sub>
                </m:sSub>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p,f</m:t>
                    </m:r>
                  </m:sub>
                </m:sSub>
                <m:f>
                  <m:fPr>
                    <m:ctrlPr>
                      <w:rPr>
                        <w:rFonts w:ascii="Cambria Math" w:hAnsi="Cambria Math"/>
                        <w:i/>
                        <w:lang w:val="en-US"/>
                      </w:rPr>
                    </m:ctrlPr>
                  </m:fPr>
                  <m:num>
                    <m:r>
                      <w:rPr>
                        <w:rFonts w:ascii="Cambria Math" w:hAnsi="Cambria Math"/>
                        <w:lang w:val="en-US"/>
                      </w:rPr>
                      <m:t>∂</m:t>
                    </m:r>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f</m:t>
                        </m:r>
                      </m:sub>
                    </m:sSub>
                  </m:num>
                  <m:den>
                    <m:r>
                      <w:rPr>
                        <w:rFonts w:ascii="Cambria Math" w:hAnsi="Cambria Math"/>
                        <w:lang w:val="en-US"/>
                      </w:rPr>
                      <m:t>∂t</m:t>
                    </m:r>
                  </m:den>
                </m:f>
                <m:r>
                  <w:rPr>
                    <w:rFonts w:ascii="Cambria Math" w:hAnsi="Cambria Math"/>
                    <w:lang w:val="en-US"/>
                  </w:rPr>
                  <m:t>+ε</m:t>
                </m:r>
                <m:sSub>
                  <m:sSubPr>
                    <m:ctrlPr>
                      <w:rPr>
                        <w:rFonts w:ascii="Cambria Math" w:hAnsi="Cambria Math"/>
                        <w:i/>
                        <w:lang w:val="en-US"/>
                      </w:rPr>
                    </m:ctrlPr>
                  </m:sSubPr>
                  <m:e>
                    <m:r>
                      <w:rPr>
                        <w:rFonts w:ascii="Cambria Math" w:hAnsi="Cambria Math"/>
                        <w:lang w:val="en-US"/>
                      </w:rPr>
                      <m:t>ρ</m:t>
                    </m:r>
                  </m:e>
                  <m:sub>
                    <m:r>
                      <w:rPr>
                        <w:rFonts w:ascii="Cambria Math" w:hAnsi="Cambria Math"/>
                        <w:lang w:val="en-US"/>
                      </w:rPr>
                      <m:t>f</m:t>
                    </m:r>
                  </m:sub>
                </m:sSub>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p,f</m:t>
                    </m:r>
                  </m:sub>
                </m:sSub>
                <m:r>
                  <m:rPr>
                    <m:sty m:val="bi"/>
                  </m:rPr>
                  <w:rPr>
                    <w:rFonts w:ascii="Cambria Math" w:hAnsi="Cambria Math"/>
                    <w:lang w:val="en-US"/>
                  </w:rPr>
                  <m:t>v</m:t>
                </m:r>
                <m:r>
                  <w:rPr>
                    <w:rFonts w:ascii="Cambria Math" w:hAnsi="Cambria Math"/>
                    <w:lang w:val="en-US"/>
                  </w:rPr>
                  <m:t>∙</m:t>
                </m:r>
                <m:r>
                  <m:rPr>
                    <m:sty m:val="p"/>
                  </m:rPr>
                  <w:rPr>
                    <w:rFonts w:ascii="Cambria Math" w:hAnsi="Cambria Math"/>
                    <w:lang w:val="en-US"/>
                  </w:rPr>
                  <m:t>∇</m:t>
                </m:r>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f</m:t>
                    </m:r>
                  </m:sub>
                </m:sSub>
                <m:r>
                  <w:rPr>
                    <w:rFonts w:ascii="Cambria Math" w:hAnsi="Cambria Math"/>
                    <w:lang w:val="en-US"/>
                  </w:rPr>
                  <m:t>=ε</m:t>
                </m:r>
                <m:r>
                  <m:rPr>
                    <m:sty m:val="p"/>
                  </m:rPr>
                  <w:rPr>
                    <w:rFonts w:ascii="Cambria Math" w:hAnsi="Cambria Math"/>
                    <w:lang w:val="en-US"/>
                  </w:rPr>
                  <m:t>∇</m:t>
                </m:r>
                <m:r>
                  <w:rPr>
                    <w:rFonts w:ascii="Cambria Math" w:hAnsi="Cambria Math"/>
                    <w:lang w:val="en-US"/>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f</m:t>
                        </m:r>
                      </m:sub>
                    </m:sSub>
                    <m:r>
                      <w:rPr>
                        <w:rFonts w:ascii="Cambria Math" w:hAnsi="Cambria Math"/>
                        <w:lang w:val="en-US"/>
                      </w:rPr>
                      <m:t>∙</m:t>
                    </m:r>
                    <m:r>
                      <m:rPr>
                        <m:sty m:val="p"/>
                      </m:rPr>
                      <w:rPr>
                        <w:rFonts w:ascii="Cambria Math" w:hAnsi="Cambria Math"/>
                        <w:lang w:val="en-US"/>
                      </w:rPr>
                      <m:t>∇</m:t>
                    </m:r>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f</m:t>
                        </m:r>
                      </m:sub>
                    </m:sSub>
                  </m:e>
                </m:d>
                <m:r>
                  <w:rPr>
                    <w:rFonts w:ascii="Cambria Math" w:hAnsi="Cambria Math"/>
                    <w:lang w:val="en-US"/>
                  </w:rPr>
                  <m:t>+</m:t>
                </m:r>
                <m:sSub>
                  <m:sSubPr>
                    <m:ctrlPr>
                      <w:rPr>
                        <w:rFonts w:ascii="Cambria Math" w:hAnsi="Cambria Math"/>
                        <w:i/>
                        <w:lang w:val="en-US"/>
                      </w:rPr>
                    </m:ctrlPr>
                  </m:sSubPr>
                  <m:e>
                    <m:r>
                      <w:rPr>
                        <w:rFonts w:ascii="Cambria Math" w:hAnsi="Cambria Math"/>
                        <w:lang w:val="en-US"/>
                      </w:rPr>
                      <m:t>h</m:t>
                    </m:r>
                  </m:e>
                  <m:sub>
                    <m:r>
                      <w:rPr>
                        <w:rFonts w:ascii="Cambria Math" w:hAnsi="Cambria Math"/>
                        <w:lang w:val="en-US"/>
                      </w:rPr>
                      <m:t>f</m:t>
                    </m:r>
                  </m:sub>
                </m:sSub>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s</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f</m:t>
                        </m:r>
                      </m:sub>
                    </m:sSub>
                  </m:e>
                </m:d>
                <m:r>
                  <w:rPr>
                    <w:rFonts w:ascii="Cambria Math" w:hAnsi="Cambria Math"/>
                    <w:lang w:val="en-US"/>
                  </w:rPr>
                  <m:t>-ε</m:t>
                </m:r>
                <m:nary>
                  <m:naryPr>
                    <m:chr m:val="∑"/>
                    <m:limLoc m:val="undOvr"/>
                    <m:ctrlPr>
                      <w:rPr>
                        <w:rFonts w:ascii="Cambria Math" w:hAnsi="Cambria Math"/>
                        <w:i/>
                        <w:lang w:val="en-US"/>
                      </w:rPr>
                    </m:ctrlPr>
                  </m:naryPr>
                  <m:sub>
                    <m:r>
                      <w:rPr>
                        <w:rFonts w:ascii="Cambria Math" w:hAnsi="Cambria Math"/>
                        <w:lang w:val="en-US"/>
                      </w:rPr>
                      <m:t>k=1</m:t>
                    </m:r>
                  </m:sub>
                  <m:sup>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sp</m:t>
                        </m:r>
                      </m:sub>
                    </m:sSub>
                  </m:sup>
                  <m:e>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ω</m:t>
                            </m:r>
                          </m:e>
                        </m:acc>
                      </m:e>
                      <m:sub>
                        <m:r>
                          <w:rPr>
                            <w:rFonts w:ascii="Cambria Math" w:hAnsi="Cambria Math"/>
                            <w:lang w:val="en-US"/>
                          </w:rPr>
                          <m:t>k</m:t>
                        </m:r>
                      </m:sub>
                    </m:sSub>
                    <m:sSub>
                      <m:sSubPr>
                        <m:ctrlPr>
                          <w:rPr>
                            <w:rFonts w:ascii="Cambria Math" w:hAnsi="Cambria Math"/>
                            <w:i/>
                            <w:lang w:val="en-US"/>
                          </w:rPr>
                        </m:ctrlPr>
                      </m:sSubPr>
                      <m:e>
                        <m:r>
                          <w:rPr>
                            <w:rFonts w:ascii="Cambria Math" w:hAnsi="Cambria Math"/>
                            <w:lang w:val="en-US"/>
                          </w:rPr>
                          <m:t>M</m:t>
                        </m:r>
                      </m:e>
                      <m:sub>
                        <m:r>
                          <w:rPr>
                            <w:rFonts w:ascii="Cambria Math" w:hAnsi="Cambria Math"/>
                            <w:lang w:val="en-US"/>
                          </w:rPr>
                          <m:t>k</m:t>
                        </m:r>
                      </m:sub>
                    </m:sSub>
                    <m:sSub>
                      <m:sSubPr>
                        <m:ctrlPr>
                          <w:rPr>
                            <w:rFonts w:ascii="Cambria Math" w:hAnsi="Cambria Math"/>
                            <w:i/>
                            <w:lang w:val="en-US"/>
                          </w:rPr>
                        </m:ctrlPr>
                      </m:sSubPr>
                      <m:e>
                        <m:r>
                          <w:rPr>
                            <w:rFonts w:ascii="Cambria Math" w:hAnsi="Cambria Math"/>
                            <w:lang w:val="en-US"/>
                          </w:rPr>
                          <m:t>h</m:t>
                        </m:r>
                      </m:e>
                      <m:sub>
                        <m:r>
                          <w:rPr>
                            <w:rFonts w:ascii="Cambria Math" w:hAnsi="Cambria Math"/>
                            <w:lang w:val="en-US"/>
                          </w:rPr>
                          <m:t>k</m:t>
                        </m:r>
                      </m:sub>
                    </m:sSub>
                  </m:e>
                </m:nary>
                <m:r>
                  <w:rPr>
                    <w:rFonts w:ascii="Cambria Math" w:hAnsi="Cambria Math"/>
                    <w:lang w:val="en-US"/>
                  </w:rPr>
                  <m:t>+</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r</m:t>
                    </m:r>
                  </m:sub>
                </m:sSub>
              </m:oMath>
            </m:oMathPara>
          </w:p>
        </w:tc>
        <w:tc>
          <w:tcPr>
            <w:tcW w:w="907" w:type="dxa"/>
            <w:vAlign w:val="center"/>
          </w:tcPr>
          <w:p w14:paraId="32656F74" w14:textId="77777777" w:rsidR="006060A3" w:rsidRDefault="006060A3" w:rsidP="006060A3">
            <w:pPr>
              <w:ind w:firstLine="34"/>
              <w:jc w:val="center"/>
              <w:rPr>
                <w:lang w:val="en-US"/>
              </w:rPr>
            </w:pPr>
            <w:r>
              <w:rPr>
                <w:lang w:val="en-US"/>
              </w:rPr>
              <w:t>(3)</w:t>
            </w:r>
          </w:p>
        </w:tc>
      </w:tr>
    </w:tbl>
    <w:p w14:paraId="37E5E097" w14:textId="585C9FDF" w:rsidR="006060A3" w:rsidRDefault="006060A3" w:rsidP="006060A3">
      <w:pPr>
        <w:spacing w:before="120" w:after="120"/>
        <w:rPr>
          <w:lang w:val="en-US"/>
        </w:rPr>
      </w:pPr>
      <w:r>
        <w:rPr>
          <w:lang w:val="en-US"/>
        </w:rPr>
        <w:t>Energy balance for solid phase:</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7"/>
        <w:gridCol w:w="907"/>
      </w:tblGrid>
      <w:tr w:rsidR="006060A3" w14:paraId="537333AF" w14:textId="77777777" w:rsidTr="0045084A">
        <w:trPr>
          <w:trHeight w:val="680"/>
          <w:jc w:val="center"/>
        </w:trPr>
        <w:tc>
          <w:tcPr>
            <w:tcW w:w="7937" w:type="dxa"/>
            <w:vAlign w:val="center"/>
          </w:tcPr>
          <w:p w14:paraId="08E5C56B" w14:textId="77777777" w:rsidR="006060A3" w:rsidRDefault="006A17F1" w:rsidP="0045084A">
            <w:pPr>
              <w:jc w:val="center"/>
              <w:rPr>
                <w:lang w:val="en-US"/>
              </w:rPr>
            </w:pPr>
            <m:oMathPara>
              <m:oMath>
                <m:d>
                  <m:dPr>
                    <m:ctrlPr>
                      <w:rPr>
                        <w:rFonts w:ascii="Cambria Math" w:hAnsi="Cambria Math"/>
                        <w:i/>
                        <w:lang w:val="en-US"/>
                      </w:rPr>
                    </m:ctrlPr>
                  </m:dPr>
                  <m:e>
                    <m:r>
                      <w:rPr>
                        <w:rFonts w:ascii="Cambria Math" w:hAnsi="Cambria Math"/>
                        <w:lang w:val="en-US"/>
                      </w:rPr>
                      <m:t>1-ε</m:t>
                    </m:r>
                  </m:e>
                </m:d>
                <m:sSub>
                  <m:sSubPr>
                    <m:ctrlPr>
                      <w:rPr>
                        <w:rFonts w:ascii="Cambria Math" w:hAnsi="Cambria Math"/>
                        <w:i/>
                        <w:lang w:val="en-US"/>
                      </w:rPr>
                    </m:ctrlPr>
                  </m:sSubPr>
                  <m:e>
                    <m:r>
                      <w:rPr>
                        <w:rFonts w:ascii="Cambria Math" w:hAnsi="Cambria Math"/>
                        <w:lang w:val="en-US"/>
                      </w:rPr>
                      <m:t>ρ</m:t>
                    </m:r>
                  </m:e>
                  <m:sub>
                    <m:r>
                      <w:rPr>
                        <w:rFonts w:ascii="Cambria Math" w:hAnsi="Cambria Math"/>
                        <w:lang w:val="en-US"/>
                      </w:rPr>
                      <m:t>s</m:t>
                    </m:r>
                  </m:sub>
                </m:sSub>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p,s</m:t>
                    </m:r>
                  </m:sub>
                </m:sSub>
                <m:f>
                  <m:fPr>
                    <m:ctrlPr>
                      <w:rPr>
                        <w:rFonts w:ascii="Cambria Math" w:hAnsi="Cambria Math"/>
                        <w:i/>
                        <w:lang w:val="en-US"/>
                      </w:rPr>
                    </m:ctrlPr>
                  </m:fPr>
                  <m:num>
                    <m:r>
                      <w:rPr>
                        <w:rFonts w:ascii="Cambria Math" w:hAnsi="Cambria Math"/>
                        <w:lang w:val="en-US"/>
                      </w:rPr>
                      <m:t>∂</m:t>
                    </m:r>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s</m:t>
                        </m:r>
                      </m:sub>
                    </m:sSub>
                  </m:num>
                  <m:den>
                    <m:r>
                      <w:rPr>
                        <w:rFonts w:ascii="Cambria Math" w:hAnsi="Cambria Math"/>
                        <w:lang w:val="en-US"/>
                      </w:rPr>
                      <m:t>∂t</m:t>
                    </m:r>
                  </m:den>
                </m:f>
                <m:r>
                  <w:rPr>
                    <w:rFonts w:ascii="Cambria Math" w:hAnsi="Cambria Math"/>
                    <w:lang w:val="en-US"/>
                  </w:rPr>
                  <m:t>=</m:t>
                </m:r>
                <m:d>
                  <m:dPr>
                    <m:ctrlPr>
                      <w:rPr>
                        <w:rFonts w:ascii="Cambria Math" w:hAnsi="Cambria Math"/>
                        <w:i/>
                        <w:lang w:val="en-US"/>
                      </w:rPr>
                    </m:ctrlPr>
                  </m:dPr>
                  <m:e>
                    <m:r>
                      <w:rPr>
                        <w:rFonts w:ascii="Cambria Math" w:hAnsi="Cambria Math"/>
                        <w:lang w:val="en-US"/>
                      </w:rPr>
                      <m:t>1-ε</m:t>
                    </m:r>
                  </m:e>
                </m:d>
                <m:r>
                  <m:rPr>
                    <m:sty m:val="p"/>
                  </m:rPr>
                  <w:rPr>
                    <w:rFonts w:ascii="Cambria Math" w:hAnsi="Cambria Math"/>
                    <w:lang w:val="en-US"/>
                  </w:rPr>
                  <m:t>∇</m:t>
                </m:r>
                <m:r>
                  <w:rPr>
                    <w:rFonts w:ascii="Cambria Math" w:hAnsi="Cambria Math"/>
                    <w:lang w:val="en-US"/>
                  </w:rPr>
                  <m:t>∙</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s</m:t>
                        </m:r>
                      </m:sub>
                    </m:sSub>
                    <m:r>
                      <w:rPr>
                        <w:rFonts w:ascii="Cambria Math" w:hAnsi="Cambria Math"/>
                        <w:lang w:val="en-US"/>
                      </w:rPr>
                      <m:t>∙</m:t>
                    </m:r>
                    <m:r>
                      <m:rPr>
                        <m:sty m:val="p"/>
                      </m:rPr>
                      <w:rPr>
                        <w:rFonts w:ascii="Cambria Math" w:hAnsi="Cambria Math"/>
                        <w:lang w:val="en-US"/>
                      </w:rPr>
                      <m:t>∇</m:t>
                    </m:r>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s</m:t>
                        </m:r>
                      </m:sub>
                    </m:sSub>
                  </m:e>
                </m:d>
                <m:r>
                  <w:rPr>
                    <w:rFonts w:ascii="Cambria Math" w:hAnsi="Cambria Math"/>
                    <w:lang w:val="en-US"/>
                  </w:rPr>
                  <m:t>+</m:t>
                </m:r>
                <m:sSub>
                  <m:sSubPr>
                    <m:ctrlPr>
                      <w:rPr>
                        <w:rFonts w:ascii="Cambria Math" w:hAnsi="Cambria Math"/>
                        <w:i/>
                        <w:lang w:val="en-US"/>
                      </w:rPr>
                    </m:ctrlPr>
                  </m:sSubPr>
                  <m:e>
                    <m:r>
                      <w:rPr>
                        <w:rFonts w:ascii="Cambria Math" w:hAnsi="Cambria Math"/>
                        <w:lang w:val="en-US"/>
                      </w:rPr>
                      <m:t>h</m:t>
                    </m:r>
                  </m:e>
                  <m:sub>
                    <m:r>
                      <w:rPr>
                        <w:rFonts w:ascii="Cambria Math" w:hAnsi="Cambria Math"/>
                        <w:lang w:val="en-US"/>
                      </w:rPr>
                      <m:t>v</m:t>
                    </m:r>
                  </m:sub>
                </m:sSub>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s</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f</m:t>
                        </m:r>
                      </m:sub>
                    </m:sSub>
                  </m:e>
                </m:d>
              </m:oMath>
            </m:oMathPara>
          </w:p>
        </w:tc>
        <w:tc>
          <w:tcPr>
            <w:tcW w:w="907" w:type="dxa"/>
            <w:vAlign w:val="center"/>
          </w:tcPr>
          <w:p w14:paraId="71D35510" w14:textId="77777777" w:rsidR="006060A3" w:rsidRDefault="006060A3" w:rsidP="0045084A">
            <w:pPr>
              <w:ind w:firstLine="34"/>
              <w:jc w:val="center"/>
              <w:rPr>
                <w:lang w:val="en-US"/>
              </w:rPr>
            </w:pPr>
            <w:r>
              <w:rPr>
                <w:lang w:val="en-US"/>
              </w:rPr>
              <w:t>(4)</w:t>
            </w:r>
          </w:p>
        </w:tc>
      </w:tr>
    </w:tbl>
    <w:p w14:paraId="05929792" w14:textId="77777777" w:rsidR="006060A3" w:rsidRDefault="006060A3" w:rsidP="006060A3">
      <w:pPr>
        <w:spacing w:before="120" w:after="120"/>
        <w:rPr>
          <w:lang w:val="en-US"/>
        </w:rPr>
      </w:pPr>
      <w:r>
        <w:rPr>
          <w:lang w:val="en-US"/>
        </w:rPr>
        <w:t>Transport of chemical species:</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7"/>
        <w:gridCol w:w="907"/>
      </w:tblGrid>
      <w:tr w:rsidR="006060A3" w14:paraId="3AB727F7" w14:textId="77777777" w:rsidTr="0045084A">
        <w:trPr>
          <w:trHeight w:val="680"/>
          <w:jc w:val="center"/>
        </w:trPr>
        <w:tc>
          <w:tcPr>
            <w:tcW w:w="7937" w:type="dxa"/>
            <w:vAlign w:val="center"/>
          </w:tcPr>
          <w:p w14:paraId="63CD6B18" w14:textId="77777777" w:rsidR="006060A3" w:rsidRDefault="006A17F1" w:rsidP="0045084A">
            <w:pPr>
              <w:jc w:val="center"/>
              <w:rPr>
                <w:lang w:val="en-US"/>
              </w:rPr>
            </w:pPr>
            <m:oMathPara>
              <m:oMath>
                <m:f>
                  <m:fPr>
                    <m:ctrlPr>
                      <w:rPr>
                        <w:rFonts w:ascii="Cambria Math" w:hAnsi="Cambria Math"/>
                        <w:i/>
                        <w:lang w:val="en-US"/>
                      </w:rPr>
                    </m:ctrlPr>
                  </m:fPr>
                  <m:num>
                    <m:r>
                      <w:rPr>
                        <w:rFonts w:ascii="Cambria Math" w:hAnsi="Cambria Math"/>
                        <w:lang w:val="en-US"/>
                      </w:rPr>
                      <m:t>∂</m:t>
                    </m:r>
                  </m:num>
                  <m:den>
                    <m:r>
                      <w:rPr>
                        <w:rFonts w:ascii="Cambria Math" w:hAnsi="Cambria Math"/>
                        <w:lang w:val="en-US"/>
                      </w:rPr>
                      <m:t>∂t</m:t>
                    </m:r>
                  </m:den>
                </m:f>
                <m:d>
                  <m:dPr>
                    <m:ctrlPr>
                      <w:rPr>
                        <w:rFonts w:ascii="Cambria Math" w:hAnsi="Cambria Math"/>
                        <w:i/>
                        <w:lang w:val="en-US"/>
                      </w:rPr>
                    </m:ctrlPr>
                  </m:dPr>
                  <m:e>
                    <m:r>
                      <w:rPr>
                        <w:rFonts w:ascii="Cambria Math" w:hAnsi="Cambria Math"/>
                        <w:lang w:val="en-US"/>
                      </w:rPr>
                      <m:t>ε</m:t>
                    </m:r>
                    <m:sSub>
                      <m:sSubPr>
                        <m:ctrlPr>
                          <w:rPr>
                            <w:rFonts w:ascii="Cambria Math" w:hAnsi="Cambria Math"/>
                            <w:i/>
                            <w:lang w:val="en-US"/>
                          </w:rPr>
                        </m:ctrlPr>
                      </m:sSubPr>
                      <m:e>
                        <m:r>
                          <w:rPr>
                            <w:rFonts w:ascii="Cambria Math" w:hAnsi="Cambria Math"/>
                            <w:lang w:val="en-US"/>
                          </w:rPr>
                          <m:t>ρ</m:t>
                        </m:r>
                      </m:e>
                      <m:sub>
                        <m:r>
                          <w:rPr>
                            <w:rFonts w:ascii="Cambria Math" w:hAnsi="Cambria Math"/>
                            <w:lang w:val="en-US"/>
                          </w:rPr>
                          <m:t>f</m:t>
                        </m:r>
                      </m:sub>
                    </m:sSub>
                    <m:sSub>
                      <m:sSubPr>
                        <m:ctrlPr>
                          <w:rPr>
                            <w:rFonts w:ascii="Cambria Math" w:hAnsi="Cambria Math"/>
                            <w:i/>
                            <w:lang w:val="en-US"/>
                          </w:rPr>
                        </m:ctrlPr>
                      </m:sSubPr>
                      <m:e>
                        <m:r>
                          <w:rPr>
                            <w:rFonts w:ascii="Cambria Math" w:hAnsi="Cambria Math"/>
                            <w:lang w:val="en-US"/>
                          </w:rPr>
                          <m:t>y</m:t>
                        </m:r>
                      </m:e>
                      <m:sub>
                        <m:r>
                          <w:rPr>
                            <w:rFonts w:ascii="Cambria Math" w:hAnsi="Cambria Math"/>
                            <w:lang w:val="en-US"/>
                          </w:rPr>
                          <m:t>k</m:t>
                        </m:r>
                      </m:sub>
                    </m:sSub>
                  </m:e>
                </m:d>
                <m:r>
                  <w:rPr>
                    <w:rFonts w:ascii="Cambria Math" w:hAnsi="Cambria Math"/>
                    <w:lang w:val="en-US"/>
                  </w:rPr>
                  <m:t>+</m:t>
                </m:r>
                <m:r>
                  <m:rPr>
                    <m:sty m:val="p"/>
                  </m:rPr>
                  <w:rPr>
                    <w:rFonts w:ascii="Cambria Math" w:hAnsi="Cambria Math"/>
                    <w:lang w:val="en-US"/>
                  </w:rPr>
                  <m:t>∇</m:t>
                </m:r>
                <m:r>
                  <w:rPr>
                    <w:rFonts w:ascii="Cambria Math" w:hAnsi="Cambria Math"/>
                    <w:lang w:val="en-US"/>
                  </w:rPr>
                  <m:t>∙</m:t>
                </m:r>
                <m:d>
                  <m:dPr>
                    <m:ctrlPr>
                      <w:rPr>
                        <w:rFonts w:ascii="Cambria Math" w:hAnsi="Cambria Math"/>
                        <w:i/>
                        <w:lang w:val="en-US"/>
                      </w:rPr>
                    </m:ctrlPr>
                  </m:dPr>
                  <m:e>
                    <m:r>
                      <w:rPr>
                        <w:rFonts w:ascii="Cambria Math" w:hAnsi="Cambria Math"/>
                        <w:lang w:val="en-US"/>
                      </w:rPr>
                      <m:t>ε</m:t>
                    </m:r>
                    <m:sSub>
                      <m:sSubPr>
                        <m:ctrlPr>
                          <w:rPr>
                            <w:rFonts w:ascii="Cambria Math" w:hAnsi="Cambria Math"/>
                            <w:i/>
                            <w:lang w:val="en-US"/>
                          </w:rPr>
                        </m:ctrlPr>
                      </m:sSubPr>
                      <m:e>
                        <m:r>
                          <w:rPr>
                            <w:rFonts w:ascii="Cambria Math" w:hAnsi="Cambria Math"/>
                            <w:lang w:val="en-US"/>
                          </w:rPr>
                          <m:t>ρ</m:t>
                        </m:r>
                      </m:e>
                      <m:sub>
                        <m:r>
                          <w:rPr>
                            <w:rFonts w:ascii="Cambria Math" w:hAnsi="Cambria Math"/>
                            <w:lang w:val="en-US"/>
                          </w:rPr>
                          <m:t>f</m:t>
                        </m:r>
                      </m:sub>
                    </m:sSub>
                    <m:r>
                      <w:rPr>
                        <w:rFonts w:ascii="Cambria Math" w:hAnsi="Cambria Math"/>
                        <w:lang w:val="en-US"/>
                      </w:rPr>
                      <m:t>v</m:t>
                    </m:r>
                    <m:sSub>
                      <m:sSubPr>
                        <m:ctrlPr>
                          <w:rPr>
                            <w:rFonts w:ascii="Cambria Math" w:hAnsi="Cambria Math"/>
                            <w:i/>
                            <w:lang w:val="en-US"/>
                          </w:rPr>
                        </m:ctrlPr>
                      </m:sSubPr>
                      <m:e>
                        <m:r>
                          <w:rPr>
                            <w:rFonts w:ascii="Cambria Math" w:hAnsi="Cambria Math"/>
                            <w:lang w:val="en-US"/>
                          </w:rPr>
                          <m:t>y</m:t>
                        </m:r>
                      </m:e>
                      <m:sub>
                        <m:r>
                          <w:rPr>
                            <w:rFonts w:ascii="Cambria Math" w:hAnsi="Cambria Math"/>
                            <w:lang w:val="en-US"/>
                          </w:rPr>
                          <m:t>k</m:t>
                        </m:r>
                      </m:sub>
                    </m:sSub>
                  </m:e>
                </m:d>
                <m:r>
                  <w:rPr>
                    <w:rFonts w:ascii="Cambria Math" w:hAnsi="Cambria Math"/>
                    <w:lang w:val="en-US"/>
                  </w:rPr>
                  <m:t>=-</m:t>
                </m:r>
                <m:r>
                  <m:rPr>
                    <m:sty m:val="p"/>
                  </m:rPr>
                  <w:rPr>
                    <w:rFonts w:ascii="Cambria Math" w:hAnsi="Cambria Math"/>
                    <w:lang w:val="en-US"/>
                  </w:rPr>
                  <m:t>∇</m:t>
                </m:r>
                <m:r>
                  <w:rPr>
                    <w:rFonts w:ascii="Cambria Math" w:hAnsi="Cambria Math"/>
                    <w:lang w:val="en-US"/>
                  </w:rPr>
                  <m:t>∙</m:t>
                </m:r>
                <m:acc>
                  <m:accPr>
                    <m:chr m:val="⃗"/>
                    <m:ctrlPr>
                      <w:rPr>
                        <w:rFonts w:ascii="Cambria Math" w:hAnsi="Cambria Math"/>
                        <w:i/>
                        <w:lang w:val="en-US"/>
                      </w:rPr>
                    </m:ctrlPr>
                  </m:accPr>
                  <m:e>
                    <m:sSub>
                      <m:sSubPr>
                        <m:ctrlPr>
                          <w:rPr>
                            <w:rFonts w:ascii="Cambria Math" w:hAnsi="Cambria Math"/>
                            <w:i/>
                            <w:lang w:val="en-US"/>
                          </w:rPr>
                        </m:ctrlPr>
                      </m:sSubPr>
                      <m:e>
                        <m:r>
                          <w:rPr>
                            <w:rFonts w:ascii="Cambria Math" w:hAnsi="Cambria Math"/>
                            <w:lang w:val="en-US"/>
                          </w:rPr>
                          <m:t>J</m:t>
                        </m:r>
                      </m:e>
                      <m:sub>
                        <m:r>
                          <w:rPr>
                            <w:rFonts w:ascii="Cambria Math" w:hAnsi="Cambria Math"/>
                            <w:lang w:val="en-US"/>
                          </w:rPr>
                          <m:t>k</m:t>
                        </m:r>
                      </m:sub>
                    </m:sSub>
                  </m:e>
                </m:acc>
                <m:r>
                  <w:rPr>
                    <w:rFonts w:ascii="Cambria Math" w:hAnsi="Cambria Math"/>
                    <w:lang w:val="en-US"/>
                  </w:rPr>
                  <m:t>+</m:t>
                </m:r>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k</m:t>
                    </m:r>
                  </m:sub>
                </m:sSub>
                <m:r>
                  <w:rPr>
                    <w:rFonts w:ascii="Cambria Math" w:hAnsi="Cambria Math"/>
                    <w:lang w:val="en-US"/>
                  </w:rPr>
                  <m:t xml:space="preserve">                          k=1, …</m:t>
                </m:r>
                <m:sSub>
                  <m:sSubPr>
                    <m:ctrlPr>
                      <w:rPr>
                        <w:rFonts w:ascii="Cambria Math" w:hAnsi="Cambria Math"/>
                        <w:i/>
                        <w:lang w:val="en-US"/>
                      </w:rPr>
                    </m:ctrlPr>
                  </m:sSubPr>
                  <m:e>
                    <m:r>
                      <w:rPr>
                        <w:rFonts w:ascii="Cambria Math" w:hAnsi="Cambria Math"/>
                        <w:lang w:val="en-US"/>
                      </w:rPr>
                      <m:t>, N</m:t>
                    </m:r>
                  </m:e>
                  <m:sub>
                    <m:r>
                      <w:rPr>
                        <w:rFonts w:ascii="Cambria Math" w:hAnsi="Cambria Math"/>
                        <w:lang w:val="en-US"/>
                      </w:rPr>
                      <m:t>sp</m:t>
                    </m:r>
                  </m:sub>
                </m:sSub>
                <m:r>
                  <w:rPr>
                    <w:rFonts w:ascii="Cambria Math" w:hAnsi="Cambria Math"/>
                    <w:lang w:val="en-US"/>
                  </w:rPr>
                  <m:t>-1</m:t>
                </m:r>
              </m:oMath>
            </m:oMathPara>
          </w:p>
        </w:tc>
        <w:tc>
          <w:tcPr>
            <w:tcW w:w="907" w:type="dxa"/>
            <w:vAlign w:val="center"/>
          </w:tcPr>
          <w:p w14:paraId="5A925441" w14:textId="25270CE5" w:rsidR="006060A3" w:rsidRDefault="006060A3" w:rsidP="0045084A">
            <w:pPr>
              <w:ind w:firstLine="34"/>
              <w:jc w:val="center"/>
              <w:rPr>
                <w:lang w:val="en-US"/>
              </w:rPr>
            </w:pPr>
            <w:r>
              <w:rPr>
                <w:lang w:val="en-US"/>
              </w:rPr>
              <w:t>(5)</w:t>
            </w:r>
          </w:p>
        </w:tc>
      </w:tr>
    </w:tbl>
    <w:p w14:paraId="1F850D38" w14:textId="77777777" w:rsidR="006060A3" w:rsidRDefault="006060A3" w:rsidP="006060A3">
      <w:pPr>
        <w:spacing w:before="120" w:after="120"/>
        <w:rPr>
          <w:lang w:val="en-US"/>
        </w:rPr>
      </w:pPr>
      <w:r>
        <w:rPr>
          <w:lang w:val="en-US"/>
        </w:rPr>
        <w:t>Radiative transfer equation (RTE):</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7"/>
        <w:gridCol w:w="907"/>
      </w:tblGrid>
      <w:tr w:rsidR="006060A3" w14:paraId="1749E307" w14:textId="77777777" w:rsidTr="0045084A">
        <w:trPr>
          <w:trHeight w:val="680"/>
          <w:jc w:val="center"/>
        </w:trPr>
        <w:tc>
          <w:tcPr>
            <w:tcW w:w="7937" w:type="dxa"/>
            <w:vAlign w:val="center"/>
          </w:tcPr>
          <w:p w14:paraId="4E58D2B1" w14:textId="77777777" w:rsidR="006060A3" w:rsidRDefault="006A17F1" w:rsidP="0045084A">
            <w:pPr>
              <w:jc w:val="left"/>
              <w:rPr>
                <w:lang w:val="en-US"/>
              </w:rPr>
            </w:pPr>
            <m:oMathPara>
              <m:oMath>
                <m:f>
                  <m:fPr>
                    <m:ctrlPr>
                      <w:rPr>
                        <w:rFonts w:ascii="Cambria Math" w:hAnsi="Cambria Math"/>
                        <w:i/>
                        <w:lang w:val="en-US"/>
                      </w:rPr>
                    </m:ctrlPr>
                  </m:fPr>
                  <m:num>
                    <m:r>
                      <w:rPr>
                        <w:rFonts w:ascii="Cambria Math" w:hAnsi="Cambria Math"/>
                        <w:lang w:val="en-US"/>
                      </w:rPr>
                      <m:t>dI</m:t>
                    </m:r>
                  </m:num>
                  <m:den>
                    <m:r>
                      <w:rPr>
                        <w:rFonts w:ascii="Cambria Math" w:hAnsi="Cambria Math"/>
                        <w:lang w:val="en-US"/>
                      </w:rPr>
                      <m:t>ds</m:t>
                    </m:r>
                  </m:den>
                </m:f>
                <m:r>
                  <w:rPr>
                    <w:rFonts w:ascii="Cambria Math" w:hAnsi="Cambria Math"/>
                    <w:lang w:val="en-US"/>
                  </w:rPr>
                  <m:t>+</m:t>
                </m:r>
                <m:d>
                  <m:dPr>
                    <m:ctrlPr>
                      <w:rPr>
                        <w:rFonts w:ascii="Cambria Math" w:hAnsi="Cambria Math"/>
                        <w:i/>
                        <w:lang w:val="en-US"/>
                      </w:rPr>
                    </m:ctrlPr>
                  </m:dPr>
                  <m:e>
                    <m:r>
                      <w:rPr>
                        <w:rFonts w:ascii="Cambria Math" w:hAnsi="Cambria Math"/>
                        <w:lang w:val="en-US"/>
                      </w:rPr>
                      <m:t>a+</m:t>
                    </m:r>
                    <m:sSub>
                      <m:sSubPr>
                        <m:ctrlPr>
                          <w:rPr>
                            <w:rFonts w:ascii="Cambria Math" w:hAnsi="Cambria Math"/>
                            <w:i/>
                            <w:lang w:val="en-US"/>
                          </w:rPr>
                        </m:ctrlPr>
                      </m:sSubPr>
                      <m:e>
                        <m:r>
                          <w:rPr>
                            <w:rFonts w:ascii="Cambria Math" w:hAnsi="Cambria Math"/>
                            <w:lang w:val="en-US"/>
                          </w:rPr>
                          <m:t>σ</m:t>
                        </m:r>
                      </m:e>
                      <m:sub>
                        <m:r>
                          <w:rPr>
                            <w:rFonts w:ascii="Cambria Math" w:hAnsi="Cambria Math"/>
                            <w:lang w:val="en-US"/>
                          </w:rPr>
                          <m:t>s</m:t>
                        </m:r>
                      </m:sub>
                    </m:sSub>
                  </m:e>
                </m:d>
                <m:r>
                  <w:rPr>
                    <w:rFonts w:ascii="Cambria Math" w:hAnsi="Cambria Math"/>
                    <w:lang w:val="en-US"/>
                  </w:rPr>
                  <m:t>I=a</m:t>
                </m:r>
                <m:sSup>
                  <m:sSupPr>
                    <m:ctrlPr>
                      <w:rPr>
                        <w:rFonts w:ascii="Cambria Math" w:hAnsi="Cambria Math"/>
                        <w:i/>
                        <w:lang w:val="en-US"/>
                      </w:rPr>
                    </m:ctrlPr>
                  </m:sSupPr>
                  <m:e>
                    <m:r>
                      <w:rPr>
                        <w:rFonts w:ascii="Cambria Math" w:hAnsi="Cambria Math"/>
                        <w:lang w:val="en-US"/>
                      </w:rPr>
                      <m:t>n</m:t>
                    </m:r>
                  </m:e>
                  <m:sup>
                    <m:r>
                      <w:rPr>
                        <w:rFonts w:ascii="Cambria Math" w:hAnsi="Cambria Math"/>
                        <w:lang w:val="en-US"/>
                      </w:rPr>
                      <m:t>2</m:t>
                    </m:r>
                  </m:sup>
                </m:sSup>
                <m:f>
                  <m:fPr>
                    <m:ctrlPr>
                      <w:rPr>
                        <w:rFonts w:ascii="Cambria Math" w:hAnsi="Cambria Math"/>
                        <w:i/>
                        <w:lang w:val="en-US"/>
                      </w:rPr>
                    </m:ctrlPr>
                  </m:fPr>
                  <m:num>
                    <m:r>
                      <w:rPr>
                        <w:rFonts w:ascii="Cambria Math" w:hAnsi="Cambria Math"/>
                        <w:lang w:val="en-US"/>
                      </w:rPr>
                      <m:t>σ</m:t>
                    </m:r>
                    <m:sSup>
                      <m:sSupPr>
                        <m:ctrlPr>
                          <w:rPr>
                            <w:rFonts w:ascii="Cambria Math" w:hAnsi="Cambria Math"/>
                            <w:i/>
                            <w:lang w:val="en-US"/>
                          </w:rPr>
                        </m:ctrlPr>
                      </m:sSupPr>
                      <m:e>
                        <m:r>
                          <w:rPr>
                            <w:rFonts w:ascii="Cambria Math" w:hAnsi="Cambria Math"/>
                            <w:lang w:val="en-US"/>
                          </w:rPr>
                          <m:t>T</m:t>
                        </m:r>
                      </m:e>
                      <m:sup>
                        <m:r>
                          <w:rPr>
                            <w:rFonts w:ascii="Cambria Math" w:hAnsi="Cambria Math"/>
                            <w:lang w:val="en-US"/>
                          </w:rPr>
                          <m:t>4</m:t>
                        </m:r>
                      </m:sup>
                    </m:sSup>
                  </m:num>
                  <m:den>
                    <m:r>
                      <w:rPr>
                        <w:rFonts w:ascii="Cambria Math" w:hAnsi="Cambria Math"/>
                        <w:lang w:val="en-US"/>
                      </w:rPr>
                      <m:t>π</m:t>
                    </m:r>
                  </m:den>
                </m:f>
                <m:r>
                  <w:rPr>
                    <w:rFonts w:ascii="Cambria Math" w:hAnsi="Cambria Math"/>
                    <w:lang w:val="en-US"/>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σ</m:t>
                        </m:r>
                      </m:e>
                      <m:sub>
                        <m:r>
                          <w:rPr>
                            <w:rFonts w:ascii="Cambria Math" w:hAnsi="Cambria Math"/>
                            <w:lang w:val="en-US"/>
                          </w:rPr>
                          <m:t>s</m:t>
                        </m:r>
                      </m:sub>
                    </m:sSub>
                  </m:num>
                  <m:den>
                    <m:r>
                      <w:rPr>
                        <w:rFonts w:ascii="Cambria Math" w:hAnsi="Cambria Math"/>
                        <w:lang w:val="en-US"/>
                      </w:rPr>
                      <m:t>4π</m:t>
                    </m:r>
                  </m:den>
                </m:f>
                <m:nary>
                  <m:naryPr>
                    <m:limLoc m:val="subSup"/>
                    <m:ctrlPr>
                      <w:rPr>
                        <w:rFonts w:ascii="Cambria Math" w:hAnsi="Cambria Math"/>
                        <w:i/>
                        <w:lang w:val="en-US"/>
                      </w:rPr>
                    </m:ctrlPr>
                  </m:naryPr>
                  <m:sub>
                    <m:r>
                      <w:rPr>
                        <w:rFonts w:ascii="Cambria Math" w:hAnsi="Cambria Math"/>
                        <w:lang w:val="en-US"/>
                      </w:rPr>
                      <m:t>0</m:t>
                    </m:r>
                  </m:sub>
                  <m:sup>
                    <m:r>
                      <w:rPr>
                        <w:rFonts w:ascii="Cambria Math" w:hAnsi="Cambria Math"/>
                        <w:lang w:val="en-US"/>
                      </w:rPr>
                      <m:t>4π</m:t>
                    </m:r>
                  </m:sup>
                  <m:e>
                    <m:r>
                      <w:rPr>
                        <w:rFonts w:ascii="Cambria Math" w:hAnsi="Cambria Math"/>
                        <w:lang w:val="en-US"/>
                      </w:rPr>
                      <m:t>I</m:t>
                    </m:r>
                    <m:d>
                      <m:dPr>
                        <m:ctrlPr>
                          <w:rPr>
                            <w:rFonts w:ascii="Cambria Math" w:hAnsi="Cambria Math"/>
                            <w:i/>
                            <w:lang w:val="en-US"/>
                          </w:rPr>
                        </m:ctrlPr>
                      </m:dPr>
                      <m:e>
                        <m:acc>
                          <m:accPr>
                            <m:ctrlPr>
                              <w:rPr>
                                <w:rFonts w:ascii="Cambria Math" w:hAnsi="Cambria Math"/>
                                <w:i/>
                                <w:lang w:val="en-US"/>
                              </w:rPr>
                            </m:ctrlPr>
                          </m:accPr>
                          <m:e>
                            <m:r>
                              <m:rPr>
                                <m:sty m:val="bi"/>
                              </m:rPr>
                              <w:rPr>
                                <w:rFonts w:ascii="Cambria Math" w:hAnsi="Cambria Math"/>
                                <w:lang w:val="en-US"/>
                              </w:rPr>
                              <m:t>s</m:t>
                            </m:r>
                          </m:e>
                        </m:acc>
                      </m:e>
                    </m:d>
                    <m:r>
                      <w:rPr>
                        <w:rFonts w:ascii="Cambria Math" w:hAnsi="Cambria Math"/>
                        <w:lang w:val="en-US"/>
                      </w:rPr>
                      <m:t>Φ</m:t>
                    </m:r>
                    <m:d>
                      <m:dPr>
                        <m:ctrlPr>
                          <w:rPr>
                            <w:rFonts w:ascii="Cambria Math" w:hAnsi="Cambria Math"/>
                            <w:i/>
                            <w:lang w:val="en-US"/>
                          </w:rPr>
                        </m:ctrlPr>
                      </m:dPr>
                      <m:e>
                        <m:r>
                          <m:rPr>
                            <m:sty m:val="bi"/>
                          </m:rPr>
                          <w:rPr>
                            <w:rFonts w:ascii="Cambria Math" w:hAnsi="Cambria Math"/>
                            <w:lang w:val="en-US"/>
                          </w:rPr>
                          <m:t>s</m:t>
                        </m:r>
                        <m:r>
                          <w:rPr>
                            <w:rFonts w:ascii="Cambria Math" w:hAnsi="Cambria Math"/>
                            <w:lang w:val="en-US"/>
                          </w:rPr>
                          <m:t>,</m:t>
                        </m:r>
                        <m:acc>
                          <m:accPr>
                            <m:ctrlPr>
                              <w:rPr>
                                <w:rFonts w:ascii="Cambria Math" w:hAnsi="Cambria Math"/>
                                <w:b/>
                                <w:i/>
                                <w:lang w:val="en-US"/>
                              </w:rPr>
                            </m:ctrlPr>
                          </m:accPr>
                          <m:e>
                            <m:r>
                              <m:rPr>
                                <m:sty m:val="bi"/>
                              </m:rPr>
                              <w:rPr>
                                <w:rFonts w:ascii="Cambria Math" w:hAnsi="Cambria Math"/>
                                <w:lang w:val="en-US"/>
                              </w:rPr>
                              <m:t>s</m:t>
                            </m:r>
                          </m:e>
                        </m:acc>
                      </m:e>
                    </m:d>
                    <m:r>
                      <w:rPr>
                        <w:rFonts w:ascii="Cambria Math" w:hAnsi="Cambria Math"/>
                        <w:lang w:val="en-US"/>
                      </w:rPr>
                      <m:t>dΩ</m:t>
                    </m:r>
                  </m:e>
                </m:nary>
              </m:oMath>
            </m:oMathPara>
          </w:p>
        </w:tc>
        <w:tc>
          <w:tcPr>
            <w:tcW w:w="907" w:type="dxa"/>
            <w:vAlign w:val="center"/>
          </w:tcPr>
          <w:p w14:paraId="4097B6BA" w14:textId="77777777" w:rsidR="006060A3" w:rsidRDefault="006060A3" w:rsidP="0045084A">
            <w:pPr>
              <w:ind w:firstLine="0"/>
              <w:jc w:val="center"/>
              <w:rPr>
                <w:lang w:val="en-US"/>
              </w:rPr>
            </w:pPr>
            <w:r>
              <w:rPr>
                <w:lang w:val="en-US"/>
              </w:rPr>
              <w:t>(6)</w:t>
            </w:r>
          </w:p>
        </w:tc>
      </w:tr>
    </w:tbl>
    <w:p w14:paraId="089734C6" w14:textId="77777777" w:rsidR="006060A3" w:rsidRDefault="006060A3" w:rsidP="006060A3">
      <w:pPr>
        <w:spacing w:before="120" w:after="120"/>
        <w:rPr>
          <w:lang w:val="en-US"/>
        </w:rPr>
      </w:pPr>
      <w:r>
        <w:rPr>
          <w:lang w:val="en-US"/>
        </w:rPr>
        <w:t>Mass diffusion:</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7"/>
        <w:gridCol w:w="964"/>
      </w:tblGrid>
      <w:tr w:rsidR="006060A3" w14:paraId="564AD09D" w14:textId="77777777" w:rsidTr="0045084A">
        <w:trPr>
          <w:trHeight w:val="680"/>
          <w:jc w:val="center"/>
        </w:trPr>
        <w:tc>
          <w:tcPr>
            <w:tcW w:w="7937" w:type="dxa"/>
            <w:vAlign w:val="center"/>
          </w:tcPr>
          <w:p w14:paraId="2BD0505F" w14:textId="77777777" w:rsidR="006060A3" w:rsidRDefault="006A17F1" w:rsidP="0045084A">
            <w:pPr>
              <w:jc w:val="center"/>
              <w:rPr>
                <w:lang w:val="en-US"/>
              </w:rPr>
            </w:pPr>
            <m:oMathPara>
              <m:oMath>
                <m:acc>
                  <m:accPr>
                    <m:chr m:val="⃗"/>
                    <m:ctrlPr>
                      <w:rPr>
                        <w:rFonts w:ascii="Cambria Math" w:hAnsi="Cambria Math"/>
                        <w:i/>
                        <w:lang w:val="en-US"/>
                      </w:rPr>
                    </m:ctrlPr>
                  </m:accPr>
                  <m:e>
                    <m:sSub>
                      <m:sSubPr>
                        <m:ctrlPr>
                          <w:rPr>
                            <w:rFonts w:ascii="Cambria Math" w:hAnsi="Cambria Math"/>
                            <w:i/>
                            <w:lang w:val="en-US"/>
                          </w:rPr>
                        </m:ctrlPr>
                      </m:sSubPr>
                      <m:e>
                        <m:r>
                          <w:rPr>
                            <w:rFonts w:ascii="Cambria Math" w:hAnsi="Cambria Math"/>
                            <w:lang w:val="en-US"/>
                          </w:rPr>
                          <m:t>J</m:t>
                        </m:r>
                      </m:e>
                      <m:sub>
                        <m:r>
                          <w:rPr>
                            <w:rFonts w:ascii="Cambria Math" w:hAnsi="Cambria Math"/>
                            <w:lang w:val="en-US"/>
                          </w:rPr>
                          <m:t>k</m:t>
                        </m:r>
                      </m:sub>
                    </m:sSub>
                  </m:e>
                </m:acc>
                <m:r>
                  <w:rPr>
                    <w:rFonts w:ascii="Cambria Math" w:hAnsi="Cambria Math"/>
                    <w:lang w:val="en-US"/>
                  </w:rPr>
                  <m:t>=-</m:t>
                </m:r>
                <m:d>
                  <m:dPr>
                    <m:ctrlPr>
                      <w:rPr>
                        <w:rFonts w:ascii="Cambria Math" w:hAnsi="Cambria Math"/>
                        <w:i/>
                        <w:lang w:val="en-US"/>
                      </w:rPr>
                    </m:ctrlPr>
                  </m:dPr>
                  <m:e>
                    <m:r>
                      <w:rPr>
                        <w:rFonts w:ascii="Cambria Math" w:hAnsi="Cambria Math"/>
                        <w:lang w:val="en-US"/>
                      </w:rPr>
                      <m:t>ρ</m:t>
                    </m:r>
                    <m:sSub>
                      <m:sSubPr>
                        <m:ctrlPr>
                          <w:rPr>
                            <w:rFonts w:ascii="Cambria Math" w:hAnsi="Cambria Math"/>
                            <w:i/>
                            <w:lang w:val="en-US"/>
                          </w:rPr>
                        </m:ctrlPr>
                      </m:sSubPr>
                      <m:e>
                        <m:r>
                          <w:rPr>
                            <w:rFonts w:ascii="Cambria Math" w:hAnsi="Cambria Math"/>
                            <w:lang w:val="en-US"/>
                          </w:rPr>
                          <m:t>D</m:t>
                        </m:r>
                      </m:e>
                      <m:sub>
                        <m:r>
                          <w:rPr>
                            <w:rFonts w:ascii="Cambria Math" w:hAnsi="Cambria Math"/>
                            <w:lang w:val="en-US"/>
                          </w:rPr>
                          <m:t>k,m</m:t>
                        </m:r>
                      </m:sub>
                    </m:sSub>
                    <m:r>
                      <w:rPr>
                        <w:rFonts w:ascii="Cambria Math" w:hAnsi="Cambria Math"/>
                        <w:lang w:val="en-US"/>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μ</m:t>
                            </m:r>
                          </m:e>
                          <m:sub>
                            <m:r>
                              <w:rPr>
                                <w:rFonts w:ascii="Cambria Math" w:hAnsi="Cambria Math"/>
                                <w:lang w:val="en-US"/>
                              </w:rPr>
                              <m:t>t</m:t>
                            </m:r>
                          </m:sub>
                        </m:sSub>
                      </m:num>
                      <m:den>
                        <m:sSub>
                          <m:sSubPr>
                            <m:ctrlPr>
                              <w:rPr>
                                <w:rFonts w:ascii="Cambria Math" w:hAnsi="Cambria Math"/>
                                <w:i/>
                                <w:lang w:val="en-US"/>
                              </w:rPr>
                            </m:ctrlPr>
                          </m:sSubPr>
                          <m:e>
                            <m:r>
                              <w:rPr>
                                <w:rFonts w:ascii="Cambria Math" w:hAnsi="Cambria Math"/>
                                <w:lang w:val="en-US"/>
                              </w:rPr>
                              <m:t>Sc</m:t>
                            </m:r>
                          </m:e>
                          <m:sub>
                            <m:r>
                              <w:rPr>
                                <w:rFonts w:ascii="Cambria Math" w:hAnsi="Cambria Math"/>
                                <w:lang w:val="en-US"/>
                              </w:rPr>
                              <m:t>t</m:t>
                            </m:r>
                          </m:sub>
                        </m:sSub>
                      </m:den>
                    </m:f>
                  </m:e>
                </m:d>
                <m:r>
                  <m:rPr>
                    <m:sty m:val="p"/>
                  </m:rPr>
                  <w:rPr>
                    <w:rFonts w:ascii="Cambria Math" w:hAnsi="Cambria Math"/>
                    <w:lang w:val="en-US"/>
                  </w:rPr>
                  <m:t>∇</m:t>
                </m:r>
                <m:sSub>
                  <m:sSubPr>
                    <m:ctrlPr>
                      <w:rPr>
                        <w:rFonts w:ascii="Cambria Math" w:hAnsi="Cambria Math"/>
                        <w:i/>
                        <w:lang w:val="en-US"/>
                      </w:rPr>
                    </m:ctrlPr>
                  </m:sSubPr>
                  <m:e>
                    <m:r>
                      <w:rPr>
                        <w:rFonts w:ascii="Cambria Math" w:hAnsi="Cambria Math"/>
                        <w:lang w:val="en-US"/>
                      </w:rPr>
                      <m:t>y</m:t>
                    </m:r>
                  </m:e>
                  <m:sub>
                    <m:r>
                      <w:rPr>
                        <w:rFonts w:ascii="Cambria Math" w:hAnsi="Cambria Math"/>
                        <w:lang w:val="en-US"/>
                      </w:rPr>
                      <m:t>k</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D</m:t>
                    </m:r>
                  </m:e>
                  <m:sub>
                    <m:r>
                      <w:rPr>
                        <w:rFonts w:ascii="Cambria Math" w:hAnsi="Cambria Math"/>
                        <w:lang w:val="en-US"/>
                      </w:rPr>
                      <m:t>T,k</m:t>
                    </m:r>
                  </m:sub>
                </m:sSub>
                <m:f>
                  <m:fPr>
                    <m:ctrlPr>
                      <w:rPr>
                        <w:rFonts w:ascii="Cambria Math" w:hAnsi="Cambria Math"/>
                        <w:i/>
                        <w:lang w:val="en-US"/>
                      </w:rPr>
                    </m:ctrlPr>
                  </m:fPr>
                  <m:num>
                    <m:r>
                      <m:rPr>
                        <m:sty m:val="p"/>
                      </m:rPr>
                      <w:rPr>
                        <w:rFonts w:ascii="Cambria Math" w:hAnsi="Cambria Math"/>
                        <w:lang w:val="en-US"/>
                      </w:rPr>
                      <m:t>∇</m:t>
                    </m:r>
                    <m:r>
                      <w:rPr>
                        <w:rFonts w:ascii="Cambria Math" w:hAnsi="Cambria Math"/>
                        <w:lang w:val="en-US"/>
                      </w:rPr>
                      <m:t>T</m:t>
                    </m:r>
                    <m:r>
                      <m:rPr>
                        <m:sty m:val="p"/>
                      </m:rPr>
                      <w:rPr>
                        <w:rFonts w:ascii="Cambria Math" w:hAnsi="Cambria Math"/>
                        <w:lang w:val="en-US"/>
                      </w:rPr>
                      <m:t xml:space="preserve"> </m:t>
                    </m:r>
                  </m:num>
                  <m:den>
                    <m:r>
                      <w:rPr>
                        <w:rFonts w:ascii="Cambria Math" w:hAnsi="Cambria Math"/>
                        <w:lang w:val="en-US"/>
                      </w:rPr>
                      <m:t>T</m:t>
                    </m:r>
                  </m:den>
                </m:f>
              </m:oMath>
            </m:oMathPara>
          </w:p>
        </w:tc>
        <w:tc>
          <w:tcPr>
            <w:tcW w:w="964" w:type="dxa"/>
            <w:vAlign w:val="center"/>
          </w:tcPr>
          <w:p w14:paraId="71A80814" w14:textId="77777777" w:rsidR="006060A3" w:rsidRDefault="006060A3" w:rsidP="0045084A">
            <w:pPr>
              <w:ind w:firstLine="34"/>
              <w:jc w:val="center"/>
              <w:rPr>
                <w:lang w:val="en-US"/>
              </w:rPr>
            </w:pPr>
            <w:r>
              <w:rPr>
                <w:lang w:val="en-US"/>
              </w:rPr>
              <w:t>(7)</w:t>
            </w:r>
          </w:p>
        </w:tc>
      </w:tr>
    </w:tbl>
    <w:p w14:paraId="0F31FFDD" w14:textId="77777777" w:rsidR="006060A3" w:rsidRDefault="006060A3" w:rsidP="006060A3">
      <w:pPr>
        <w:rPr>
          <w:lang w:val="en-US"/>
        </w:rPr>
      </w:pPr>
    </w:p>
    <w:p w14:paraId="0C31792F" w14:textId="11E5E40A" w:rsidR="006060A3" w:rsidRDefault="006060A3" w:rsidP="006060A3">
      <w:pPr>
        <w:rPr>
          <w:lang w:val="en-US"/>
        </w:rPr>
      </w:pPr>
      <w:r w:rsidRPr="004B4F48">
        <w:rPr>
          <w:noProof/>
          <w:lang w:val="en-US"/>
        </w:rPr>
        <w:t>The SOFC is fed by a mixture of gases</w:t>
      </w:r>
      <w:r>
        <w:rPr>
          <w:lang w:val="en-US"/>
        </w:rPr>
        <w:t>, comprising mostly of CH</w:t>
      </w:r>
      <w:r w:rsidRPr="00827C3F">
        <w:rPr>
          <w:vertAlign w:val="subscript"/>
          <w:lang w:val="en-US"/>
        </w:rPr>
        <w:t>4</w:t>
      </w:r>
      <w:r>
        <w:rPr>
          <w:lang w:val="en-US"/>
        </w:rPr>
        <w:t>. Conversely, the off-anode gas leaving the stack is mostly composed of CO</w:t>
      </w:r>
      <w:r w:rsidRPr="00827C3F">
        <w:rPr>
          <w:vertAlign w:val="subscript"/>
          <w:lang w:val="en-US"/>
        </w:rPr>
        <w:t>2</w:t>
      </w:r>
      <w:r>
        <w:rPr>
          <w:lang w:val="en-US"/>
        </w:rPr>
        <w:t xml:space="preserve"> and </w:t>
      </w:r>
      <w:r w:rsidRPr="004B4F48">
        <w:rPr>
          <w:noProof/>
          <w:lang w:val="en-US"/>
        </w:rPr>
        <w:t>H</w:t>
      </w:r>
      <w:r w:rsidRPr="004B4F48">
        <w:rPr>
          <w:noProof/>
          <w:vertAlign w:val="subscript"/>
          <w:lang w:val="en-US"/>
        </w:rPr>
        <w:t>2</w:t>
      </w:r>
      <w:r w:rsidRPr="004B4F48">
        <w:rPr>
          <w:noProof/>
          <w:lang w:val="en-US"/>
        </w:rPr>
        <w:t>O</w:t>
      </w:r>
      <w:r>
        <w:rPr>
          <w:lang w:val="en-US"/>
        </w:rPr>
        <w:t xml:space="preserve"> but has significant shares of CO and H</w:t>
      </w:r>
      <w:r w:rsidRPr="00827C3F">
        <w:rPr>
          <w:vertAlign w:val="subscript"/>
          <w:lang w:val="en-US"/>
        </w:rPr>
        <w:t>2</w:t>
      </w:r>
      <w:r>
        <w:rPr>
          <w:lang w:val="en-US"/>
        </w:rPr>
        <w:t xml:space="preserve">. The main goal for the oxy-combustor is to provide stable combustion conditions for lean off-anode gas leaving the SOFC stack, allowing the recovery of the fuel chemical energy that otherwise would </w:t>
      </w:r>
      <w:r w:rsidRPr="004B4F48">
        <w:rPr>
          <w:noProof/>
          <w:lang w:val="en-US"/>
        </w:rPr>
        <w:t>be wasted</w:t>
      </w:r>
      <w:r>
        <w:rPr>
          <w:lang w:val="en-US"/>
        </w:rPr>
        <w:t xml:space="preserve">. Therefore it is a </w:t>
      </w:r>
      <w:r w:rsidRPr="004B4F48">
        <w:rPr>
          <w:noProof/>
          <w:lang w:val="en-US"/>
        </w:rPr>
        <w:t>key</w:t>
      </w:r>
      <w:r>
        <w:rPr>
          <w:lang w:val="en-US"/>
        </w:rPr>
        <w:t xml:space="preserve"> issue to properly model the combustion process.</w:t>
      </w:r>
    </w:p>
    <w:p w14:paraId="6102C6E1" w14:textId="5E976F62" w:rsidR="006060A3" w:rsidRDefault="006060A3" w:rsidP="006060A3">
      <w:pPr>
        <w:rPr>
          <w:lang w:val="en-US"/>
        </w:rPr>
      </w:pPr>
      <w:r w:rsidRPr="004B4F48">
        <w:rPr>
          <w:noProof/>
          <w:lang w:val="en-US"/>
        </w:rPr>
        <w:t>For</w:t>
      </w:r>
      <w:r>
        <w:rPr>
          <w:lang w:val="en-US"/>
        </w:rPr>
        <w:t xml:space="preserve"> the simulation, the multi-step finite-rate eddy-dissipation combustion model </w:t>
      </w:r>
      <w:r w:rsidRPr="004B4F48">
        <w:rPr>
          <w:noProof/>
          <w:lang w:val="en-US"/>
        </w:rPr>
        <w:t>was selected</w:t>
      </w:r>
      <w:r>
        <w:rPr>
          <w:lang w:val="en-US"/>
        </w:rPr>
        <w:t xml:space="preserve">. Contrary to the single-step reaction model, the choice of this approach can be justified by a few reasons. It was proven </w:t>
      </w:r>
      <w:r w:rsidR="0067025F">
        <w:rPr>
          <w:lang w:val="en-US"/>
        </w:rPr>
        <w:fldChar w:fldCharType="begin" w:fldLock="1"/>
      </w:r>
      <w:r w:rsidR="00844B4D">
        <w:rPr>
          <w:lang w:val="en-US"/>
        </w:rPr>
        <w:instrText>ADDIN CSL_CITATION { "citationItems" : [ { "id" : "ITEM-1", "itemData" : { "DOI" : "10.1080/00102209308907608", "ISSN" : "0010-2202", "abstract" : "Abstract An experimental and numerical investigation of premixed methane combustion within a nonhomogeneous porous ceramic was performed. The burner consisted of two porous ceramic cylinders of equal length and diameter that were stacked together and insulated around the circumference. Four series of experiments were carried out to determine the lean limit using three different pore sizes in the downstream ceramic cylinder (SBR). The pore size in the upstream ceramic cylinder was constant in all four cases. A new definition of the lean limit was introduced to account for the effects of the porous ceramic. The burners were tested over the range of lean limit 0.41 &lt; \u03c6\u2264 0.68 and the numerical simulations were performed over 0.43 &lt; \u03c6 \u2264 1.0. The results demonstrated that porous ceramic burners provide a range of stable burning rates at a constant \u03c6, The maximum flame speed inside the burners was much higher than the premixed, freely burning adiabatic laminar flame (free flame) speed. The lean limits in the por...", "author" : [ { "dropping-particle" : "", "family" : "HSU", "given" : "PEI-FENG", "non-dropping-particle" : "", "parse-names" : false, "suffix" : "" }, { "dropping-particle" : "", "family" : "EVANS", "given" : "WILLIAM D.", "non-dropping-particle" : "", "parse-names" : false, "suffix" : "" }, { "dropping-particle" : "", "family" : "HOWELL", "given" : "JOHN R.", "non-dropping-particle" : "", "parse-names" : false, "suffix" : "" } ], "container-title" : "Combustion Science and Technology", "id" : "ITEM-1", "issue" : "1-4", "issued" : { "date-parts" : [ [ "1993", "4" ] ] }, "page" : "149-172", "publisher" : " Taylor &amp; Francis Group ", "title" : "Experimental and Numerical Study of Premixed Combustion Within Nonhomogeneous Porous Ceramics", "type" : "article-journal", "volume" : "90" }, "uris" : [ "http://www.mendeley.com/documents/?uuid=674530b7-b194-3ef4-ba67-5243ebd9348b" ] }, { "id" : "ITEM-2", "itemData" : { "DOI" : "10.1002/(SICI)1099-1018(199809/10)22:5&lt;187::AID-FAM652&gt;3.0.CO;2-T", "ISSN" : "0308-0501", "author" : [ { "dropping-particle" : "", "family" : "Zhou", "given" : "X. Y.", "non-dropping-particle" : "", "parse-names" : false, "suffix" : "" }, { "dropping-particle" : "", "family" : "Pereira", "given" : "J. C. F.", "non-dropping-particle" : "", "parse-names" : false, "suffix" : "" } ], "container-title" : "Fire and Materials", "id" : "ITEM-2", "issue" : "5", "issued" : { "date-parts" : [ [ "1998", "9" ] ] }, "page" : "187-197", "publisher" : "John Wiley &amp; Sons, Ltd.", "title" : "Comparison of four combustion models for simulating the premixed combustion in inert porous media", "type" : "article-journal", "volume" : "22" }, "uris" : [ "http://www.mendeley.com/documents/?uuid=d34987cc-c207-3882-9a80-ff33c78e2fdc" ] } ], "mendeley" : { "formattedCitation" : "[26,27]", "plainTextFormattedCitation" : "[26,27]", "previouslyFormattedCitation" : "[26,27]" }, "properties" : { "noteIndex" : 0 }, "schema" : "https://github.com/citation-style-language/schema/raw/master/csl-citation.json" }</w:instrText>
      </w:r>
      <w:r w:rsidR="0067025F">
        <w:rPr>
          <w:lang w:val="en-US"/>
        </w:rPr>
        <w:fldChar w:fldCharType="separate"/>
      </w:r>
      <w:r w:rsidR="009829B8" w:rsidRPr="009829B8">
        <w:rPr>
          <w:noProof/>
          <w:lang w:val="en-US"/>
        </w:rPr>
        <w:t>[26,27]</w:t>
      </w:r>
      <w:r w:rsidR="0067025F">
        <w:rPr>
          <w:lang w:val="en-US"/>
        </w:rPr>
        <w:fldChar w:fldCharType="end"/>
      </w:r>
      <w:r>
        <w:rPr>
          <w:lang w:val="en-US"/>
        </w:rPr>
        <w:t xml:space="preserve">, that the single-step reaction models yield better predictions of the </w:t>
      </w:r>
      <w:r w:rsidRPr="004B4F48">
        <w:rPr>
          <w:noProof/>
          <w:lang w:val="en-US"/>
        </w:rPr>
        <w:t>burning</w:t>
      </w:r>
      <w:r>
        <w:rPr>
          <w:lang w:val="en-US"/>
        </w:rPr>
        <w:t xml:space="preserve"> speed compared to more detailed ones, especially for fuel-lean conditions. However, the results </w:t>
      </w:r>
      <w:r w:rsidRPr="004B4F48">
        <w:rPr>
          <w:noProof/>
          <w:lang w:val="en-US"/>
        </w:rPr>
        <w:t>were obtained</w:t>
      </w:r>
      <w:r>
        <w:rPr>
          <w:lang w:val="en-US"/>
        </w:rPr>
        <w:t xml:space="preserve"> by over-prediction of the energy release in some areas of a combustion zone, due to lack of pathways for incomplete combustion. In the case of oxy-combustor, proper estimation of the temperature field is crucial, because peaks in the </w:t>
      </w:r>
      <w:r>
        <w:rPr>
          <w:lang w:val="en-US"/>
        </w:rPr>
        <w:lastRenderedPageBreak/>
        <w:t xml:space="preserve">temperature influence the type of material that should </w:t>
      </w:r>
      <w:r w:rsidRPr="004B4F48">
        <w:rPr>
          <w:noProof/>
          <w:lang w:val="en-US"/>
        </w:rPr>
        <w:t>be used</w:t>
      </w:r>
      <w:r>
        <w:rPr>
          <w:lang w:val="en-US"/>
        </w:rPr>
        <w:t>, as well as the overall design concept and eventually the cost of the device.</w:t>
      </w:r>
    </w:p>
    <w:p w14:paraId="42949887" w14:textId="6AA8D893" w:rsidR="006060A3" w:rsidRDefault="006060A3" w:rsidP="006060A3">
      <w:pPr>
        <w:rPr>
          <w:lang w:val="en-US"/>
        </w:rPr>
      </w:pPr>
      <w:r w:rsidRPr="004B4F48">
        <w:rPr>
          <w:noProof/>
          <w:lang w:val="en-US"/>
        </w:rPr>
        <w:t>The detailed optimized combustion mechanism for mixtures of H</w:t>
      </w:r>
      <w:r w:rsidRPr="004B4F48">
        <w:rPr>
          <w:noProof/>
          <w:vertAlign w:val="subscript"/>
          <w:lang w:val="en-US"/>
        </w:rPr>
        <w:t>2</w:t>
      </w:r>
      <w:r w:rsidRPr="004B4F48">
        <w:rPr>
          <w:noProof/>
          <w:lang w:val="en-US"/>
        </w:rPr>
        <w:t xml:space="preserve">/CO was proposed by Davis </w:t>
      </w:r>
      <w:r w:rsidRPr="004B4F48">
        <w:rPr>
          <w:i/>
          <w:noProof/>
          <w:lang w:val="en-US"/>
        </w:rPr>
        <w:t>et al</w:t>
      </w:r>
      <w:r w:rsidRPr="00A4783E">
        <w:rPr>
          <w:i/>
          <w:lang w:val="en-US"/>
        </w:rPr>
        <w:t>.</w:t>
      </w:r>
      <w:r>
        <w:rPr>
          <w:lang w:val="en-US"/>
        </w:rPr>
        <w:t xml:space="preserve">, </w:t>
      </w:r>
      <w:r w:rsidR="0067025F">
        <w:rPr>
          <w:lang w:val="en-US"/>
        </w:rPr>
        <w:fldChar w:fldCharType="begin" w:fldLock="1"/>
      </w:r>
      <w:r w:rsidR="00844B4D">
        <w:rPr>
          <w:lang w:val="en-US"/>
        </w:rPr>
        <w:instrText>ADDIN CSL_CITATION { "citationItems" : [ { "id" : "ITEM-1", "itemData" : { "DOI" : "10.1016/j.proci.2004.08.252", "abstract" : "We propose a H 2 \u2013CO kinetic model which incorporates the recent thermodynamic, kinetic, and species transport updates relevant to high-temperature H 2 and CO oxidation. Attention has been placed on obtaining a comprehensive and kinetically accurate model able to predict a wide variety of H 2 \u2013CO com-bustion data. The model was subject to systematic optimization and validation tests against reliable H 2 \u2013 CO combustion data, from global combustion properties (shock-tube ignition delays, laminar flame speeds, and extinction strain rates) to detailed species profiles during H 2 and CO oxidation in flow reactor and in laminar premixed flames.", "author" : [ { "dropping-particle" : "", "family" : "Davis", "given" : "Scott G", "non-dropping-particle" : "", "parse-names" : false, "suffix" : "" }, { "dropping-particle" : "V", "family" : "Joshi", "given" : "Ameya", "non-dropping-particle" : "", "parse-names" : false, "suffix" : "" }, { "dropping-particle" : "", "family" : "Wang", "given" : "Hai", "non-dropping-particle" : "", "parse-names" : false, "suffix" : "" }, { "dropping-particle" : "", "family" : "Egolfopoulos", "given" : "Fokion", "non-dropping-particle" : "", "parse-names" : false, "suffix" : "" } ], "container-title" : "Proceedings of the Combustion Institute", "id" : "ITEM-1", "issued" : { "date-parts" : [ [ "2005" ] ] }, "page" : "1283-1292", "title" : "An optimized kinetic model of H2/CO combustion", "type" : "article-journal", "volume" : "30" }, "uris" : [ "http://www.mendeley.com/documents/?uuid=adf1e405-e67f-3183-a69f-d368ff2d290f" ] } ], "mendeley" : { "formattedCitation" : "[28]", "plainTextFormattedCitation" : "[28]", "previouslyFormattedCitation" : "[28]" }, "properties" : { "noteIndex" : 0 }, "schema" : "https://github.com/citation-style-language/schema/raw/master/csl-citation.json" }</w:instrText>
      </w:r>
      <w:r w:rsidR="0067025F">
        <w:rPr>
          <w:lang w:val="en-US"/>
        </w:rPr>
        <w:fldChar w:fldCharType="separate"/>
      </w:r>
      <w:r w:rsidR="009829B8" w:rsidRPr="009829B8">
        <w:rPr>
          <w:noProof/>
          <w:lang w:val="en-US"/>
        </w:rPr>
        <w:t>[28]</w:t>
      </w:r>
      <w:r w:rsidR="0067025F">
        <w:rPr>
          <w:lang w:val="en-US"/>
        </w:rPr>
        <w:fldChar w:fldCharType="end"/>
      </w:r>
      <w:r w:rsidR="0067025F">
        <w:rPr>
          <w:lang w:val="en-US"/>
        </w:rPr>
        <w:t xml:space="preserve"> </w:t>
      </w:r>
      <w:r>
        <w:rPr>
          <w:lang w:val="en-US"/>
        </w:rPr>
        <w:t xml:space="preserve">and was proven to give good predictions for a </w:t>
      </w:r>
      <w:r w:rsidRPr="004B4F48">
        <w:rPr>
          <w:noProof/>
          <w:lang w:val="en-US"/>
        </w:rPr>
        <w:t>wide</w:t>
      </w:r>
      <w:r>
        <w:rPr>
          <w:lang w:val="en-US"/>
        </w:rPr>
        <w:t xml:space="preserve"> range of inlet conditions. The un-optimized version of the mechanism involves 14 species and 30 reactions, therefore, even after its optimization, it would give prohibitively long computing times when applied to our model. In their work</w:t>
      </w:r>
      <w:r w:rsidR="0067025F">
        <w:rPr>
          <w:lang w:val="en-US"/>
        </w:rPr>
        <w:t xml:space="preserve"> </w:t>
      </w:r>
      <w:r w:rsidR="0067025F">
        <w:rPr>
          <w:lang w:val="en-US"/>
        </w:rPr>
        <w:fldChar w:fldCharType="begin" w:fldLock="1"/>
      </w:r>
      <w:r w:rsidR="00844B4D">
        <w:rPr>
          <w:lang w:val="en-US"/>
        </w:rPr>
        <w:instrText>ADDIN CSL_CITATION { "citationItems" : [ { "id" : "ITEM-1", "itemData" : { "DOI" : "10.1016/j.ijhydene.2008.04.019", "ISSN" : "03603199", "author" : [ { "dropping-particle" : "", "family" : "MENDES", "given" : "M", "non-dropping-particle" : "", "parse-names" : false, "suffix" : "" }, { "dropping-particle" : "", "family" : "PEREIRA", "given" : "J", "non-dropping-particle" : "", "parse-names" : false, "suffix" : "" }, { "dropping-particle" : "", "family" : "PEREIRA", "given" : "J", "non-dropping-particle" : "", "parse-names" : false, "suffix" : "" } ], "container-title" : "International Journal of Hydrogen Energy", "id" : "ITEM-1", "issue" : "13", "issued" : { "date-parts" : [ [ "2008", "7" ] ] }, "page" : "3416-3425", "title" : "On the stability of ultra-lean H2/CO combustion in inert porous burners\u2606", "type" : "article-journal", "volume" : "33" }, "uris" : [ "http://www.mendeley.com/documents/?uuid=ca236fea-a923-3617-b2cb-f56778031883" ] } ], "mendeley" : { "formattedCitation" : "[29]", "plainTextFormattedCitation" : "[29]", "previouslyFormattedCitation" : "[29]" }, "properties" : { "noteIndex" : 0 }, "schema" : "https://github.com/citation-style-language/schema/raw/master/csl-citation.json" }</w:instrText>
      </w:r>
      <w:r w:rsidR="0067025F">
        <w:rPr>
          <w:lang w:val="en-US"/>
        </w:rPr>
        <w:fldChar w:fldCharType="separate"/>
      </w:r>
      <w:r w:rsidR="009829B8" w:rsidRPr="009829B8">
        <w:rPr>
          <w:noProof/>
          <w:lang w:val="en-US"/>
        </w:rPr>
        <w:t>[29]</w:t>
      </w:r>
      <w:r w:rsidR="0067025F">
        <w:rPr>
          <w:lang w:val="en-US"/>
        </w:rPr>
        <w:fldChar w:fldCharType="end"/>
      </w:r>
      <w:r w:rsidR="0045084A">
        <w:rPr>
          <w:lang w:val="en-US"/>
        </w:rPr>
        <w:t>,</w:t>
      </w:r>
      <w:r>
        <w:rPr>
          <w:lang w:val="en-US"/>
        </w:rPr>
        <w:t xml:space="preserve"> the authors selected and used global two-step reaction mechanism. Their approach </w:t>
      </w:r>
      <w:r w:rsidRPr="004B4F48">
        <w:rPr>
          <w:noProof/>
          <w:lang w:val="en-US"/>
        </w:rPr>
        <w:t>was utilized</w:t>
      </w:r>
      <w:r>
        <w:rPr>
          <w:lang w:val="en-US"/>
        </w:rPr>
        <w:t xml:space="preserve"> in the current model. It comprises of two global </w:t>
      </w:r>
      <w:r w:rsidRPr="004B4F48">
        <w:rPr>
          <w:noProof/>
          <w:lang w:val="en-US"/>
        </w:rPr>
        <w:t>reactions</w:t>
      </w:r>
      <w:r>
        <w:rPr>
          <w:lang w:val="en-US"/>
        </w:rPr>
        <w:t>:</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7"/>
        <w:gridCol w:w="907"/>
      </w:tblGrid>
      <w:tr w:rsidR="006060A3" w14:paraId="07FFAD04" w14:textId="77777777" w:rsidTr="0045084A">
        <w:trPr>
          <w:trHeight w:val="680"/>
          <w:jc w:val="center"/>
        </w:trPr>
        <w:tc>
          <w:tcPr>
            <w:tcW w:w="7937" w:type="dxa"/>
            <w:vAlign w:val="center"/>
          </w:tcPr>
          <w:p w14:paraId="59AC575F" w14:textId="77777777" w:rsidR="006060A3" w:rsidRDefault="006A17F1" w:rsidP="0045084A">
            <w:pPr>
              <w:jc w:val="center"/>
              <w:rPr>
                <w:lang w:val="en-US"/>
              </w:rPr>
            </w:pPr>
            <m:oMathPara>
              <m:oMath>
                <m:sSub>
                  <m:sSubPr>
                    <m:ctrlPr>
                      <w:rPr>
                        <w:rFonts w:ascii="Cambria Math" w:hAnsi="Cambria Math"/>
                        <w:i/>
                        <w:lang w:val="en-US"/>
                      </w:rPr>
                    </m:ctrlPr>
                  </m:sSubPr>
                  <m:e>
                    <m:r>
                      <w:rPr>
                        <w:rFonts w:ascii="Cambria Math" w:hAnsi="Cambria Math"/>
                        <w:lang w:val="en-US"/>
                      </w:rPr>
                      <m:t>H</m:t>
                    </m:r>
                  </m:e>
                  <m:sub>
                    <m:r>
                      <w:rPr>
                        <w:rFonts w:ascii="Cambria Math" w:hAnsi="Cambria Math"/>
                        <w:lang w:val="en-US"/>
                      </w:rPr>
                      <m:t>2</m:t>
                    </m:r>
                  </m:sub>
                </m:sSub>
                <m:r>
                  <w:rPr>
                    <w:rFonts w:ascii="Cambria Math" w:hAnsi="Cambria Math"/>
                    <w:lang w:val="en-US"/>
                  </w:rPr>
                  <m:t xml:space="preserve">+ </m:t>
                </m:r>
                <m:f>
                  <m:fPr>
                    <m:ctrlPr>
                      <w:rPr>
                        <w:rFonts w:ascii="Cambria Math" w:hAnsi="Cambria Math"/>
                        <w:i/>
                        <w:lang w:val="en-US"/>
                      </w:rPr>
                    </m:ctrlPr>
                  </m:fPr>
                  <m:num>
                    <m:r>
                      <w:rPr>
                        <w:rFonts w:ascii="Cambria Math" w:hAnsi="Cambria Math"/>
                        <w:lang w:val="en-US"/>
                      </w:rPr>
                      <m:t>1</m:t>
                    </m:r>
                  </m:num>
                  <m:den>
                    <m:r>
                      <w:rPr>
                        <w:rFonts w:ascii="Cambria Math" w:hAnsi="Cambria Math"/>
                        <w:lang w:val="en-US"/>
                      </w:rPr>
                      <m:t>2</m:t>
                    </m:r>
                  </m:den>
                </m:f>
                <m:sSub>
                  <m:sSubPr>
                    <m:ctrlPr>
                      <w:rPr>
                        <w:rFonts w:ascii="Cambria Math" w:hAnsi="Cambria Math"/>
                        <w:i/>
                        <w:lang w:val="en-US"/>
                      </w:rPr>
                    </m:ctrlPr>
                  </m:sSubPr>
                  <m:e>
                    <m:r>
                      <w:rPr>
                        <w:rFonts w:ascii="Cambria Math" w:hAnsi="Cambria Math"/>
                        <w:lang w:val="en-US"/>
                      </w:rPr>
                      <m:t>O</m:t>
                    </m:r>
                  </m:e>
                  <m:sub>
                    <m:r>
                      <w:rPr>
                        <w:rFonts w:ascii="Cambria Math" w:hAnsi="Cambria Math"/>
                        <w:lang w:val="en-US"/>
                      </w:rPr>
                      <m:t>2</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H</m:t>
                    </m:r>
                  </m:e>
                  <m:sub>
                    <m:r>
                      <w:rPr>
                        <w:rFonts w:ascii="Cambria Math" w:hAnsi="Cambria Math"/>
                        <w:lang w:val="en-US"/>
                      </w:rPr>
                      <m:t>2</m:t>
                    </m:r>
                  </m:sub>
                </m:sSub>
                <m:r>
                  <w:rPr>
                    <w:rFonts w:ascii="Cambria Math" w:hAnsi="Cambria Math"/>
                    <w:lang w:val="en-US"/>
                  </w:rPr>
                  <m:t>O</m:t>
                </m:r>
              </m:oMath>
            </m:oMathPara>
          </w:p>
        </w:tc>
        <w:tc>
          <w:tcPr>
            <w:tcW w:w="907" w:type="dxa"/>
            <w:vAlign w:val="center"/>
          </w:tcPr>
          <w:p w14:paraId="43A0B9AB" w14:textId="77777777" w:rsidR="006060A3" w:rsidRDefault="006060A3" w:rsidP="0045084A">
            <w:pPr>
              <w:ind w:firstLine="34"/>
              <w:jc w:val="center"/>
              <w:rPr>
                <w:lang w:val="en-US"/>
              </w:rPr>
            </w:pPr>
            <w:r>
              <w:rPr>
                <w:lang w:val="en-US"/>
              </w:rPr>
              <w:t>(8)</w:t>
            </w:r>
          </w:p>
        </w:tc>
      </w:tr>
      <w:tr w:rsidR="006060A3" w14:paraId="25DDB136" w14:textId="77777777" w:rsidTr="0045084A">
        <w:trPr>
          <w:trHeight w:val="680"/>
          <w:jc w:val="center"/>
        </w:trPr>
        <w:tc>
          <w:tcPr>
            <w:tcW w:w="7937" w:type="dxa"/>
            <w:vAlign w:val="center"/>
          </w:tcPr>
          <w:p w14:paraId="769D2866" w14:textId="77777777" w:rsidR="006060A3" w:rsidRDefault="006060A3" w:rsidP="0045084A">
            <w:pPr>
              <w:jc w:val="center"/>
              <w:rPr>
                <w:lang w:val="en-US"/>
              </w:rPr>
            </w:pPr>
            <m:oMathPara>
              <m:oMath>
                <m:r>
                  <w:rPr>
                    <w:rFonts w:ascii="Cambria Math" w:hAnsi="Cambria Math"/>
                    <w:lang w:val="en-US"/>
                  </w:rPr>
                  <m:t xml:space="preserve">CO+ </m:t>
                </m:r>
                <m:f>
                  <m:fPr>
                    <m:ctrlPr>
                      <w:rPr>
                        <w:rFonts w:ascii="Cambria Math" w:hAnsi="Cambria Math"/>
                        <w:i/>
                        <w:lang w:val="en-US"/>
                      </w:rPr>
                    </m:ctrlPr>
                  </m:fPr>
                  <m:num>
                    <m:r>
                      <w:rPr>
                        <w:rFonts w:ascii="Cambria Math" w:hAnsi="Cambria Math"/>
                        <w:lang w:val="en-US"/>
                      </w:rPr>
                      <m:t>1</m:t>
                    </m:r>
                  </m:num>
                  <m:den>
                    <m:r>
                      <w:rPr>
                        <w:rFonts w:ascii="Cambria Math" w:hAnsi="Cambria Math"/>
                        <w:lang w:val="en-US"/>
                      </w:rPr>
                      <m:t>2</m:t>
                    </m:r>
                  </m:den>
                </m:f>
                <m:sSub>
                  <m:sSubPr>
                    <m:ctrlPr>
                      <w:rPr>
                        <w:rFonts w:ascii="Cambria Math" w:hAnsi="Cambria Math"/>
                        <w:i/>
                        <w:lang w:val="en-US"/>
                      </w:rPr>
                    </m:ctrlPr>
                  </m:sSubPr>
                  <m:e>
                    <m:r>
                      <w:rPr>
                        <w:rFonts w:ascii="Cambria Math" w:hAnsi="Cambria Math"/>
                        <w:lang w:val="en-US"/>
                      </w:rPr>
                      <m:t>O</m:t>
                    </m:r>
                  </m:e>
                  <m:sub>
                    <m:r>
                      <w:rPr>
                        <w:rFonts w:ascii="Cambria Math" w:hAnsi="Cambria Math"/>
                        <w:lang w:val="en-US"/>
                      </w:rPr>
                      <m:t>2</m:t>
                    </m:r>
                  </m:sub>
                </m:sSub>
                <m:r>
                  <w:rPr>
                    <w:rFonts w:ascii="Cambria Math" w:hAnsi="Cambria Math"/>
                    <w:lang w:val="en-US"/>
                  </w:rPr>
                  <m:t>→C</m:t>
                </m:r>
                <m:sSub>
                  <m:sSubPr>
                    <m:ctrlPr>
                      <w:rPr>
                        <w:rFonts w:ascii="Cambria Math" w:hAnsi="Cambria Math"/>
                        <w:i/>
                        <w:lang w:val="en-US"/>
                      </w:rPr>
                    </m:ctrlPr>
                  </m:sSubPr>
                  <m:e>
                    <m:r>
                      <w:rPr>
                        <w:rFonts w:ascii="Cambria Math" w:hAnsi="Cambria Math"/>
                        <w:lang w:val="en-US"/>
                      </w:rPr>
                      <m:t>O</m:t>
                    </m:r>
                  </m:e>
                  <m:sub>
                    <m:r>
                      <w:rPr>
                        <w:rFonts w:ascii="Cambria Math" w:hAnsi="Cambria Math"/>
                        <w:lang w:val="en-US"/>
                      </w:rPr>
                      <m:t>2</m:t>
                    </m:r>
                  </m:sub>
                </m:sSub>
              </m:oMath>
            </m:oMathPara>
          </w:p>
        </w:tc>
        <w:tc>
          <w:tcPr>
            <w:tcW w:w="907" w:type="dxa"/>
            <w:vAlign w:val="center"/>
          </w:tcPr>
          <w:p w14:paraId="0623C8DE" w14:textId="77777777" w:rsidR="006060A3" w:rsidRDefault="006060A3" w:rsidP="0045084A">
            <w:pPr>
              <w:ind w:firstLine="34"/>
              <w:jc w:val="center"/>
              <w:rPr>
                <w:lang w:val="en-US"/>
              </w:rPr>
            </w:pPr>
            <w:r>
              <w:rPr>
                <w:lang w:val="en-US"/>
              </w:rPr>
              <w:t>(9)</w:t>
            </w:r>
          </w:p>
        </w:tc>
      </w:tr>
    </w:tbl>
    <w:p w14:paraId="44E41FD0" w14:textId="77777777" w:rsidR="006060A3" w:rsidRDefault="006060A3" w:rsidP="006060A3">
      <w:pPr>
        <w:spacing w:before="120" w:after="120"/>
        <w:rPr>
          <w:lang w:val="en-US"/>
        </w:rPr>
      </w:pPr>
      <w:r>
        <w:rPr>
          <w:lang w:val="en-US"/>
        </w:rPr>
        <w:t xml:space="preserve">with the </w:t>
      </w:r>
      <w:r w:rsidRPr="00680ECD">
        <w:rPr>
          <w:noProof/>
          <w:lang w:val="en-US"/>
        </w:rPr>
        <w:t>respective</w:t>
      </w:r>
      <w:r>
        <w:rPr>
          <w:lang w:val="en-US"/>
        </w:rPr>
        <w:t xml:space="preserve"> reaction rate given in the Arrhenius form of:</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7"/>
        <w:gridCol w:w="907"/>
      </w:tblGrid>
      <w:tr w:rsidR="006060A3" w14:paraId="30F0B8F4" w14:textId="77777777" w:rsidTr="0045084A">
        <w:trPr>
          <w:trHeight w:val="510"/>
          <w:jc w:val="center"/>
        </w:trPr>
        <w:tc>
          <w:tcPr>
            <w:tcW w:w="7937" w:type="dxa"/>
            <w:vAlign w:val="center"/>
          </w:tcPr>
          <w:p w14:paraId="7EA53511" w14:textId="77777777" w:rsidR="006060A3" w:rsidRDefault="006A17F1" w:rsidP="0045084A">
            <w:pPr>
              <w:jc w:val="center"/>
              <w:rPr>
                <w:lang w:val="en-US"/>
              </w:rPr>
            </w:pPr>
            <m:oMathPara>
              <m:oMath>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1</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1</m:t>
                    </m:r>
                  </m:sub>
                </m:sSub>
                <m:sSup>
                  <m:sSupPr>
                    <m:ctrlPr>
                      <w:rPr>
                        <w:rFonts w:ascii="Cambria Math" w:hAnsi="Cambria Math"/>
                        <w:i/>
                        <w:lang w:val="en-US"/>
                      </w:rPr>
                    </m:ctrlPr>
                  </m:sSupPr>
                  <m:e>
                    <m:r>
                      <w:rPr>
                        <w:rFonts w:ascii="Cambria Math" w:hAnsi="Cambria Math"/>
                        <w:lang w:val="en-US"/>
                      </w:rPr>
                      <m:t>e</m:t>
                    </m:r>
                  </m:e>
                  <m:sup>
                    <m:f>
                      <m:fPr>
                        <m:type m:val="lin"/>
                        <m:ctrlPr>
                          <w:rPr>
                            <w:rFonts w:ascii="Cambria Math" w:hAnsi="Cambria Math"/>
                            <w:i/>
                            <w:lang w:val="en-US"/>
                          </w:rPr>
                        </m:ctrlPr>
                      </m:fPr>
                      <m:num>
                        <m:r>
                          <w:rPr>
                            <w:rFonts w:ascii="Cambria Math" w:hAnsi="Cambria Math"/>
                            <w:lang w:val="en-US"/>
                          </w:rPr>
                          <m:t>-</m:t>
                        </m:r>
                        <m:sSub>
                          <m:sSubPr>
                            <m:ctrlPr>
                              <w:rPr>
                                <w:rFonts w:ascii="Cambria Math" w:hAnsi="Cambria Math"/>
                                <w:i/>
                                <w:lang w:val="en-US"/>
                              </w:rPr>
                            </m:ctrlPr>
                          </m:sSubPr>
                          <m:e>
                            <m:r>
                              <w:rPr>
                                <w:rFonts w:ascii="Cambria Math" w:hAnsi="Cambria Math"/>
                                <w:lang w:val="en-US"/>
                              </w:rPr>
                              <m:t>E</m:t>
                            </m:r>
                          </m:e>
                          <m:sub>
                            <m:r>
                              <w:rPr>
                                <w:rFonts w:ascii="Cambria Math" w:hAnsi="Cambria Math"/>
                                <w:lang w:val="en-US"/>
                              </w:rPr>
                              <m:t>1</m:t>
                            </m:r>
                          </m:sub>
                        </m:sSub>
                      </m:num>
                      <m:den>
                        <m:r>
                          <w:rPr>
                            <w:rFonts w:ascii="Cambria Math" w:hAnsi="Cambria Math"/>
                            <w:lang w:val="en-US"/>
                          </w:rPr>
                          <m:t>RT</m:t>
                        </m:r>
                      </m:den>
                    </m:f>
                  </m:sup>
                </m:sSup>
                <m:d>
                  <m:dPr>
                    <m:begChr m:val="["/>
                    <m:endChr m:val="]"/>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H</m:t>
                        </m:r>
                      </m:e>
                      <m:sub>
                        <m:r>
                          <w:rPr>
                            <w:rFonts w:ascii="Cambria Math" w:hAnsi="Cambria Math"/>
                            <w:lang w:val="en-US"/>
                          </w:rPr>
                          <m:t>2</m:t>
                        </m:r>
                      </m:sub>
                    </m:sSub>
                  </m:e>
                </m:d>
                <m:sSup>
                  <m:sSupPr>
                    <m:ctrlPr>
                      <w:rPr>
                        <w:rFonts w:ascii="Cambria Math" w:hAnsi="Cambria Math"/>
                        <w:i/>
                        <w:lang w:val="en-US"/>
                      </w:rPr>
                    </m:ctrlPr>
                  </m:sSupPr>
                  <m:e>
                    <m:r>
                      <w:rPr>
                        <w:rFonts w:ascii="Cambria Math" w:hAnsi="Cambria Math"/>
                        <w:lang w:val="en-US"/>
                      </w:rPr>
                      <m:t>[</m:t>
                    </m:r>
                    <m:sSub>
                      <m:sSubPr>
                        <m:ctrlPr>
                          <w:rPr>
                            <w:rFonts w:ascii="Cambria Math" w:hAnsi="Cambria Math"/>
                            <w:i/>
                            <w:lang w:val="en-US"/>
                          </w:rPr>
                        </m:ctrlPr>
                      </m:sSubPr>
                      <m:e>
                        <m:r>
                          <w:rPr>
                            <w:rFonts w:ascii="Cambria Math" w:hAnsi="Cambria Math"/>
                            <w:lang w:val="en-US"/>
                          </w:rPr>
                          <m:t>O</m:t>
                        </m:r>
                      </m:e>
                      <m:sub>
                        <m:r>
                          <w:rPr>
                            <w:rFonts w:ascii="Cambria Math" w:hAnsi="Cambria Math"/>
                            <w:lang w:val="en-US"/>
                          </w:rPr>
                          <m:t>2</m:t>
                        </m:r>
                      </m:sub>
                    </m:sSub>
                    <m:r>
                      <w:rPr>
                        <w:rFonts w:ascii="Cambria Math" w:hAnsi="Cambria Math"/>
                        <w:lang w:val="en-US"/>
                      </w:rPr>
                      <m:t>]</m:t>
                    </m:r>
                  </m:e>
                  <m:sup>
                    <m:r>
                      <w:rPr>
                        <w:rFonts w:ascii="Cambria Math" w:hAnsi="Cambria Math"/>
                        <w:lang w:val="en-US"/>
                      </w:rPr>
                      <m:t>a</m:t>
                    </m:r>
                  </m:sup>
                </m:sSup>
              </m:oMath>
            </m:oMathPara>
          </w:p>
        </w:tc>
        <w:tc>
          <w:tcPr>
            <w:tcW w:w="907" w:type="dxa"/>
            <w:vAlign w:val="center"/>
          </w:tcPr>
          <w:p w14:paraId="22F1CA75" w14:textId="77777777" w:rsidR="006060A3" w:rsidRDefault="006060A3" w:rsidP="0045084A">
            <w:pPr>
              <w:ind w:firstLine="34"/>
              <w:jc w:val="center"/>
              <w:rPr>
                <w:lang w:val="en-US"/>
              </w:rPr>
            </w:pPr>
            <w:r>
              <w:rPr>
                <w:lang w:val="en-US"/>
              </w:rPr>
              <w:t>(10)</w:t>
            </w:r>
          </w:p>
        </w:tc>
      </w:tr>
      <w:tr w:rsidR="006060A3" w14:paraId="637E327F" w14:textId="77777777" w:rsidTr="0045084A">
        <w:trPr>
          <w:trHeight w:val="510"/>
          <w:jc w:val="center"/>
        </w:trPr>
        <w:tc>
          <w:tcPr>
            <w:tcW w:w="7937" w:type="dxa"/>
            <w:vAlign w:val="center"/>
          </w:tcPr>
          <w:p w14:paraId="1DF4494D" w14:textId="77777777" w:rsidR="006060A3" w:rsidRDefault="006A17F1" w:rsidP="0045084A">
            <w:pPr>
              <w:jc w:val="center"/>
              <w:rPr>
                <w:lang w:val="en-US"/>
              </w:rPr>
            </w:pPr>
            <m:oMathPara>
              <m:oMath>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2</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2</m:t>
                    </m:r>
                  </m:sub>
                </m:sSub>
                <m:sSup>
                  <m:sSupPr>
                    <m:ctrlPr>
                      <w:rPr>
                        <w:rFonts w:ascii="Cambria Math" w:hAnsi="Cambria Math"/>
                        <w:i/>
                        <w:lang w:val="en-US"/>
                      </w:rPr>
                    </m:ctrlPr>
                  </m:sSupPr>
                  <m:e>
                    <m:r>
                      <w:rPr>
                        <w:rFonts w:ascii="Cambria Math" w:hAnsi="Cambria Math"/>
                        <w:lang w:val="en-US"/>
                      </w:rPr>
                      <m:t>e</m:t>
                    </m:r>
                  </m:e>
                  <m:sup>
                    <m:f>
                      <m:fPr>
                        <m:type m:val="lin"/>
                        <m:ctrlPr>
                          <w:rPr>
                            <w:rFonts w:ascii="Cambria Math" w:hAnsi="Cambria Math"/>
                            <w:i/>
                            <w:lang w:val="en-US"/>
                          </w:rPr>
                        </m:ctrlPr>
                      </m:fPr>
                      <m:num>
                        <m:r>
                          <w:rPr>
                            <w:rFonts w:ascii="Cambria Math" w:hAnsi="Cambria Math"/>
                            <w:lang w:val="en-US"/>
                          </w:rPr>
                          <m:t>-</m:t>
                        </m:r>
                        <m:sSub>
                          <m:sSubPr>
                            <m:ctrlPr>
                              <w:rPr>
                                <w:rFonts w:ascii="Cambria Math" w:hAnsi="Cambria Math"/>
                                <w:i/>
                                <w:lang w:val="en-US"/>
                              </w:rPr>
                            </m:ctrlPr>
                          </m:sSubPr>
                          <m:e>
                            <m:r>
                              <w:rPr>
                                <w:rFonts w:ascii="Cambria Math" w:hAnsi="Cambria Math"/>
                                <w:lang w:val="en-US"/>
                              </w:rPr>
                              <m:t>E</m:t>
                            </m:r>
                          </m:e>
                          <m:sub>
                            <m:r>
                              <w:rPr>
                                <w:rFonts w:ascii="Cambria Math" w:hAnsi="Cambria Math"/>
                                <w:lang w:val="en-US"/>
                              </w:rPr>
                              <m:t>2</m:t>
                            </m:r>
                          </m:sub>
                        </m:sSub>
                      </m:num>
                      <m:den>
                        <m:r>
                          <w:rPr>
                            <w:rFonts w:ascii="Cambria Math" w:hAnsi="Cambria Math"/>
                            <w:lang w:val="en-US"/>
                          </w:rPr>
                          <m:t>RT</m:t>
                        </m:r>
                      </m:den>
                    </m:f>
                  </m:sup>
                </m:sSup>
                <m:r>
                  <w:rPr>
                    <w:rFonts w:ascii="Cambria Math" w:hAnsi="Cambria Math"/>
                    <w:lang w:val="en-US"/>
                  </w:rPr>
                  <m:t>[CO]</m:t>
                </m:r>
                <m:sSup>
                  <m:sSupPr>
                    <m:ctrlPr>
                      <w:rPr>
                        <w:rFonts w:ascii="Cambria Math" w:hAnsi="Cambria Math"/>
                        <w:i/>
                        <w:lang w:val="en-US"/>
                      </w:rPr>
                    </m:ctrlPr>
                  </m:sSupPr>
                  <m:e>
                    <m:d>
                      <m:dPr>
                        <m:begChr m:val="["/>
                        <m:endChr m:val="]"/>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H</m:t>
                            </m:r>
                          </m:e>
                          <m:sub>
                            <m:r>
                              <w:rPr>
                                <w:rFonts w:ascii="Cambria Math" w:hAnsi="Cambria Math"/>
                                <w:lang w:val="en-US"/>
                              </w:rPr>
                              <m:t>2</m:t>
                            </m:r>
                          </m:sub>
                        </m:sSub>
                        <m:r>
                          <w:rPr>
                            <w:rFonts w:ascii="Cambria Math" w:hAnsi="Cambria Math"/>
                            <w:lang w:val="en-US"/>
                          </w:rPr>
                          <m:t>O</m:t>
                        </m:r>
                      </m:e>
                    </m:d>
                  </m:e>
                  <m:sup>
                    <m:r>
                      <w:rPr>
                        <w:rFonts w:ascii="Cambria Math" w:hAnsi="Cambria Math"/>
                        <w:lang w:val="en-US"/>
                      </w:rPr>
                      <m:t>b</m:t>
                    </m:r>
                  </m:sup>
                </m:sSup>
                <m:sSup>
                  <m:sSupPr>
                    <m:ctrlPr>
                      <w:rPr>
                        <w:rFonts w:ascii="Cambria Math" w:hAnsi="Cambria Math"/>
                        <w:i/>
                        <w:lang w:val="en-US"/>
                      </w:rPr>
                    </m:ctrlPr>
                  </m:sSupPr>
                  <m:e>
                    <m:r>
                      <w:rPr>
                        <w:rFonts w:ascii="Cambria Math" w:hAnsi="Cambria Math"/>
                        <w:lang w:val="en-US"/>
                      </w:rPr>
                      <m:t>[</m:t>
                    </m:r>
                    <m:sSub>
                      <m:sSubPr>
                        <m:ctrlPr>
                          <w:rPr>
                            <w:rFonts w:ascii="Cambria Math" w:hAnsi="Cambria Math"/>
                            <w:i/>
                            <w:lang w:val="en-US"/>
                          </w:rPr>
                        </m:ctrlPr>
                      </m:sSubPr>
                      <m:e>
                        <m:r>
                          <w:rPr>
                            <w:rFonts w:ascii="Cambria Math" w:hAnsi="Cambria Math"/>
                            <w:lang w:val="en-US"/>
                          </w:rPr>
                          <m:t>O</m:t>
                        </m:r>
                      </m:e>
                      <m:sub>
                        <m:r>
                          <w:rPr>
                            <w:rFonts w:ascii="Cambria Math" w:hAnsi="Cambria Math"/>
                            <w:lang w:val="en-US"/>
                          </w:rPr>
                          <m:t>2</m:t>
                        </m:r>
                      </m:sub>
                    </m:sSub>
                    <m:r>
                      <w:rPr>
                        <w:rFonts w:ascii="Cambria Math" w:hAnsi="Cambria Math"/>
                        <w:lang w:val="en-US"/>
                      </w:rPr>
                      <m:t>]</m:t>
                    </m:r>
                  </m:e>
                  <m:sup>
                    <m:r>
                      <w:rPr>
                        <w:rFonts w:ascii="Cambria Math" w:hAnsi="Cambria Math"/>
                        <w:lang w:val="en-US"/>
                      </w:rPr>
                      <m:t>c</m:t>
                    </m:r>
                  </m:sup>
                </m:sSup>
              </m:oMath>
            </m:oMathPara>
          </w:p>
        </w:tc>
        <w:tc>
          <w:tcPr>
            <w:tcW w:w="907" w:type="dxa"/>
            <w:vAlign w:val="center"/>
          </w:tcPr>
          <w:p w14:paraId="3FACCE96" w14:textId="77777777" w:rsidR="006060A3" w:rsidRDefault="006060A3" w:rsidP="0045084A">
            <w:pPr>
              <w:ind w:firstLine="34"/>
              <w:jc w:val="center"/>
              <w:rPr>
                <w:lang w:val="en-US"/>
              </w:rPr>
            </w:pPr>
            <w:r>
              <w:rPr>
                <w:lang w:val="en-US"/>
              </w:rPr>
              <w:t>(11)</w:t>
            </w:r>
          </w:p>
        </w:tc>
      </w:tr>
    </w:tbl>
    <w:p w14:paraId="4B8AA0B2" w14:textId="13DDA1BD" w:rsidR="006060A3" w:rsidRDefault="006060A3" w:rsidP="006060A3">
      <w:pPr>
        <w:rPr>
          <w:lang w:val="en-US"/>
        </w:rPr>
      </w:pPr>
      <w:r w:rsidRPr="00680ECD">
        <w:rPr>
          <w:noProof/>
          <w:lang w:val="en-US"/>
        </w:rPr>
        <w:t>and coefficients</w:t>
      </w:r>
      <w:r>
        <w:rPr>
          <w:lang w:val="en-US"/>
        </w:rPr>
        <w:t xml:space="preserve"> from </w:t>
      </w:r>
      <w:r w:rsidRPr="004718AB">
        <w:rPr>
          <w:lang w:val="en-US"/>
        </w:rPr>
        <w:t xml:space="preserve">Table </w:t>
      </w:r>
      <w:r w:rsidR="001564E2">
        <w:rPr>
          <w:lang w:val="en-US"/>
        </w:rPr>
        <w:t>A1</w:t>
      </w:r>
      <w:r>
        <w:rPr>
          <w:lang w:val="en-US"/>
        </w:rPr>
        <w:t>.</w:t>
      </w:r>
    </w:p>
    <w:p w14:paraId="20439D84" w14:textId="1BD9F001" w:rsidR="006060A3" w:rsidRPr="00E662AE" w:rsidRDefault="001564E2" w:rsidP="006060A3">
      <w:pPr>
        <w:jc w:val="center"/>
        <w:rPr>
          <w:i/>
          <w:lang w:val="en-US"/>
        </w:rPr>
      </w:pPr>
      <w:r>
        <w:rPr>
          <w:i/>
          <w:lang w:val="en-US"/>
        </w:rPr>
        <w:t>Table A1</w:t>
      </w:r>
      <w:r w:rsidR="006060A3" w:rsidRPr="004718AB">
        <w:rPr>
          <w:i/>
          <w:lang w:val="en-US"/>
        </w:rPr>
        <w:t>. Arrhenius</w:t>
      </w:r>
      <w:r w:rsidR="006060A3" w:rsidRPr="00E662AE">
        <w:rPr>
          <w:i/>
          <w:lang w:val="en-US"/>
        </w:rPr>
        <w:t xml:space="preserve"> reaction rate coefficients for the two-step mechanism</w:t>
      </w:r>
      <w:r w:rsidR="006060A3">
        <w:rPr>
          <w:i/>
          <w:lang w:val="en-US"/>
        </w:rPr>
        <w:t>.</w:t>
      </w:r>
    </w:p>
    <w:tbl>
      <w:tblPr>
        <w:tblStyle w:val="ListTable3-Accent11"/>
        <w:tblW w:w="0" w:type="auto"/>
        <w:jc w:val="center"/>
        <w:tblLook w:val="04A0" w:firstRow="1" w:lastRow="0" w:firstColumn="1" w:lastColumn="0" w:noHBand="0" w:noVBand="1"/>
      </w:tblPr>
      <w:tblGrid>
        <w:gridCol w:w="1134"/>
        <w:gridCol w:w="1134"/>
        <w:gridCol w:w="1134"/>
        <w:gridCol w:w="1134"/>
      </w:tblGrid>
      <w:tr w:rsidR="006060A3" w:rsidRPr="00450807" w14:paraId="670279A8" w14:textId="77777777" w:rsidTr="00450807">
        <w:trPr>
          <w:cnfStyle w:val="100000000000" w:firstRow="1" w:lastRow="0" w:firstColumn="0" w:lastColumn="0" w:oddVBand="0" w:evenVBand="0" w:oddHBand="0" w:evenHBand="0" w:firstRowFirstColumn="0" w:firstRowLastColumn="0" w:lastRowFirstColumn="0" w:lastRowLastColumn="0"/>
          <w:trHeight w:val="340"/>
          <w:jc w:val="center"/>
        </w:trPr>
        <w:tc>
          <w:tcPr>
            <w:cnfStyle w:val="001000000100" w:firstRow="0" w:lastRow="0" w:firstColumn="1" w:lastColumn="0" w:oddVBand="0" w:evenVBand="0" w:oddHBand="0" w:evenHBand="0" w:firstRowFirstColumn="1" w:firstRowLastColumn="0" w:lastRowFirstColumn="0" w:lastRowLastColumn="0"/>
            <w:tcW w:w="1134" w:type="dxa"/>
            <w:noWrap/>
            <w:vAlign w:val="center"/>
            <w:hideMark/>
          </w:tcPr>
          <w:p w14:paraId="5CFE840E" w14:textId="77777777" w:rsidR="006060A3" w:rsidRPr="00450807" w:rsidRDefault="006060A3" w:rsidP="006060A3">
            <w:pPr>
              <w:spacing w:line="240" w:lineRule="auto"/>
              <w:ind w:firstLine="0"/>
              <w:jc w:val="center"/>
              <w:rPr>
                <w:rFonts w:cs="Times New Roman"/>
                <w:sz w:val="20"/>
              </w:rPr>
            </w:pPr>
            <w:r w:rsidRPr="00450807">
              <w:rPr>
                <w:rFonts w:cs="Times New Roman"/>
                <w:sz w:val="20"/>
              </w:rPr>
              <w:t>T inlet</w:t>
            </w:r>
          </w:p>
        </w:tc>
        <w:tc>
          <w:tcPr>
            <w:tcW w:w="1134" w:type="dxa"/>
            <w:vAlign w:val="center"/>
          </w:tcPr>
          <w:p w14:paraId="2B1CE248" w14:textId="77777777" w:rsidR="006060A3" w:rsidRPr="00450807" w:rsidRDefault="006060A3" w:rsidP="006060A3">
            <w:pPr>
              <w:spacing w:line="240" w:lineRule="auto"/>
              <w:cnfStyle w:val="100000000000" w:firstRow="1" w:lastRow="0" w:firstColumn="0" w:lastColumn="0" w:oddVBand="0" w:evenVBand="0" w:oddHBand="0" w:evenHBand="0" w:firstRowFirstColumn="0" w:firstRowLastColumn="0" w:lastRowFirstColumn="0" w:lastRowLastColumn="0"/>
              <w:rPr>
                <w:rFonts w:cs="Times New Roman"/>
                <w:sz w:val="20"/>
              </w:rPr>
            </w:pPr>
            <w:r w:rsidRPr="00450807">
              <w:rPr>
                <w:rFonts w:cs="Times New Roman"/>
                <w:sz w:val="20"/>
              </w:rPr>
              <w:t>K</w:t>
            </w:r>
          </w:p>
        </w:tc>
        <w:tc>
          <w:tcPr>
            <w:tcW w:w="1134" w:type="dxa"/>
            <w:noWrap/>
            <w:vAlign w:val="center"/>
            <w:hideMark/>
          </w:tcPr>
          <w:p w14:paraId="0E21ABCB" w14:textId="77777777" w:rsidR="006060A3" w:rsidRPr="00450807" w:rsidRDefault="006060A3" w:rsidP="006060A3">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cs="Times New Roman"/>
                <w:sz w:val="20"/>
              </w:rPr>
            </w:pPr>
            <w:r w:rsidRPr="00450807">
              <w:rPr>
                <w:rFonts w:cs="Times New Roman"/>
                <w:sz w:val="20"/>
              </w:rPr>
              <w:t>300</w:t>
            </w:r>
          </w:p>
        </w:tc>
        <w:tc>
          <w:tcPr>
            <w:tcW w:w="1134" w:type="dxa"/>
            <w:vAlign w:val="center"/>
          </w:tcPr>
          <w:p w14:paraId="3CC830BC" w14:textId="77777777" w:rsidR="006060A3" w:rsidRPr="00450807" w:rsidRDefault="006060A3" w:rsidP="006060A3">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cs="Times New Roman"/>
                <w:sz w:val="20"/>
              </w:rPr>
            </w:pPr>
            <w:r w:rsidRPr="00450807">
              <w:rPr>
                <w:rFonts w:cs="Times New Roman"/>
                <w:sz w:val="20"/>
              </w:rPr>
              <w:t>500</w:t>
            </w:r>
          </w:p>
        </w:tc>
      </w:tr>
      <w:tr w:rsidR="006060A3" w:rsidRPr="00450807" w14:paraId="02F55004" w14:textId="77777777" w:rsidTr="00450807">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1134" w:type="dxa"/>
            <w:noWrap/>
            <w:vAlign w:val="center"/>
            <w:hideMark/>
          </w:tcPr>
          <w:p w14:paraId="6502084E" w14:textId="77777777" w:rsidR="006060A3" w:rsidRPr="00450807" w:rsidRDefault="006A17F1" w:rsidP="006060A3">
            <w:pPr>
              <w:spacing w:line="240" w:lineRule="auto"/>
              <w:jc w:val="center"/>
              <w:rPr>
                <w:rFonts w:cs="Times New Roman"/>
                <w:color w:val="000000"/>
                <w:sz w:val="20"/>
              </w:rPr>
            </w:pPr>
            <m:oMathPara>
              <m:oMath>
                <m:sSub>
                  <m:sSubPr>
                    <m:ctrlPr>
                      <w:rPr>
                        <w:rFonts w:ascii="Cambria Math" w:eastAsia="Times New Roman" w:hAnsi="Cambria Math" w:cs="Times New Roman"/>
                        <w:bCs w:val="0"/>
                        <w:i/>
                        <w:sz w:val="20"/>
                        <w:lang w:val="en-US"/>
                      </w:rPr>
                    </m:ctrlPr>
                  </m:sSubPr>
                  <m:e>
                    <m:r>
                      <m:rPr>
                        <m:sty m:val="bi"/>
                      </m:rPr>
                      <w:rPr>
                        <w:rFonts w:ascii="Cambria Math" w:hAnsi="Cambria Math" w:cs="Times New Roman"/>
                        <w:sz w:val="20"/>
                        <w:lang w:val="en-US"/>
                      </w:rPr>
                      <m:t>A</m:t>
                    </m:r>
                  </m:e>
                  <m:sub>
                    <m:r>
                      <m:rPr>
                        <m:sty m:val="bi"/>
                      </m:rPr>
                      <w:rPr>
                        <w:rFonts w:ascii="Cambria Math" w:hAnsi="Cambria Math" w:cs="Times New Roman"/>
                        <w:sz w:val="20"/>
                        <w:lang w:val="en-US"/>
                      </w:rPr>
                      <m:t>1</m:t>
                    </m:r>
                  </m:sub>
                </m:sSub>
              </m:oMath>
            </m:oMathPara>
          </w:p>
        </w:tc>
        <w:tc>
          <w:tcPr>
            <w:tcW w:w="1134" w:type="dxa"/>
            <w:vAlign w:val="center"/>
          </w:tcPr>
          <w:p w14:paraId="1A059638" w14:textId="77777777" w:rsidR="006060A3" w:rsidRPr="00450807" w:rsidRDefault="006A17F1" w:rsidP="006060A3">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cs="Times New Roman"/>
                <w:color w:val="000000"/>
                <w:sz w:val="20"/>
              </w:rPr>
            </w:pPr>
            <m:oMathPara>
              <m:oMath>
                <m:f>
                  <m:fPr>
                    <m:ctrlPr>
                      <w:rPr>
                        <w:rFonts w:ascii="Cambria Math" w:hAnsi="Cambria Math" w:cs="Times New Roman"/>
                        <w:color w:val="000000"/>
                        <w:sz w:val="20"/>
                      </w:rPr>
                    </m:ctrlPr>
                  </m:fPr>
                  <m:num>
                    <m:sSup>
                      <m:sSupPr>
                        <m:ctrlPr>
                          <w:rPr>
                            <w:rFonts w:ascii="Cambria Math" w:hAnsi="Cambria Math" w:cs="Times New Roman"/>
                            <w:color w:val="000000"/>
                            <w:sz w:val="20"/>
                          </w:rPr>
                        </m:ctrlPr>
                      </m:sSupPr>
                      <m:e>
                        <m:r>
                          <m:rPr>
                            <m:sty m:val="p"/>
                          </m:rPr>
                          <w:rPr>
                            <w:rFonts w:ascii="Cambria Math" w:hAnsi="Cambria Math" w:cs="Times New Roman"/>
                            <w:color w:val="000000"/>
                            <w:sz w:val="20"/>
                          </w:rPr>
                          <m:t>mol</m:t>
                        </m:r>
                      </m:e>
                      <m:sup>
                        <m:r>
                          <m:rPr>
                            <m:sty m:val="p"/>
                          </m:rPr>
                          <w:rPr>
                            <w:rFonts w:ascii="Cambria Math" w:hAnsi="Cambria Math" w:cs="Times New Roman"/>
                            <w:color w:val="000000"/>
                            <w:sz w:val="20"/>
                          </w:rPr>
                          <m:t>(-a)</m:t>
                        </m:r>
                      </m:sup>
                    </m:sSup>
                  </m:num>
                  <m:den>
                    <m:sSup>
                      <m:sSupPr>
                        <m:ctrlPr>
                          <w:rPr>
                            <w:rFonts w:ascii="Cambria Math" w:hAnsi="Cambria Math" w:cs="Times New Roman"/>
                            <w:color w:val="000000"/>
                            <w:sz w:val="20"/>
                          </w:rPr>
                        </m:ctrlPr>
                      </m:sSupPr>
                      <m:e>
                        <m:r>
                          <m:rPr>
                            <m:sty m:val="p"/>
                          </m:rPr>
                          <w:rPr>
                            <w:rFonts w:ascii="Cambria Math" w:hAnsi="Cambria Math" w:cs="Times New Roman"/>
                            <w:color w:val="000000"/>
                            <w:sz w:val="20"/>
                          </w:rPr>
                          <m:t>cm</m:t>
                        </m:r>
                      </m:e>
                      <m:sup>
                        <m:r>
                          <m:rPr>
                            <m:sty m:val="p"/>
                          </m:rPr>
                          <w:rPr>
                            <w:rFonts w:ascii="Cambria Math" w:hAnsi="Cambria Math" w:cs="Times New Roman"/>
                            <w:color w:val="000000"/>
                            <w:sz w:val="20"/>
                          </w:rPr>
                          <m:t>(-3a)</m:t>
                        </m:r>
                      </m:sup>
                    </m:sSup>
                    <m:r>
                      <m:rPr>
                        <m:sty m:val="p"/>
                      </m:rPr>
                      <w:rPr>
                        <w:rFonts w:ascii="Cambria Math" w:hAnsi="Cambria Math" w:cs="Times New Roman"/>
                        <w:color w:val="000000"/>
                        <w:sz w:val="20"/>
                      </w:rPr>
                      <m:t>s</m:t>
                    </m:r>
                  </m:den>
                </m:f>
              </m:oMath>
            </m:oMathPara>
          </w:p>
        </w:tc>
        <w:tc>
          <w:tcPr>
            <w:tcW w:w="1134" w:type="dxa"/>
            <w:noWrap/>
            <w:vAlign w:val="center"/>
            <w:hideMark/>
          </w:tcPr>
          <w:p w14:paraId="63609BD0" w14:textId="77777777" w:rsidR="006060A3" w:rsidRPr="00450807" w:rsidRDefault="006060A3" w:rsidP="006060A3">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cs="Times New Roman"/>
                <w:color w:val="000000"/>
                <w:sz w:val="20"/>
              </w:rPr>
            </w:pPr>
            <w:r w:rsidRPr="00450807">
              <w:rPr>
                <w:rFonts w:cs="Times New Roman"/>
                <w:color w:val="000000"/>
                <w:sz w:val="20"/>
              </w:rPr>
              <w:t>1.8 x 10</w:t>
            </w:r>
            <w:r w:rsidRPr="00450807">
              <w:rPr>
                <w:rFonts w:cs="Times New Roman"/>
                <w:color w:val="000000"/>
                <w:sz w:val="20"/>
                <w:vertAlign w:val="superscript"/>
              </w:rPr>
              <w:t>13</w:t>
            </w:r>
          </w:p>
        </w:tc>
        <w:tc>
          <w:tcPr>
            <w:tcW w:w="1134" w:type="dxa"/>
            <w:vAlign w:val="center"/>
          </w:tcPr>
          <w:p w14:paraId="0C46609E" w14:textId="77777777" w:rsidR="006060A3" w:rsidRPr="00450807" w:rsidRDefault="006060A3" w:rsidP="006060A3">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cs="Times New Roman"/>
                <w:color w:val="000000"/>
                <w:sz w:val="20"/>
              </w:rPr>
            </w:pPr>
            <w:r w:rsidRPr="00450807">
              <w:rPr>
                <w:rFonts w:cs="Times New Roman"/>
                <w:color w:val="000000"/>
                <w:sz w:val="20"/>
              </w:rPr>
              <w:t>3.0 x 10</w:t>
            </w:r>
            <w:r w:rsidRPr="00450807">
              <w:rPr>
                <w:rFonts w:cs="Times New Roman"/>
                <w:color w:val="000000"/>
                <w:sz w:val="20"/>
                <w:vertAlign w:val="superscript"/>
              </w:rPr>
              <w:t>14</w:t>
            </w:r>
          </w:p>
        </w:tc>
      </w:tr>
      <w:tr w:rsidR="006060A3" w:rsidRPr="00450807" w14:paraId="0D6F4BEB" w14:textId="77777777" w:rsidTr="00450807">
        <w:trPr>
          <w:trHeight w:val="340"/>
          <w:jc w:val="center"/>
        </w:trPr>
        <w:tc>
          <w:tcPr>
            <w:cnfStyle w:val="001000000000" w:firstRow="0" w:lastRow="0" w:firstColumn="1" w:lastColumn="0" w:oddVBand="0" w:evenVBand="0" w:oddHBand="0" w:evenHBand="0" w:firstRowFirstColumn="0" w:firstRowLastColumn="0" w:lastRowFirstColumn="0" w:lastRowLastColumn="0"/>
            <w:tcW w:w="1134" w:type="dxa"/>
            <w:noWrap/>
            <w:vAlign w:val="center"/>
            <w:hideMark/>
          </w:tcPr>
          <w:p w14:paraId="180B48ED" w14:textId="77777777" w:rsidR="006060A3" w:rsidRPr="00450807" w:rsidRDefault="006A17F1" w:rsidP="006060A3">
            <w:pPr>
              <w:spacing w:line="240" w:lineRule="auto"/>
              <w:jc w:val="center"/>
              <w:rPr>
                <w:rFonts w:cs="Times New Roman"/>
                <w:color w:val="000000"/>
                <w:sz w:val="20"/>
              </w:rPr>
            </w:pPr>
            <m:oMathPara>
              <m:oMath>
                <m:f>
                  <m:fPr>
                    <m:type m:val="lin"/>
                    <m:ctrlPr>
                      <w:rPr>
                        <w:rFonts w:ascii="Cambria Math" w:eastAsia="Times New Roman" w:hAnsi="Cambria Math" w:cs="Times New Roman"/>
                        <w:bCs w:val="0"/>
                        <w:i/>
                        <w:sz w:val="20"/>
                        <w:lang w:val="en-US"/>
                      </w:rPr>
                    </m:ctrlPr>
                  </m:fPr>
                  <m:num>
                    <m:sSub>
                      <m:sSubPr>
                        <m:ctrlPr>
                          <w:rPr>
                            <w:rFonts w:ascii="Cambria Math" w:eastAsia="Times New Roman" w:hAnsi="Cambria Math" w:cs="Times New Roman"/>
                            <w:bCs w:val="0"/>
                            <w:i/>
                            <w:sz w:val="20"/>
                            <w:lang w:val="en-US"/>
                          </w:rPr>
                        </m:ctrlPr>
                      </m:sSubPr>
                      <m:e>
                        <m:r>
                          <m:rPr>
                            <m:sty m:val="bi"/>
                          </m:rPr>
                          <w:rPr>
                            <w:rFonts w:ascii="Cambria Math" w:eastAsia="Times New Roman" w:hAnsi="Cambria Math" w:cs="Times New Roman"/>
                            <w:sz w:val="20"/>
                            <w:lang w:val="en-US"/>
                          </w:rPr>
                          <m:t>E</m:t>
                        </m:r>
                      </m:e>
                      <m:sub>
                        <m:r>
                          <m:rPr>
                            <m:sty m:val="bi"/>
                          </m:rPr>
                          <w:rPr>
                            <w:rFonts w:ascii="Cambria Math" w:eastAsia="Times New Roman" w:hAnsi="Cambria Math" w:cs="Times New Roman"/>
                            <w:sz w:val="20"/>
                            <w:lang w:val="en-US"/>
                          </w:rPr>
                          <m:t>1</m:t>
                        </m:r>
                      </m:sub>
                    </m:sSub>
                  </m:num>
                  <m:den>
                    <m:r>
                      <m:rPr>
                        <m:sty m:val="bi"/>
                      </m:rPr>
                      <w:rPr>
                        <w:rFonts w:ascii="Cambria Math" w:eastAsia="Times New Roman" w:hAnsi="Cambria Math" w:cs="Times New Roman"/>
                        <w:sz w:val="20"/>
                        <w:lang w:val="en-US"/>
                      </w:rPr>
                      <m:t>R</m:t>
                    </m:r>
                  </m:den>
                </m:f>
              </m:oMath>
            </m:oMathPara>
          </w:p>
        </w:tc>
        <w:tc>
          <w:tcPr>
            <w:tcW w:w="1134" w:type="dxa"/>
            <w:vAlign w:val="center"/>
          </w:tcPr>
          <w:p w14:paraId="03F96AAB" w14:textId="77777777" w:rsidR="006060A3" w:rsidRPr="00450807" w:rsidRDefault="006060A3" w:rsidP="006060A3">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rPr>
            </w:pPr>
            <w:r w:rsidRPr="00450807">
              <w:rPr>
                <w:rFonts w:cs="Times New Roman"/>
                <w:color w:val="000000"/>
                <w:sz w:val="20"/>
              </w:rPr>
              <w:t>K</w:t>
            </w:r>
          </w:p>
        </w:tc>
        <w:tc>
          <w:tcPr>
            <w:tcW w:w="1134" w:type="dxa"/>
            <w:noWrap/>
            <w:vAlign w:val="center"/>
            <w:hideMark/>
          </w:tcPr>
          <w:p w14:paraId="127DDFF1" w14:textId="77777777" w:rsidR="006060A3" w:rsidRPr="00450807" w:rsidRDefault="006060A3" w:rsidP="006060A3">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rPr>
            </w:pPr>
            <w:r w:rsidRPr="00450807">
              <w:rPr>
                <w:rFonts w:cs="Times New Roman"/>
                <w:color w:val="000000"/>
                <w:sz w:val="20"/>
              </w:rPr>
              <w:t>17 614,0</w:t>
            </w:r>
          </w:p>
        </w:tc>
        <w:tc>
          <w:tcPr>
            <w:tcW w:w="1134" w:type="dxa"/>
            <w:vAlign w:val="center"/>
          </w:tcPr>
          <w:p w14:paraId="0204CE69" w14:textId="77777777" w:rsidR="006060A3" w:rsidRPr="00450807" w:rsidRDefault="006060A3" w:rsidP="006060A3">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rPr>
            </w:pPr>
            <w:r w:rsidRPr="00450807">
              <w:rPr>
                <w:rFonts w:cs="Times New Roman"/>
                <w:color w:val="000000"/>
                <w:sz w:val="20"/>
              </w:rPr>
              <w:t>18 335.0</w:t>
            </w:r>
          </w:p>
        </w:tc>
      </w:tr>
      <w:tr w:rsidR="006060A3" w:rsidRPr="00450807" w14:paraId="6F16C7F7" w14:textId="77777777" w:rsidTr="00450807">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1134" w:type="dxa"/>
            <w:noWrap/>
            <w:vAlign w:val="center"/>
          </w:tcPr>
          <w:p w14:paraId="01C02B94" w14:textId="77777777" w:rsidR="006060A3" w:rsidRPr="00450807" w:rsidRDefault="006060A3" w:rsidP="006060A3">
            <w:pPr>
              <w:spacing w:line="240" w:lineRule="auto"/>
              <w:jc w:val="center"/>
              <w:rPr>
                <w:rFonts w:cs="Times New Roman"/>
                <w:sz w:val="20"/>
                <w:lang w:val="en-US"/>
              </w:rPr>
            </w:pPr>
            <m:oMathPara>
              <m:oMath>
                <m:r>
                  <m:rPr>
                    <m:sty m:val="bi"/>
                  </m:rPr>
                  <w:rPr>
                    <w:rFonts w:ascii="Cambria Math" w:eastAsia="Times New Roman" w:hAnsi="Cambria Math" w:cs="Times New Roman"/>
                    <w:sz w:val="20"/>
                    <w:lang w:val="en-US"/>
                  </w:rPr>
                  <m:t>a</m:t>
                </m:r>
              </m:oMath>
            </m:oMathPara>
          </w:p>
        </w:tc>
        <w:tc>
          <w:tcPr>
            <w:tcW w:w="1134" w:type="dxa"/>
            <w:vAlign w:val="center"/>
          </w:tcPr>
          <w:p w14:paraId="44546F88" w14:textId="77777777" w:rsidR="006060A3" w:rsidRPr="00450807" w:rsidRDefault="006060A3" w:rsidP="006060A3">
            <w:pPr>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sz w:val="20"/>
              </w:rPr>
            </w:pPr>
            <w:r w:rsidRPr="00450807">
              <w:rPr>
                <w:rFonts w:cs="Times New Roman"/>
                <w:color w:val="000000"/>
                <w:sz w:val="20"/>
              </w:rPr>
              <w:t>-</w:t>
            </w:r>
          </w:p>
        </w:tc>
        <w:tc>
          <w:tcPr>
            <w:tcW w:w="1134" w:type="dxa"/>
            <w:noWrap/>
            <w:vAlign w:val="center"/>
          </w:tcPr>
          <w:p w14:paraId="76479909" w14:textId="77777777" w:rsidR="006060A3" w:rsidRPr="00450807" w:rsidRDefault="006060A3" w:rsidP="006060A3">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cs="Times New Roman"/>
                <w:color w:val="000000"/>
                <w:sz w:val="20"/>
              </w:rPr>
            </w:pPr>
            <w:r w:rsidRPr="00450807">
              <w:rPr>
                <w:rFonts w:cs="Times New Roman"/>
                <w:color w:val="000000"/>
                <w:sz w:val="20"/>
              </w:rPr>
              <w:t>0.50</w:t>
            </w:r>
          </w:p>
        </w:tc>
        <w:tc>
          <w:tcPr>
            <w:tcW w:w="1134" w:type="dxa"/>
            <w:vAlign w:val="center"/>
          </w:tcPr>
          <w:p w14:paraId="33C6DCF1" w14:textId="77777777" w:rsidR="006060A3" w:rsidRPr="00450807" w:rsidRDefault="006060A3" w:rsidP="006060A3">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cs="Times New Roman"/>
                <w:color w:val="000000"/>
                <w:sz w:val="20"/>
              </w:rPr>
            </w:pPr>
            <w:r w:rsidRPr="00450807">
              <w:rPr>
                <w:rFonts w:cs="Times New Roman"/>
                <w:color w:val="000000"/>
                <w:sz w:val="20"/>
              </w:rPr>
              <w:t>0.53</w:t>
            </w:r>
          </w:p>
        </w:tc>
      </w:tr>
      <w:tr w:rsidR="006060A3" w:rsidRPr="00450807" w14:paraId="744E40D3" w14:textId="77777777" w:rsidTr="00450807">
        <w:trPr>
          <w:trHeight w:val="340"/>
          <w:jc w:val="center"/>
        </w:trPr>
        <w:tc>
          <w:tcPr>
            <w:cnfStyle w:val="001000000000" w:firstRow="0" w:lastRow="0" w:firstColumn="1" w:lastColumn="0" w:oddVBand="0" w:evenVBand="0" w:oddHBand="0" w:evenHBand="0" w:firstRowFirstColumn="0" w:firstRowLastColumn="0" w:lastRowFirstColumn="0" w:lastRowLastColumn="0"/>
            <w:tcW w:w="1134" w:type="dxa"/>
            <w:noWrap/>
            <w:vAlign w:val="center"/>
          </w:tcPr>
          <w:p w14:paraId="58023455" w14:textId="77777777" w:rsidR="006060A3" w:rsidRPr="00450807" w:rsidRDefault="006A17F1" w:rsidP="006060A3">
            <w:pPr>
              <w:spacing w:line="240" w:lineRule="auto"/>
              <w:jc w:val="center"/>
              <w:rPr>
                <w:rFonts w:cs="Times New Roman"/>
                <w:bCs w:val="0"/>
                <w:sz w:val="20"/>
                <w:lang w:val="en-US"/>
              </w:rPr>
            </w:pPr>
            <m:oMathPara>
              <m:oMath>
                <m:sSub>
                  <m:sSubPr>
                    <m:ctrlPr>
                      <w:rPr>
                        <w:rFonts w:ascii="Cambria Math" w:eastAsia="Times New Roman" w:hAnsi="Cambria Math" w:cs="Times New Roman"/>
                        <w:bCs w:val="0"/>
                        <w:i/>
                        <w:sz w:val="20"/>
                        <w:lang w:val="en-US"/>
                      </w:rPr>
                    </m:ctrlPr>
                  </m:sSubPr>
                  <m:e>
                    <m:r>
                      <m:rPr>
                        <m:sty m:val="bi"/>
                      </m:rPr>
                      <w:rPr>
                        <w:rFonts w:ascii="Cambria Math" w:eastAsia="Times New Roman" w:hAnsi="Cambria Math" w:cs="Times New Roman"/>
                        <w:sz w:val="20"/>
                        <w:lang w:val="en-US"/>
                      </w:rPr>
                      <m:t>A</m:t>
                    </m:r>
                  </m:e>
                  <m:sub>
                    <m:r>
                      <m:rPr>
                        <m:sty m:val="bi"/>
                      </m:rPr>
                      <w:rPr>
                        <w:rFonts w:ascii="Cambria Math" w:eastAsia="Times New Roman" w:hAnsi="Cambria Math" w:cs="Times New Roman"/>
                        <w:sz w:val="20"/>
                        <w:lang w:val="en-US"/>
                      </w:rPr>
                      <m:t>2</m:t>
                    </m:r>
                  </m:sub>
                </m:sSub>
              </m:oMath>
            </m:oMathPara>
          </w:p>
        </w:tc>
        <w:tc>
          <w:tcPr>
            <w:tcW w:w="1134" w:type="dxa"/>
            <w:vAlign w:val="center"/>
          </w:tcPr>
          <w:p w14:paraId="679E8668" w14:textId="77777777" w:rsidR="006060A3" w:rsidRPr="00450807" w:rsidRDefault="006A17F1" w:rsidP="006060A3">
            <w:pPr>
              <w:spacing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rPr>
            </w:pPr>
            <m:oMathPara>
              <m:oMath>
                <m:f>
                  <m:fPr>
                    <m:ctrlPr>
                      <w:rPr>
                        <w:rFonts w:ascii="Cambria Math" w:hAnsi="Cambria Math" w:cs="Times New Roman"/>
                        <w:color w:val="000000"/>
                        <w:sz w:val="20"/>
                      </w:rPr>
                    </m:ctrlPr>
                  </m:fPr>
                  <m:num>
                    <m:sSup>
                      <m:sSupPr>
                        <m:ctrlPr>
                          <w:rPr>
                            <w:rFonts w:ascii="Cambria Math" w:hAnsi="Cambria Math" w:cs="Times New Roman"/>
                            <w:color w:val="000000"/>
                            <w:sz w:val="20"/>
                          </w:rPr>
                        </m:ctrlPr>
                      </m:sSupPr>
                      <m:e>
                        <m:r>
                          <m:rPr>
                            <m:sty m:val="p"/>
                          </m:rPr>
                          <w:rPr>
                            <w:rFonts w:ascii="Cambria Math" w:hAnsi="Cambria Math" w:cs="Times New Roman"/>
                            <w:color w:val="000000"/>
                            <w:sz w:val="20"/>
                          </w:rPr>
                          <m:t>mol</m:t>
                        </m:r>
                      </m:e>
                      <m:sup>
                        <m:r>
                          <m:rPr>
                            <m:sty m:val="p"/>
                          </m:rPr>
                          <w:rPr>
                            <w:rFonts w:ascii="Cambria Math" w:hAnsi="Cambria Math" w:cs="Times New Roman"/>
                            <w:color w:val="000000"/>
                            <w:sz w:val="20"/>
                          </w:rPr>
                          <m:t>(-b-c)</m:t>
                        </m:r>
                      </m:sup>
                    </m:sSup>
                  </m:num>
                  <m:den>
                    <m:sSup>
                      <m:sSupPr>
                        <m:ctrlPr>
                          <w:rPr>
                            <w:rFonts w:ascii="Cambria Math" w:hAnsi="Cambria Math" w:cs="Times New Roman"/>
                            <w:color w:val="000000"/>
                            <w:sz w:val="20"/>
                          </w:rPr>
                        </m:ctrlPr>
                      </m:sSupPr>
                      <m:e>
                        <m:r>
                          <m:rPr>
                            <m:sty m:val="p"/>
                          </m:rPr>
                          <w:rPr>
                            <w:rFonts w:ascii="Cambria Math" w:hAnsi="Cambria Math" w:cs="Times New Roman"/>
                            <w:color w:val="000000"/>
                            <w:sz w:val="20"/>
                          </w:rPr>
                          <m:t>cm</m:t>
                        </m:r>
                      </m:e>
                      <m:sup>
                        <m:r>
                          <m:rPr>
                            <m:sty m:val="p"/>
                          </m:rPr>
                          <w:rPr>
                            <w:rFonts w:ascii="Cambria Math" w:hAnsi="Cambria Math" w:cs="Times New Roman"/>
                            <w:color w:val="000000"/>
                            <w:sz w:val="20"/>
                          </w:rPr>
                          <m:t>-3(b+c)</m:t>
                        </m:r>
                      </m:sup>
                    </m:sSup>
                    <m:r>
                      <m:rPr>
                        <m:sty m:val="p"/>
                      </m:rPr>
                      <w:rPr>
                        <w:rFonts w:ascii="Cambria Math" w:hAnsi="Cambria Math" w:cs="Times New Roman"/>
                        <w:color w:val="000000"/>
                        <w:sz w:val="20"/>
                      </w:rPr>
                      <m:t>s</m:t>
                    </m:r>
                  </m:den>
                </m:f>
              </m:oMath>
            </m:oMathPara>
          </w:p>
        </w:tc>
        <w:tc>
          <w:tcPr>
            <w:tcW w:w="1134" w:type="dxa"/>
            <w:noWrap/>
            <w:vAlign w:val="center"/>
          </w:tcPr>
          <w:p w14:paraId="47972257" w14:textId="77777777" w:rsidR="006060A3" w:rsidRPr="00450807" w:rsidRDefault="006060A3" w:rsidP="006060A3">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rPr>
            </w:pPr>
            <w:r w:rsidRPr="00450807">
              <w:rPr>
                <w:rFonts w:cs="Times New Roman"/>
                <w:color w:val="000000"/>
                <w:sz w:val="20"/>
              </w:rPr>
              <w:t>1.2 x 10</w:t>
            </w:r>
            <w:r w:rsidRPr="00450807">
              <w:rPr>
                <w:rFonts w:cs="Times New Roman"/>
                <w:color w:val="000000"/>
                <w:sz w:val="20"/>
                <w:vertAlign w:val="superscript"/>
              </w:rPr>
              <w:t>11</w:t>
            </w:r>
          </w:p>
        </w:tc>
        <w:tc>
          <w:tcPr>
            <w:tcW w:w="1134" w:type="dxa"/>
            <w:vAlign w:val="center"/>
          </w:tcPr>
          <w:p w14:paraId="0C0D464A" w14:textId="77777777" w:rsidR="006060A3" w:rsidRPr="00450807" w:rsidRDefault="006060A3" w:rsidP="006060A3">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rPr>
            </w:pPr>
            <w:r w:rsidRPr="00450807">
              <w:rPr>
                <w:rFonts w:cs="Times New Roman"/>
                <w:color w:val="000000"/>
                <w:sz w:val="20"/>
              </w:rPr>
              <w:t>4.8 x 10</w:t>
            </w:r>
            <w:r w:rsidRPr="00450807">
              <w:rPr>
                <w:rFonts w:cs="Times New Roman"/>
                <w:color w:val="000000"/>
                <w:sz w:val="20"/>
                <w:vertAlign w:val="superscript"/>
              </w:rPr>
              <w:t>12</w:t>
            </w:r>
          </w:p>
        </w:tc>
      </w:tr>
      <w:tr w:rsidR="006060A3" w:rsidRPr="00450807" w14:paraId="0C6AD4A6" w14:textId="77777777" w:rsidTr="00450807">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1134" w:type="dxa"/>
            <w:noWrap/>
            <w:vAlign w:val="center"/>
          </w:tcPr>
          <w:p w14:paraId="7919C47A" w14:textId="77777777" w:rsidR="006060A3" w:rsidRPr="00450807" w:rsidRDefault="006A17F1" w:rsidP="006060A3">
            <w:pPr>
              <w:spacing w:line="240" w:lineRule="auto"/>
              <w:jc w:val="center"/>
              <w:rPr>
                <w:rFonts w:cs="Times New Roman"/>
                <w:bCs w:val="0"/>
                <w:sz w:val="20"/>
                <w:lang w:val="en-US"/>
              </w:rPr>
            </w:pPr>
            <m:oMathPara>
              <m:oMath>
                <m:f>
                  <m:fPr>
                    <m:type m:val="lin"/>
                    <m:ctrlPr>
                      <w:rPr>
                        <w:rFonts w:ascii="Cambria Math" w:eastAsia="Times New Roman" w:hAnsi="Cambria Math" w:cs="Times New Roman"/>
                        <w:bCs w:val="0"/>
                        <w:i/>
                        <w:sz w:val="20"/>
                        <w:lang w:val="en-US"/>
                      </w:rPr>
                    </m:ctrlPr>
                  </m:fPr>
                  <m:num>
                    <m:sSub>
                      <m:sSubPr>
                        <m:ctrlPr>
                          <w:rPr>
                            <w:rFonts w:ascii="Cambria Math" w:eastAsia="Times New Roman" w:hAnsi="Cambria Math" w:cs="Times New Roman"/>
                            <w:bCs w:val="0"/>
                            <w:i/>
                            <w:sz w:val="20"/>
                            <w:lang w:val="en-US"/>
                          </w:rPr>
                        </m:ctrlPr>
                      </m:sSubPr>
                      <m:e>
                        <m:r>
                          <m:rPr>
                            <m:sty m:val="bi"/>
                          </m:rPr>
                          <w:rPr>
                            <w:rFonts w:ascii="Cambria Math" w:eastAsia="Times New Roman" w:hAnsi="Cambria Math" w:cs="Times New Roman"/>
                            <w:sz w:val="20"/>
                            <w:lang w:val="en-US"/>
                          </w:rPr>
                          <m:t>E</m:t>
                        </m:r>
                      </m:e>
                      <m:sub>
                        <m:r>
                          <m:rPr>
                            <m:sty m:val="bi"/>
                          </m:rPr>
                          <w:rPr>
                            <w:rFonts w:ascii="Cambria Math" w:eastAsia="Times New Roman" w:hAnsi="Cambria Math" w:cs="Times New Roman"/>
                            <w:sz w:val="20"/>
                            <w:lang w:val="en-US"/>
                          </w:rPr>
                          <m:t>2</m:t>
                        </m:r>
                      </m:sub>
                    </m:sSub>
                  </m:num>
                  <m:den>
                    <m:r>
                      <m:rPr>
                        <m:sty m:val="bi"/>
                      </m:rPr>
                      <w:rPr>
                        <w:rFonts w:ascii="Cambria Math" w:eastAsia="Times New Roman" w:hAnsi="Cambria Math" w:cs="Times New Roman"/>
                        <w:sz w:val="20"/>
                        <w:lang w:val="en-US"/>
                      </w:rPr>
                      <m:t>R</m:t>
                    </m:r>
                  </m:den>
                </m:f>
              </m:oMath>
            </m:oMathPara>
          </w:p>
        </w:tc>
        <w:tc>
          <w:tcPr>
            <w:tcW w:w="1134" w:type="dxa"/>
            <w:vAlign w:val="center"/>
          </w:tcPr>
          <w:p w14:paraId="6C9376D3" w14:textId="77777777" w:rsidR="006060A3" w:rsidRPr="00450807" w:rsidRDefault="006060A3" w:rsidP="006060A3">
            <w:pPr>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sz w:val="20"/>
              </w:rPr>
            </w:pPr>
            <w:r w:rsidRPr="00450807">
              <w:rPr>
                <w:rFonts w:cs="Times New Roman"/>
                <w:color w:val="000000"/>
                <w:sz w:val="20"/>
              </w:rPr>
              <w:t>K</w:t>
            </w:r>
          </w:p>
        </w:tc>
        <w:tc>
          <w:tcPr>
            <w:tcW w:w="1134" w:type="dxa"/>
            <w:noWrap/>
            <w:vAlign w:val="center"/>
          </w:tcPr>
          <w:p w14:paraId="70427C41" w14:textId="77777777" w:rsidR="006060A3" w:rsidRPr="00450807" w:rsidRDefault="006060A3" w:rsidP="006060A3">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cs="Times New Roman"/>
                <w:color w:val="000000"/>
                <w:sz w:val="20"/>
              </w:rPr>
            </w:pPr>
            <w:r w:rsidRPr="00450807">
              <w:rPr>
                <w:rFonts w:cs="Times New Roman"/>
                <w:color w:val="000000"/>
                <w:sz w:val="20"/>
              </w:rPr>
              <w:t>8053.0</w:t>
            </w:r>
          </w:p>
        </w:tc>
        <w:tc>
          <w:tcPr>
            <w:tcW w:w="1134" w:type="dxa"/>
            <w:vAlign w:val="center"/>
          </w:tcPr>
          <w:p w14:paraId="41A5B057" w14:textId="77777777" w:rsidR="006060A3" w:rsidRPr="00450807" w:rsidRDefault="006060A3" w:rsidP="006060A3">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cs="Times New Roman"/>
                <w:color w:val="000000"/>
                <w:sz w:val="20"/>
              </w:rPr>
            </w:pPr>
            <w:r w:rsidRPr="00450807">
              <w:rPr>
                <w:rFonts w:cs="Times New Roman"/>
                <w:color w:val="000000"/>
                <w:sz w:val="20"/>
              </w:rPr>
              <w:t>12 100.0</w:t>
            </w:r>
          </w:p>
        </w:tc>
      </w:tr>
      <w:tr w:rsidR="006060A3" w:rsidRPr="00450807" w14:paraId="6DB005EF" w14:textId="77777777" w:rsidTr="00450807">
        <w:trPr>
          <w:trHeight w:val="340"/>
          <w:jc w:val="center"/>
        </w:trPr>
        <w:tc>
          <w:tcPr>
            <w:cnfStyle w:val="001000000000" w:firstRow="0" w:lastRow="0" w:firstColumn="1" w:lastColumn="0" w:oddVBand="0" w:evenVBand="0" w:oddHBand="0" w:evenHBand="0" w:firstRowFirstColumn="0" w:firstRowLastColumn="0" w:lastRowFirstColumn="0" w:lastRowLastColumn="0"/>
            <w:tcW w:w="1134" w:type="dxa"/>
            <w:noWrap/>
            <w:vAlign w:val="center"/>
          </w:tcPr>
          <w:p w14:paraId="796C8C03" w14:textId="77777777" w:rsidR="006060A3" w:rsidRPr="00450807" w:rsidRDefault="006060A3" w:rsidP="006060A3">
            <w:pPr>
              <w:spacing w:line="240" w:lineRule="auto"/>
              <w:jc w:val="center"/>
              <w:rPr>
                <w:rFonts w:cs="Times New Roman"/>
                <w:sz w:val="20"/>
                <w:lang w:val="en-US"/>
              </w:rPr>
            </w:pPr>
            <m:oMathPara>
              <m:oMath>
                <m:r>
                  <m:rPr>
                    <m:sty m:val="bi"/>
                  </m:rPr>
                  <w:rPr>
                    <w:rFonts w:ascii="Cambria Math" w:hAnsi="Cambria Math" w:cs="Times New Roman"/>
                    <w:sz w:val="20"/>
                    <w:lang w:val="en-US"/>
                  </w:rPr>
                  <m:t>b</m:t>
                </m:r>
              </m:oMath>
            </m:oMathPara>
          </w:p>
        </w:tc>
        <w:tc>
          <w:tcPr>
            <w:tcW w:w="1134" w:type="dxa"/>
            <w:vAlign w:val="center"/>
          </w:tcPr>
          <w:p w14:paraId="544459A2" w14:textId="77777777" w:rsidR="006060A3" w:rsidRPr="00450807" w:rsidRDefault="006060A3" w:rsidP="006060A3">
            <w:pPr>
              <w:spacing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rPr>
            </w:pPr>
            <w:r w:rsidRPr="00450807">
              <w:rPr>
                <w:rFonts w:cs="Times New Roman"/>
                <w:color w:val="000000"/>
                <w:sz w:val="20"/>
              </w:rPr>
              <w:t>-</w:t>
            </w:r>
          </w:p>
        </w:tc>
        <w:tc>
          <w:tcPr>
            <w:tcW w:w="1134" w:type="dxa"/>
            <w:noWrap/>
            <w:vAlign w:val="center"/>
          </w:tcPr>
          <w:p w14:paraId="5D2F7025" w14:textId="77777777" w:rsidR="006060A3" w:rsidRPr="00450807" w:rsidRDefault="006060A3" w:rsidP="006060A3">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rPr>
            </w:pPr>
            <w:r w:rsidRPr="00450807">
              <w:rPr>
                <w:rFonts w:cs="Times New Roman"/>
                <w:color w:val="000000"/>
                <w:sz w:val="20"/>
              </w:rPr>
              <w:t>0.30</w:t>
            </w:r>
          </w:p>
        </w:tc>
        <w:tc>
          <w:tcPr>
            <w:tcW w:w="1134" w:type="dxa"/>
            <w:vAlign w:val="center"/>
          </w:tcPr>
          <w:p w14:paraId="7FEE228A" w14:textId="77777777" w:rsidR="006060A3" w:rsidRPr="00450807" w:rsidRDefault="006060A3" w:rsidP="006060A3">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rPr>
            </w:pPr>
            <w:r w:rsidRPr="00450807">
              <w:rPr>
                <w:rFonts w:cs="Times New Roman"/>
                <w:color w:val="000000"/>
                <w:sz w:val="20"/>
              </w:rPr>
              <w:t>0.29</w:t>
            </w:r>
          </w:p>
        </w:tc>
      </w:tr>
      <w:tr w:rsidR="006060A3" w:rsidRPr="00450807" w14:paraId="2D0B9F44" w14:textId="77777777" w:rsidTr="00450807">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1134" w:type="dxa"/>
            <w:noWrap/>
            <w:vAlign w:val="center"/>
          </w:tcPr>
          <w:p w14:paraId="14E0A121" w14:textId="77777777" w:rsidR="006060A3" w:rsidRPr="00450807" w:rsidRDefault="006060A3" w:rsidP="006060A3">
            <w:pPr>
              <w:spacing w:line="240" w:lineRule="auto"/>
              <w:jc w:val="center"/>
              <w:rPr>
                <w:rFonts w:cs="Times New Roman"/>
                <w:bCs w:val="0"/>
                <w:sz w:val="20"/>
                <w:lang w:val="en-US"/>
              </w:rPr>
            </w:pPr>
            <m:oMathPara>
              <m:oMath>
                <m:r>
                  <m:rPr>
                    <m:sty m:val="bi"/>
                  </m:rPr>
                  <w:rPr>
                    <w:rFonts w:ascii="Cambria Math" w:hAnsi="Cambria Math" w:cs="Times New Roman"/>
                    <w:sz w:val="20"/>
                    <w:lang w:val="en-US"/>
                  </w:rPr>
                  <m:t>c</m:t>
                </m:r>
              </m:oMath>
            </m:oMathPara>
          </w:p>
        </w:tc>
        <w:tc>
          <w:tcPr>
            <w:tcW w:w="1134" w:type="dxa"/>
            <w:vAlign w:val="center"/>
          </w:tcPr>
          <w:p w14:paraId="089239D8" w14:textId="77777777" w:rsidR="006060A3" w:rsidRPr="00450807" w:rsidRDefault="006060A3" w:rsidP="006060A3">
            <w:pPr>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sz w:val="20"/>
              </w:rPr>
            </w:pPr>
            <w:r w:rsidRPr="00450807">
              <w:rPr>
                <w:rFonts w:cs="Times New Roman"/>
                <w:color w:val="000000"/>
                <w:sz w:val="20"/>
              </w:rPr>
              <w:t>-</w:t>
            </w:r>
          </w:p>
        </w:tc>
        <w:tc>
          <w:tcPr>
            <w:tcW w:w="1134" w:type="dxa"/>
            <w:noWrap/>
            <w:vAlign w:val="center"/>
          </w:tcPr>
          <w:p w14:paraId="6CC1D88D" w14:textId="77777777" w:rsidR="006060A3" w:rsidRPr="00450807" w:rsidRDefault="006060A3" w:rsidP="006060A3">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cs="Times New Roman"/>
                <w:color w:val="000000"/>
                <w:sz w:val="20"/>
              </w:rPr>
            </w:pPr>
            <w:r w:rsidRPr="00450807">
              <w:rPr>
                <w:rFonts w:cs="Times New Roman"/>
                <w:color w:val="000000"/>
                <w:sz w:val="20"/>
              </w:rPr>
              <w:t>0.50</w:t>
            </w:r>
          </w:p>
        </w:tc>
        <w:tc>
          <w:tcPr>
            <w:tcW w:w="1134" w:type="dxa"/>
            <w:vAlign w:val="center"/>
          </w:tcPr>
          <w:p w14:paraId="639D8531" w14:textId="77777777" w:rsidR="006060A3" w:rsidRPr="00450807" w:rsidRDefault="006060A3" w:rsidP="006060A3">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cs="Times New Roman"/>
                <w:color w:val="000000"/>
                <w:sz w:val="20"/>
              </w:rPr>
            </w:pPr>
            <w:r w:rsidRPr="00450807">
              <w:rPr>
                <w:rFonts w:cs="Times New Roman"/>
                <w:color w:val="000000"/>
                <w:sz w:val="20"/>
              </w:rPr>
              <w:t>0.52</w:t>
            </w:r>
          </w:p>
        </w:tc>
      </w:tr>
    </w:tbl>
    <w:p w14:paraId="31E9ADD9" w14:textId="77777777" w:rsidR="006060A3" w:rsidRDefault="006060A3" w:rsidP="006060A3">
      <w:pPr>
        <w:rPr>
          <w:lang w:val="en-US"/>
        </w:rPr>
      </w:pPr>
    </w:p>
    <w:p w14:paraId="6CBF35DF" w14:textId="02413C0A" w:rsidR="006060A3" w:rsidRDefault="006060A3" w:rsidP="006060A3">
      <w:pPr>
        <w:rPr>
          <w:lang w:val="en-US"/>
        </w:rPr>
      </w:pPr>
      <w:r>
        <w:rPr>
          <w:lang w:val="en-US"/>
        </w:rPr>
        <w:t xml:space="preserve">In general, heat transfer inside the porous material is described by the equations (3), (4) and </w:t>
      </w:r>
      <w:r w:rsidRPr="00A366AC">
        <w:rPr>
          <w:lang w:val="en-US"/>
        </w:rPr>
        <w:t>(6).</w:t>
      </w:r>
      <w:r>
        <w:rPr>
          <w:lang w:val="en-US"/>
        </w:rPr>
        <w:t xml:space="preserve"> The porous foam volume </w:t>
      </w:r>
      <w:r w:rsidRPr="004B4F48">
        <w:rPr>
          <w:noProof/>
          <w:lang w:val="en-US"/>
        </w:rPr>
        <w:t>is partially occupied</w:t>
      </w:r>
      <w:r>
        <w:rPr>
          <w:lang w:val="en-US"/>
        </w:rPr>
        <w:t xml:space="preserve"> with solid material that creates a complicated structure with pores, which in turn are filled up by gas. The heat exchange occurring in those two phases (solid and gaseous phases) have to be taken into account separately and then coupled. Inside the gaseous </w:t>
      </w:r>
      <w:r w:rsidRPr="004B4F48">
        <w:rPr>
          <w:noProof/>
          <w:lang w:val="en-US"/>
        </w:rPr>
        <w:t>phase</w:t>
      </w:r>
      <w:r w:rsidR="004B4F48">
        <w:rPr>
          <w:noProof/>
          <w:lang w:val="en-US"/>
        </w:rPr>
        <w:t>,</w:t>
      </w:r>
      <w:r>
        <w:rPr>
          <w:lang w:val="en-US"/>
        </w:rPr>
        <w:t xml:space="preserve"> the heat is being transferred by three modes, namely convection, </w:t>
      </w:r>
      <w:r w:rsidRPr="004B4F48">
        <w:rPr>
          <w:noProof/>
          <w:lang w:val="en-US"/>
        </w:rPr>
        <w:t>conduction</w:t>
      </w:r>
      <w:r w:rsidR="004B4F48">
        <w:rPr>
          <w:noProof/>
          <w:lang w:val="en-US"/>
        </w:rPr>
        <w:t>,</w:t>
      </w:r>
      <w:r>
        <w:rPr>
          <w:lang w:val="en-US"/>
        </w:rPr>
        <w:t xml:space="preserve"> and radiation, to the contrary to the solid phase, in which only conduction is present. The before mentioned approach </w:t>
      </w:r>
      <w:r w:rsidRPr="004B4F48">
        <w:rPr>
          <w:noProof/>
          <w:lang w:val="en-US"/>
        </w:rPr>
        <w:t>is seen</w:t>
      </w:r>
      <w:r>
        <w:rPr>
          <w:lang w:val="en-US"/>
        </w:rPr>
        <w:t xml:space="preserve"> as two energy equations, written separately for </w:t>
      </w:r>
      <w:r w:rsidRPr="00A366AC">
        <w:rPr>
          <w:lang w:val="en-US"/>
        </w:rPr>
        <w:t>gaseous (3) and solid (4) phases</w:t>
      </w:r>
      <w:r>
        <w:rPr>
          <w:lang w:val="en-US"/>
        </w:rPr>
        <w:t xml:space="preserve">. The coupling between the two phases </w:t>
      </w:r>
      <w:r w:rsidRPr="00680ECD">
        <w:rPr>
          <w:noProof/>
          <w:lang w:val="en-US"/>
        </w:rPr>
        <w:t>is done</w:t>
      </w:r>
      <w:r>
        <w:rPr>
          <w:lang w:val="en-US"/>
        </w:rPr>
        <w:t xml:space="preserve"> </w:t>
      </w:r>
      <w:r w:rsidR="004B4F48">
        <w:rPr>
          <w:noProof/>
          <w:lang w:val="en-US"/>
        </w:rPr>
        <w:t>using</w:t>
      </w:r>
      <w:r>
        <w:rPr>
          <w:lang w:val="en-US"/>
        </w:rPr>
        <w:t xml:space="preserve"> a volumetric heat transfer coefficient </w:t>
      </w:r>
      <w:r w:rsidRPr="00680ECD">
        <w:rPr>
          <w:i/>
          <w:noProof/>
          <w:lang w:val="en-US"/>
        </w:rPr>
        <w:t>h</w:t>
      </w:r>
      <w:r w:rsidRPr="00680ECD">
        <w:rPr>
          <w:i/>
          <w:noProof/>
          <w:vertAlign w:val="subscript"/>
          <w:lang w:val="en-US"/>
        </w:rPr>
        <w:t>v</w:t>
      </w:r>
      <w:r>
        <w:rPr>
          <w:lang w:val="en-US"/>
        </w:rPr>
        <w:t xml:space="preserve">, which expresses the rate of heat transfer per degree of temperature per </w:t>
      </w:r>
      <w:r>
        <w:rPr>
          <w:lang w:val="en-US"/>
        </w:rPr>
        <w:lastRenderedPageBreak/>
        <w:t xml:space="preserve">unit volume of the porous material. This coefficient is equal to the product of a superficial heat transfer coefficient </w:t>
      </w:r>
      <w:r w:rsidRPr="000A5EFA">
        <w:rPr>
          <w:i/>
          <w:lang w:val="en-US"/>
        </w:rPr>
        <w:t>h</w:t>
      </w:r>
      <w:r>
        <w:rPr>
          <w:lang w:val="en-US"/>
        </w:rPr>
        <w:t xml:space="preserve"> and the area of the solid-fluid interface per unit volume of porous material:</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7"/>
        <w:gridCol w:w="907"/>
      </w:tblGrid>
      <w:tr w:rsidR="006060A3" w14:paraId="7D09ECE8" w14:textId="77777777" w:rsidTr="0045084A">
        <w:trPr>
          <w:trHeight w:val="510"/>
          <w:jc w:val="center"/>
        </w:trPr>
        <w:tc>
          <w:tcPr>
            <w:tcW w:w="7937" w:type="dxa"/>
            <w:vAlign w:val="center"/>
          </w:tcPr>
          <w:p w14:paraId="7E829642" w14:textId="77777777" w:rsidR="006060A3" w:rsidRDefault="006A17F1" w:rsidP="0045084A">
            <w:pPr>
              <w:jc w:val="center"/>
              <w:rPr>
                <w:lang w:val="en-US"/>
              </w:rPr>
            </w:pPr>
            <m:oMathPara>
              <m:oMath>
                <m:sSub>
                  <m:sSubPr>
                    <m:ctrlPr>
                      <w:rPr>
                        <w:rFonts w:ascii="Cambria Math" w:hAnsi="Cambria Math"/>
                        <w:i/>
                        <w:lang w:val="en-US"/>
                      </w:rPr>
                    </m:ctrlPr>
                  </m:sSubPr>
                  <m:e>
                    <m:r>
                      <w:rPr>
                        <w:rFonts w:ascii="Cambria Math" w:hAnsi="Cambria Math"/>
                        <w:lang w:val="en-US"/>
                      </w:rPr>
                      <m:t>h</m:t>
                    </m:r>
                  </m:e>
                  <m:sub>
                    <m:r>
                      <w:rPr>
                        <w:rFonts w:ascii="Cambria Math" w:hAnsi="Cambria Math"/>
                        <w:lang w:val="en-US"/>
                      </w:rPr>
                      <m:t>v</m:t>
                    </m:r>
                  </m:sub>
                </m:sSub>
                <m:r>
                  <w:rPr>
                    <w:rFonts w:ascii="Cambria Math" w:hAnsi="Cambria Math"/>
                    <w:lang w:val="en-US"/>
                  </w:rPr>
                  <m:t>=h</m:t>
                </m:r>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sf</m:t>
                    </m:r>
                  </m:sub>
                </m:sSub>
              </m:oMath>
            </m:oMathPara>
          </w:p>
        </w:tc>
        <w:tc>
          <w:tcPr>
            <w:tcW w:w="907" w:type="dxa"/>
            <w:vAlign w:val="center"/>
          </w:tcPr>
          <w:p w14:paraId="72CB51B1" w14:textId="77777777" w:rsidR="006060A3" w:rsidRDefault="006060A3" w:rsidP="0045084A">
            <w:pPr>
              <w:ind w:firstLine="34"/>
              <w:jc w:val="center"/>
              <w:rPr>
                <w:lang w:val="en-US"/>
              </w:rPr>
            </w:pPr>
            <w:r>
              <w:rPr>
                <w:lang w:val="en-US"/>
              </w:rPr>
              <w:t>(12)</w:t>
            </w:r>
          </w:p>
        </w:tc>
      </w:tr>
    </w:tbl>
    <w:p w14:paraId="00D278FF" w14:textId="397D58E9" w:rsidR="006060A3" w:rsidRDefault="006060A3" w:rsidP="006060A3">
      <w:pPr>
        <w:spacing w:before="240"/>
        <w:rPr>
          <w:lang w:val="en-US"/>
        </w:rPr>
      </w:pPr>
      <w:r w:rsidRPr="004B4F48">
        <w:rPr>
          <w:noProof/>
          <w:lang w:val="en-US"/>
        </w:rPr>
        <w:t xml:space="preserve">Radiation heat transfer mode is present only in gaseous phase and is accounted for in the energy equation </w:t>
      </w:r>
      <w:r w:rsidRPr="004B4F48">
        <w:rPr>
          <w:noProof/>
          <w:highlight w:val="lightGray"/>
          <w:lang w:val="en-US"/>
        </w:rPr>
        <w:t>(3)</w:t>
      </w:r>
      <w:r w:rsidRPr="004B4F48">
        <w:rPr>
          <w:noProof/>
          <w:lang w:val="en-US"/>
        </w:rPr>
        <w:t xml:space="preserve"> by term </w:t>
      </w:r>
      <w:r w:rsidRPr="004B4F48">
        <w:rPr>
          <w:i/>
          <w:noProof/>
          <w:lang w:val="en-US"/>
        </w:rPr>
        <w:t>S</w:t>
      </w:r>
      <w:r w:rsidRPr="004B4F48">
        <w:rPr>
          <w:i/>
          <w:noProof/>
          <w:vertAlign w:val="subscript"/>
          <w:lang w:val="en-US"/>
        </w:rPr>
        <w:t>r</w:t>
      </w:r>
      <w:r w:rsidRPr="004B4F48">
        <w:rPr>
          <w:noProof/>
          <w:lang w:val="en-US"/>
        </w:rPr>
        <w:t xml:space="preserve">. However, the presence of the non-transparent to radiation medium (solid) is not taken into account in the radiation equation </w:t>
      </w:r>
      <w:r w:rsidRPr="004B4F48">
        <w:rPr>
          <w:noProof/>
          <w:highlight w:val="lightGray"/>
          <w:lang w:val="en-US"/>
        </w:rPr>
        <w:t>(6)</w:t>
      </w:r>
      <w:r w:rsidRPr="004B4F48">
        <w:rPr>
          <w:noProof/>
          <w:lang w:val="en-US"/>
        </w:rPr>
        <w:t xml:space="preserve"> and that is the reason for modifying the existing radiation model.</w:t>
      </w:r>
      <w:r>
        <w:rPr>
          <w:lang w:val="en-US"/>
        </w:rPr>
        <w:t xml:space="preserve"> The porous matrix is assumed to be a </w:t>
      </w:r>
      <w:r w:rsidRPr="004B4F48">
        <w:rPr>
          <w:noProof/>
          <w:lang w:val="en-US"/>
        </w:rPr>
        <w:t>grey</w:t>
      </w:r>
      <w:r>
        <w:rPr>
          <w:lang w:val="en-US"/>
        </w:rPr>
        <w:t xml:space="preserve"> absorber and emitter which scatters radiation </w:t>
      </w:r>
      <w:r w:rsidRPr="003A17BC">
        <w:rPr>
          <w:noProof/>
          <w:lang w:val="en-US"/>
        </w:rPr>
        <w:t>isotropica</w:t>
      </w:r>
      <w:r w:rsidR="003A17BC">
        <w:rPr>
          <w:noProof/>
          <w:lang w:val="en-US"/>
        </w:rPr>
        <w:t>l</w:t>
      </w:r>
      <w:r w:rsidRPr="003A17BC">
        <w:rPr>
          <w:noProof/>
          <w:lang w:val="en-US"/>
        </w:rPr>
        <w:t>ly</w:t>
      </w:r>
      <w:r>
        <w:rPr>
          <w:lang w:val="en-US"/>
        </w:rPr>
        <w:t xml:space="preserve">. The radiative transfer equation is solved using Discrete Ordinates </w:t>
      </w:r>
      <w:r w:rsidR="003A17BC">
        <w:rPr>
          <w:noProof/>
          <w:lang w:val="en-US"/>
        </w:rPr>
        <w:t>M</w:t>
      </w:r>
      <w:r w:rsidRPr="003A17BC">
        <w:rPr>
          <w:noProof/>
          <w:lang w:val="en-US"/>
        </w:rPr>
        <w:t>ethod</w:t>
      </w:r>
      <w:r>
        <w:rPr>
          <w:lang w:val="en-US"/>
        </w:rPr>
        <w:t xml:space="preserve">. The modification of the existing model </w:t>
      </w:r>
      <w:r w:rsidRPr="003A17BC">
        <w:rPr>
          <w:noProof/>
          <w:lang w:val="en-US"/>
        </w:rPr>
        <w:t>include</w:t>
      </w:r>
      <w:r w:rsidR="003A17BC">
        <w:rPr>
          <w:noProof/>
          <w:lang w:val="en-US"/>
        </w:rPr>
        <w:t>s</w:t>
      </w:r>
      <w:r>
        <w:rPr>
          <w:lang w:val="en-US"/>
        </w:rPr>
        <w:t xml:space="preserve"> the adjustment of the absorption and scattering coefficients in the volumes where the porous material is present. Radiative properties of the 10 PPI porous foam made of silicon carbide were taken from </w:t>
      </w:r>
      <w:r w:rsidR="0067025F">
        <w:rPr>
          <w:lang w:val="en-US"/>
        </w:rPr>
        <w:fldChar w:fldCharType="begin" w:fldLock="1"/>
      </w:r>
      <w:r w:rsidR="00844B4D">
        <w:rPr>
          <w:lang w:val="en-US"/>
        </w:rPr>
        <w:instrText>ADDIN CSL_CITATION { "citationItems" : [ { "id" : "ITEM-1", "itemData" : { "author" : [ { "dropping-particle" : "", "family" : "Hayashi", "given" : "T.C.", "non-dropping-particle" : "", "parse-names" : false, "suffix" : "" } ], "id" : "ITEM-1", "issued" : { "date-parts" : [ [ "2005" ] ] }, "title" : "Multidimensional modeling and calculation of combustion In porous media", "type" : "thesis" }, "uris" : [ "http://www.mendeley.com/documents/?uuid=40e3fd34-b984-41f8-8c84-2cb6dffd656d" ] } ], "mendeley" : { "formattedCitation" : "[30]", "plainTextFormattedCitation" : "[30]", "previouslyFormattedCitation" : "[30]" }, "properties" : { "noteIndex" : 0 }, "schema" : "https://github.com/citation-style-language/schema/raw/master/csl-citation.json" }</w:instrText>
      </w:r>
      <w:r w:rsidR="0067025F">
        <w:rPr>
          <w:lang w:val="en-US"/>
        </w:rPr>
        <w:fldChar w:fldCharType="separate"/>
      </w:r>
      <w:r w:rsidR="009829B8" w:rsidRPr="009829B8">
        <w:rPr>
          <w:noProof/>
          <w:lang w:val="en-US"/>
        </w:rPr>
        <w:t>[30]</w:t>
      </w:r>
      <w:r w:rsidR="0067025F">
        <w:rPr>
          <w:lang w:val="en-US"/>
        </w:rPr>
        <w:fldChar w:fldCharType="end"/>
      </w:r>
      <w:r>
        <w:rPr>
          <w:lang w:val="en-US"/>
        </w:rPr>
        <w:t xml:space="preserve"> and </w:t>
      </w:r>
      <w:r w:rsidRPr="00680ECD">
        <w:rPr>
          <w:noProof/>
          <w:lang w:val="en-US"/>
        </w:rPr>
        <w:t>are summarized</w:t>
      </w:r>
      <w:r>
        <w:rPr>
          <w:lang w:val="en-US"/>
        </w:rPr>
        <w:t xml:space="preserve"> in </w:t>
      </w:r>
      <w:r w:rsidR="001564E2">
        <w:rPr>
          <w:lang w:val="en-US"/>
        </w:rPr>
        <w:t>Table A2</w:t>
      </w:r>
      <w:r>
        <w:rPr>
          <w:lang w:val="en-US"/>
        </w:rPr>
        <w:t>.</w:t>
      </w:r>
    </w:p>
    <w:p w14:paraId="18FC7D0B" w14:textId="7FCAAD23" w:rsidR="006060A3" w:rsidRPr="00E662AE" w:rsidRDefault="001564E2" w:rsidP="006060A3">
      <w:pPr>
        <w:spacing w:after="0"/>
        <w:jc w:val="center"/>
        <w:rPr>
          <w:i/>
          <w:lang w:val="en-US"/>
        </w:rPr>
      </w:pPr>
      <w:r>
        <w:rPr>
          <w:i/>
          <w:lang w:val="en-US"/>
        </w:rPr>
        <w:t>Table A2</w:t>
      </w:r>
      <w:r w:rsidR="006060A3" w:rsidRPr="004718AB">
        <w:rPr>
          <w:i/>
          <w:lang w:val="en-US"/>
        </w:rPr>
        <w:t xml:space="preserve">. </w:t>
      </w:r>
      <w:r w:rsidR="006060A3" w:rsidRPr="00680ECD">
        <w:rPr>
          <w:i/>
          <w:noProof/>
          <w:lang w:val="en-US"/>
        </w:rPr>
        <w:t>Radiative properties</w:t>
      </w:r>
      <w:r w:rsidR="006060A3" w:rsidRPr="00E662AE">
        <w:rPr>
          <w:i/>
          <w:lang w:val="en-US"/>
        </w:rPr>
        <w:t xml:space="preserve"> of the silicon carbide porous material.</w:t>
      </w:r>
    </w:p>
    <w:tbl>
      <w:tblPr>
        <w:tblStyle w:val="ListTable3-Accent11"/>
        <w:tblW w:w="0" w:type="auto"/>
        <w:jc w:val="center"/>
        <w:tblLook w:val="04A0" w:firstRow="1" w:lastRow="0" w:firstColumn="1" w:lastColumn="0" w:noHBand="0" w:noVBand="1"/>
      </w:tblPr>
      <w:tblGrid>
        <w:gridCol w:w="961"/>
        <w:gridCol w:w="907"/>
        <w:gridCol w:w="907"/>
        <w:gridCol w:w="907"/>
      </w:tblGrid>
      <w:tr w:rsidR="006060A3" w:rsidRPr="0045084A" w14:paraId="1D42C280" w14:textId="77777777" w:rsidTr="006060A3">
        <w:trPr>
          <w:cnfStyle w:val="100000000000" w:firstRow="1" w:lastRow="0" w:firstColumn="0" w:lastColumn="0" w:oddVBand="0" w:evenVBand="0" w:oddHBand="0" w:evenHBand="0" w:firstRowFirstColumn="0" w:firstRowLastColumn="0" w:lastRowFirstColumn="0" w:lastRowLastColumn="0"/>
          <w:trHeight w:val="397"/>
          <w:jc w:val="center"/>
        </w:trPr>
        <w:tc>
          <w:tcPr>
            <w:cnfStyle w:val="001000000100" w:firstRow="0" w:lastRow="0" w:firstColumn="1" w:lastColumn="0" w:oddVBand="0" w:evenVBand="0" w:oddHBand="0" w:evenHBand="0" w:firstRowFirstColumn="1" w:firstRowLastColumn="0" w:lastRowFirstColumn="0" w:lastRowLastColumn="0"/>
            <w:tcW w:w="907" w:type="dxa"/>
            <w:noWrap/>
            <w:vAlign w:val="center"/>
            <w:hideMark/>
          </w:tcPr>
          <w:p w14:paraId="2955BF24" w14:textId="77777777" w:rsidR="006060A3" w:rsidRPr="0045084A" w:rsidRDefault="006060A3" w:rsidP="006060A3">
            <w:pPr>
              <w:spacing w:line="240" w:lineRule="auto"/>
              <w:ind w:firstLine="0"/>
              <w:jc w:val="center"/>
              <w:rPr>
                <w:rFonts w:cs="Times New Roman"/>
                <w:sz w:val="20"/>
              </w:rPr>
            </w:pPr>
            <w:r w:rsidRPr="0045084A">
              <w:rPr>
                <w:rFonts w:cs="Times New Roman"/>
                <w:sz w:val="20"/>
              </w:rPr>
              <w:t>Material</w:t>
            </w:r>
          </w:p>
        </w:tc>
        <w:tc>
          <w:tcPr>
            <w:tcW w:w="907" w:type="dxa"/>
            <w:vAlign w:val="center"/>
          </w:tcPr>
          <w:p w14:paraId="59928362" w14:textId="77777777" w:rsidR="006060A3" w:rsidRPr="0045084A" w:rsidRDefault="006060A3" w:rsidP="006060A3">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cs="Times New Roman"/>
                <w:sz w:val="20"/>
              </w:rPr>
            </w:pPr>
            <w:r w:rsidRPr="0045084A">
              <w:rPr>
                <w:rFonts w:cs="Times New Roman"/>
                <w:sz w:val="20"/>
              </w:rPr>
              <w:t>ε, %</w:t>
            </w:r>
          </w:p>
        </w:tc>
        <w:tc>
          <w:tcPr>
            <w:tcW w:w="907" w:type="dxa"/>
            <w:noWrap/>
            <w:vAlign w:val="center"/>
            <w:hideMark/>
          </w:tcPr>
          <w:p w14:paraId="64C72ABE" w14:textId="77777777" w:rsidR="006060A3" w:rsidRPr="0045084A" w:rsidRDefault="006060A3" w:rsidP="006060A3">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cs="Times New Roman"/>
                <w:sz w:val="20"/>
              </w:rPr>
            </w:pPr>
            <w:proofErr w:type="spellStart"/>
            <w:r w:rsidRPr="0045084A">
              <w:rPr>
                <w:rFonts w:cs="Times New Roman"/>
                <w:sz w:val="20"/>
              </w:rPr>
              <w:t>σ</w:t>
            </w:r>
            <w:r w:rsidRPr="0045084A">
              <w:rPr>
                <w:rFonts w:cs="Times New Roman"/>
                <w:sz w:val="20"/>
                <w:vertAlign w:val="subscript"/>
              </w:rPr>
              <w:t>s</w:t>
            </w:r>
            <w:proofErr w:type="spellEnd"/>
            <w:r w:rsidRPr="0045084A">
              <w:rPr>
                <w:rFonts w:cs="Times New Roman"/>
                <w:sz w:val="20"/>
              </w:rPr>
              <w:t>, 1/m</w:t>
            </w:r>
          </w:p>
        </w:tc>
        <w:tc>
          <w:tcPr>
            <w:tcW w:w="907" w:type="dxa"/>
            <w:vAlign w:val="center"/>
          </w:tcPr>
          <w:p w14:paraId="47BF9EFA" w14:textId="77777777" w:rsidR="006060A3" w:rsidRPr="0045084A" w:rsidRDefault="006060A3" w:rsidP="006060A3">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cs="Times New Roman"/>
                <w:sz w:val="20"/>
              </w:rPr>
            </w:pPr>
            <w:r w:rsidRPr="0045084A">
              <w:rPr>
                <w:rFonts w:ascii="Cambria Math" w:hAnsi="Cambria Math" w:cs="Cambria Math"/>
                <w:sz w:val="20"/>
              </w:rPr>
              <w:t>𝜅</w:t>
            </w:r>
            <w:r w:rsidRPr="0045084A">
              <w:rPr>
                <w:rFonts w:cs="Times New Roman"/>
                <w:sz w:val="20"/>
              </w:rPr>
              <w:t>, 1/m</w:t>
            </w:r>
          </w:p>
        </w:tc>
      </w:tr>
      <w:tr w:rsidR="006060A3" w:rsidRPr="0045084A" w14:paraId="313E76AE" w14:textId="77777777" w:rsidTr="006060A3">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907" w:type="dxa"/>
            <w:noWrap/>
            <w:vAlign w:val="center"/>
          </w:tcPr>
          <w:p w14:paraId="252C6EA3" w14:textId="77777777" w:rsidR="006060A3" w:rsidRPr="0045084A" w:rsidRDefault="006060A3" w:rsidP="006060A3">
            <w:pPr>
              <w:spacing w:line="240" w:lineRule="auto"/>
              <w:ind w:firstLine="0"/>
              <w:jc w:val="center"/>
              <w:rPr>
                <w:rFonts w:cs="Times New Roman"/>
                <w:b w:val="0"/>
                <w:bCs w:val="0"/>
                <w:sz w:val="20"/>
                <w:lang w:val="en-US"/>
              </w:rPr>
            </w:pPr>
            <w:proofErr w:type="spellStart"/>
            <w:r w:rsidRPr="0045084A">
              <w:rPr>
                <w:rFonts w:cs="Times New Roman"/>
                <w:b w:val="0"/>
                <w:bCs w:val="0"/>
                <w:sz w:val="20"/>
                <w:lang w:val="en-US"/>
              </w:rPr>
              <w:t>SiC</w:t>
            </w:r>
            <w:proofErr w:type="spellEnd"/>
          </w:p>
        </w:tc>
        <w:tc>
          <w:tcPr>
            <w:tcW w:w="907" w:type="dxa"/>
            <w:vAlign w:val="center"/>
          </w:tcPr>
          <w:p w14:paraId="349D174B" w14:textId="77777777" w:rsidR="006060A3" w:rsidRPr="0045084A" w:rsidRDefault="006060A3" w:rsidP="006060A3">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20"/>
              </w:rPr>
            </w:pPr>
            <w:r w:rsidRPr="0045084A">
              <w:rPr>
                <w:color w:val="000000"/>
                <w:sz w:val="20"/>
              </w:rPr>
              <w:t>87,0</w:t>
            </w:r>
          </w:p>
        </w:tc>
        <w:tc>
          <w:tcPr>
            <w:tcW w:w="907" w:type="dxa"/>
            <w:noWrap/>
            <w:vAlign w:val="center"/>
          </w:tcPr>
          <w:p w14:paraId="099354F1" w14:textId="77777777" w:rsidR="006060A3" w:rsidRPr="0045084A" w:rsidRDefault="006060A3" w:rsidP="006060A3">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20"/>
              </w:rPr>
            </w:pPr>
            <w:r w:rsidRPr="0045084A">
              <w:rPr>
                <w:color w:val="000000"/>
                <w:sz w:val="20"/>
              </w:rPr>
              <w:t>66</w:t>
            </w:r>
          </w:p>
        </w:tc>
        <w:tc>
          <w:tcPr>
            <w:tcW w:w="907" w:type="dxa"/>
            <w:vAlign w:val="center"/>
          </w:tcPr>
          <w:p w14:paraId="742E59F8" w14:textId="77777777" w:rsidR="006060A3" w:rsidRPr="0045084A" w:rsidRDefault="006060A3" w:rsidP="006060A3">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20"/>
              </w:rPr>
            </w:pPr>
            <w:r w:rsidRPr="0045084A">
              <w:rPr>
                <w:color w:val="000000"/>
                <w:sz w:val="20"/>
              </w:rPr>
              <w:t>28</w:t>
            </w:r>
          </w:p>
        </w:tc>
      </w:tr>
    </w:tbl>
    <w:p w14:paraId="164C0C4D" w14:textId="77777777" w:rsidR="0045084A" w:rsidRDefault="0045084A" w:rsidP="006060A3">
      <w:pPr>
        <w:rPr>
          <w:lang w:val="en-US"/>
        </w:rPr>
      </w:pPr>
    </w:p>
    <w:p w14:paraId="0FF40A1F" w14:textId="2C500E94" w:rsidR="006060A3" w:rsidRPr="00977AB3" w:rsidRDefault="006060A3" w:rsidP="006060A3">
      <w:pPr>
        <w:rPr>
          <w:lang w:val="en-US"/>
        </w:rPr>
      </w:pPr>
      <w:r>
        <w:rPr>
          <w:lang w:val="en-US"/>
        </w:rPr>
        <w:t xml:space="preserve">In summary, enhanced heat transfer in porous foam was accounted for in simulations by setting appropriate heat conduction coefficients for </w:t>
      </w:r>
      <w:r w:rsidRPr="004B4F48">
        <w:rPr>
          <w:noProof/>
          <w:lang w:val="en-US"/>
        </w:rPr>
        <w:t>solid</w:t>
      </w:r>
      <w:r>
        <w:rPr>
          <w:lang w:val="en-US"/>
        </w:rPr>
        <w:t xml:space="preserve"> and gaseous phase and by modifying radiation mode of heat transfer.</w:t>
      </w:r>
    </w:p>
    <w:p w14:paraId="203510C5" w14:textId="0A766E6E" w:rsidR="006060A3" w:rsidRPr="00A366AC" w:rsidRDefault="006060A3" w:rsidP="006060A3">
      <w:pPr>
        <w:rPr>
          <w:lang w:val="en-US"/>
        </w:rPr>
      </w:pPr>
      <w:r>
        <w:rPr>
          <w:lang w:val="en-US"/>
        </w:rPr>
        <w:t xml:space="preserve">Due to the presence of porous </w:t>
      </w:r>
      <w:r w:rsidRPr="00A366AC">
        <w:rPr>
          <w:lang w:val="en-US"/>
        </w:rPr>
        <w:t>material in the flow stream</w:t>
      </w:r>
      <w:r>
        <w:rPr>
          <w:lang w:val="en-US"/>
        </w:rPr>
        <w:t>,</w:t>
      </w:r>
      <w:r w:rsidRPr="00A366AC">
        <w:rPr>
          <w:lang w:val="en-US"/>
        </w:rPr>
        <w:t xml:space="preserve"> the dispersion of scalar quantities, such as heat and mass, enhances. The mass transfer </w:t>
      </w:r>
      <w:r w:rsidRPr="004B4F48">
        <w:rPr>
          <w:noProof/>
          <w:lang w:val="en-US"/>
        </w:rPr>
        <w:t>is increased</w:t>
      </w:r>
      <w:r w:rsidRPr="00A366AC">
        <w:rPr>
          <w:lang w:val="en-US"/>
        </w:rPr>
        <w:t xml:space="preserve"> because of the hydrodynamic mixing of the interstitial fluid at the pore scale in addition to molecular diffusion. In</w:t>
      </w:r>
      <w:r w:rsidR="004B4F48">
        <w:rPr>
          <w:lang w:val="en-US"/>
        </w:rPr>
        <w:t xml:space="preserve"> the</w:t>
      </w:r>
      <w:r w:rsidRPr="00A366AC">
        <w:rPr>
          <w:lang w:val="en-US"/>
        </w:rPr>
        <w:t xml:space="preserve"> </w:t>
      </w:r>
      <w:r w:rsidRPr="004B4F48">
        <w:rPr>
          <w:noProof/>
          <w:lang w:val="en-US"/>
        </w:rPr>
        <w:t>case</w:t>
      </w:r>
      <w:r w:rsidRPr="00A366AC">
        <w:rPr>
          <w:lang w:val="en-US"/>
        </w:rPr>
        <w:t xml:space="preserve"> of heat transfer, the presence of well conducting solid part of the porous foam, higher interstitial gas flow </w:t>
      </w:r>
      <w:r w:rsidRPr="004B4F48">
        <w:rPr>
          <w:noProof/>
          <w:lang w:val="en-US"/>
        </w:rPr>
        <w:t>velocities</w:t>
      </w:r>
      <w:r w:rsidR="004B4F48">
        <w:rPr>
          <w:noProof/>
          <w:lang w:val="en-US"/>
        </w:rPr>
        <w:t>,</w:t>
      </w:r>
      <w:r w:rsidRPr="00A366AC">
        <w:rPr>
          <w:lang w:val="en-US"/>
        </w:rPr>
        <w:t xml:space="preserve"> and intensive hydrodynamic mixing is responsible for the increased heat dispersion</w:t>
      </w:r>
      <w:r w:rsidR="0067025F">
        <w:rPr>
          <w:lang w:val="en-US"/>
        </w:rPr>
        <w:t xml:space="preserve"> </w:t>
      </w:r>
      <w:r w:rsidR="0067025F">
        <w:rPr>
          <w:lang w:val="en-US"/>
        </w:rPr>
        <w:fldChar w:fldCharType="begin" w:fldLock="1"/>
      </w:r>
      <w:r w:rsidR="00844B4D">
        <w:rPr>
          <w:lang w:val="en-US"/>
        </w:rPr>
        <w:instrText>ADDIN CSL_CITATION { "citationItems" : [ { "id" : "ITEM-1", "itemData" : { "author" : [ { "dropping-particle" : "", "family" : "Hayashi", "given" : "T.C.", "non-dropping-particle" : "", "parse-names" : false, "suffix" : "" } ], "id" : "ITEM-1", "issued" : { "date-parts" : [ [ "2005" ] ] }, "title" : "Multidimensional modeling and calculation of combustion In porous media", "type" : "thesis" }, "uris" : [ "http://www.mendeley.com/documents/?uuid=40e3fd34-b984-41f8-8c84-2cb6dffd656d" ] } ], "mendeley" : { "formattedCitation" : "[30]", "plainTextFormattedCitation" : "[30]", "previouslyFormattedCitation" : "[30]" }, "properties" : { "noteIndex" : 0 }, "schema" : "https://github.com/citation-style-language/schema/raw/master/csl-citation.json" }</w:instrText>
      </w:r>
      <w:r w:rsidR="0067025F">
        <w:rPr>
          <w:lang w:val="en-US"/>
        </w:rPr>
        <w:fldChar w:fldCharType="separate"/>
      </w:r>
      <w:r w:rsidR="009829B8" w:rsidRPr="009829B8">
        <w:rPr>
          <w:noProof/>
          <w:lang w:val="en-US"/>
        </w:rPr>
        <w:t>[30]</w:t>
      </w:r>
      <w:r w:rsidR="0067025F">
        <w:rPr>
          <w:lang w:val="en-US"/>
        </w:rPr>
        <w:fldChar w:fldCharType="end"/>
      </w:r>
      <w:r w:rsidR="0067025F">
        <w:rPr>
          <w:lang w:val="en-US"/>
        </w:rPr>
        <w:t>.</w:t>
      </w:r>
    </w:p>
    <w:p w14:paraId="2ED11050" w14:textId="37D9A0CB" w:rsidR="006060A3" w:rsidRPr="00A366AC" w:rsidRDefault="006060A3" w:rsidP="006060A3">
      <w:pPr>
        <w:rPr>
          <w:lang w:val="en-US"/>
        </w:rPr>
      </w:pPr>
      <w:r w:rsidRPr="00A366AC">
        <w:rPr>
          <w:lang w:val="en-US"/>
        </w:rPr>
        <w:t>The model of enhanced mass dispersion was developed based on the results of an experiment found in the literature</w:t>
      </w:r>
      <w:r w:rsidR="0067025F">
        <w:rPr>
          <w:lang w:val="en-US"/>
        </w:rPr>
        <w:t xml:space="preserve"> </w:t>
      </w:r>
      <w:r w:rsidR="0067025F">
        <w:rPr>
          <w:lang w:val="en-US"/>
        </w:rPr>
        <w:fldChar w:fldCharType="begin" w:fldLock="1"/>
      </w:r>
      <w:r w:rsidR="00844B4D">
        <w:rPr>
          <w:lang w:val="en-US"/>
        </w:rPr>
        <w:instrText>ADDIN CSL_CITATION { "citationItems" : [ { "id" : "ITEM-1", "itemData" : { "DOI" : "10.1016/j.ijheatmasstransfer.2004.08.001", "ISSN" : "00179310", "author" : [ { "dropping-particle" : "", "family" : "Pereira", "given" : "J.C.F.", "non-dropping-particle" : "", "parse-names" : false, "suffix" : "" }, { "dropping-particle" : "", "family" : "Malico", "given" : "I.", "non-dropping-particle" : "", "parse-names" : false, "suffix" : "" }, { "dropping-particle" : "", "family" : "Hayashi", "given" : "T.C.", "non-dropping-particle" : "", "parse-names" : false, "suffix" : "" }, { "dropping-particle" : "", "family" : "Raposo", "given" : "J.", "non-dropping-particle" : "", "parse-names" : false, "suffix" : "" } ], "container-title" : "International Journal of Heat and Mass Transfer", "id" : "ITEM-1", "issue" : "1", "issued" : { "date-parts" : [ [ "2005", "1" ] ] }, "page" : "1-14", "title" : "Experimental and numerical characterization of the transverse dispersion at the exit of a short ceramic foam inside a pipe", "type" : "article-journal", "volume" : "48" }, "uris" : [ "http://www.mendeley.com/documents/?uuid=ca570816-d501-3ce7-a36a-3bd68b778218" ] } ], "mendeley" : { "formattedCitation" : "[31]", "plainTextFormattedCitation" : "[31]", "previouslyFormattedCitation" : "[31]" }, "properties" : { "noteIndex" : 0 }, "schema" : "https://github.com/citation-style-language/schema/raw/master/csl-citation.json" }</w:instrText>
      </w:r>
      <w:r w:rsidR="0067025F">
        <w:rPr>
          <w:lang w:val="en-US"/>
        </w:rPr>
        <w:fldChar w:fldCharType="separate"/>
      </w:r>
      <w:r w:rsidR="009829B8" w:rsidRPr="009829B8">
        <w:rPr>
          <w:noProof/>
          <w:lang w:val="en-US"/>
        </w:rPr>
        <w:t>[31]</w:t>
      </w:r>
      <w:r w:rsidR="0067025F">
        <w:rPr>
          <w:lang w:val="en-US"/>
        </w:rPr>
        <w:fldChar w:fldCharType="end"/>
      </w:r>
      <w:r w:rsidR="0045084A">
        <w:rPr>
          <w:lang w:val="en-US"/>
        </w:rPr>
        <w:t xml:space="preserve">. </w:t>
      </w:r>
      <w:r w:rsidRPr="00A366AC">
        <w:rPr>
          <w:lang w:val="en-US"/>
        </w:rPr>
        <w:t xml:space="preserve">In </w:t>
      </w:r>
      <w:r>
        <w:rPr>
          <w:lang w:val="en-US"/>
        </w:rPr>
        <w:t xml:space="preserve">the experiment by </w:t>
      </w:r>
      <w:r w:rsidRPr="00A366AC">
        <w:rPr>
          <w:lang w:val="en-US"/>
        </w:rPr>
        <w:t xml:space="preserve">Pereira </w:t>
      </w:r>
      <w:r>
        <w:rPr>
          <w:lang w:val="en-US"/>
        </w:rPr>
        <w:t>and co-authors</w:t>
      </w:r>
      <w:r w:rsidRPr="00A366AC">
        <w:rPr>
          <w:lang w:val="en-US"/>
        </w:rPr>
        <w:t xml:space="preserve">, a tracer </w:t>
      </w:r>
      <w:r w:rsidRPr="004B4F48">
        <w:rPr>
          <w:noProof/>
          <w:lang w:val="en-US"/>
        </w:rPr>
        <w:t>was installed</w:t>
      </w:r>
      <w:r w:rsidRPr="00A366AC">
        <w:rPr>
          <w:lang w:val="en-US"/>
        </w:rPr>
        <w:t xml:space="preserve"> inside the stabilized air flow within a tube</w:t>
      </w:r>
      <w:r w:rsidR="0045084A">
        <w:rPr>
          <w:lang w:val="en-US"/>
        </w:rPr>
        <w:t xml:space="preserve">. </w:t>
      </w:r>
      <w:r w:rsidRPr="00A366AC">
        <w:rPr>
          <w:lang w:val="en-US"/>
        </w:rPr>
        <w:t xml:space="preserve">After passing through the 10 PPI porous foam sample </w:t>
      </w:r>
      <w:r w:rsidRPr="004B4F48">
        <w:rPr>
          <w:noProof/>
          <w:lang w:val="en-US"/>
        </w:rPr>
        <w:t>element</w:t>
      </w:r>
      <w:r w:rsidR="004B4F48">
        <w:rPr>
          <w:noProof/>
          <w:lang w:val="en-US"/>
        </w:rPr>
        <w:t>,</w:t>
      </w:r>
      <w:r w:rsidRPr="00A366AC">
        <w:rPr>
          <w:lang w:val="en-US"/>
        </w:rPr>
        <w:t xml:space="preserve"> the smoke from the tracer was </w:t>
      </w:r>
      <w:r w:rsidRPr="004B4F48">
        <w:rPr>
          <w:noProof/>
          <w:lang w:val="en-US"/>
        </w:rPr>
        <w:t>dispersed</w:t>
      </w:r>
      <w:r w:rsidR="004B4F48">
        <w:rPr>
          <w:noProof/>
          <w:lang w:val="en-US"/>
        </w:rPr>
        <w:t>,</w:t>
      </w:r>
      <w:r w:rsidRPr="00A366AC">
        <w:rPr>
          <w:lang w:val="en-US"/>
        </w:rPr>
        <w:t xml:space="preserve"> and its image </w:t>
      </w:r>
      <w:r w:rsidRPr="004B4F48">
        <w:rPr>
          <w:noProof/>
          <w:lang w:val="en-US"/>
        </w:rPr>
        <w:t>was taken</w:t>
      </w:r>
      <w:r w:rsidRPr="00A366AC">
        <w:rPr>
          <w:lang w:val="en-US"/>
        </w:rPr>
        <w:t xml:space="preserve">. </w:t>
      </w:r>
      <w:r w:rsidRPr="004B4F48">
        <w:rPr>
          <w:noProof/>
          <w:lang w:val="en-US"/>
        </w:rPr>
        <w:t>Analyzing the digital image</w:t>
      </w:r>
      <w:r w:rsidR="004B4F48" w:rsidRPr="004B4F48">
        <w:rPr>
          <w:noProof/>
          <w:lang w:val="en-US"/>
        </w:rPr>
        <w:t>,</w:t>
      </w:r>
      <w:r w:rsidRPr="004B4F48">
        <w:rPr>
          <w:noProof/>
          <w:lang w:val="en-US"/>
        </w:rPr>
        <w:t xml:space="preserve"> it was possible to find the smoke intensity and, therefore, deduce its dispersion.</w:t>
      </w:r>
      <w:r w:rsidRPr="00A366AC">
        <w:rPr>
          <w:lang w:val="en-US"/>
        </w:rPr>
        <w:t xml:space="preserve"> In </w:t>
      </w:r>
      <w:r w:rsidRPr="004B4F48">
        <w:rPr>
          <w:noProof/>
          <w:lang w:val="en-US"/>
        </w:rPr>
        <w:t>general</w:t>
      </w:r>
      <w:r w:rsidR="004B4F48">
        <w:rPr>
          <w:noProof/>
          <w:lang w:val="en-US"/>
        </w:rPr>
        <w:t>,</w:t>
      </w:r>
      <w:r w:rsidRPr="00A366AC">
        <w:rPr>
          <w:lang w:val="en-US"/>
        </w:rPr>
        <w:t xml:space="preserve"> the scalar dispersion can be broken down into two components - transverse </w:t>
      </w:r>
      <w:r w:rsidRPr="00A366AC">
        <w:rPr>
          <w:i/>
          <w:lang w:val="en-US"/>
        </w:rPr>
        <w:t>D</w:t>
      </w:r>
      <w:r w:rsidRPr="00A366AC">
        <w:rPr>
          <w:i/>
          <w:vertAlign w:val="subscript"/>
          <w:lang w:val="en-US"/>
        </w:rPr>
        <w:t>T</w:t>
      </w:r>
      <w:r w:rsidRPr="00A366AC">
        <w:rPr>
          <w:lang w:val="en-US"/>
        </w:rPr>
        <w:t xml:space="preserve">, and longitudinal </w:t>
      </w:r>
      <w:r w:rsidRPr="00A366AC">
        <w:rPr>
          <w:i/>
          <w:lang w:val="en-US"/>
        </w:rPr>
        <w:t>D</w:t>
      </w:r>
      <w:r w:rsidRPr="00A366AC">
        <w:rPr>
          <w:i/>
          <w:vertAlign w:val="subscript"/>
          <w:lang w:val="en-US"/>
        </w:rPr>
        <w:t>L</w:t>
      </w:r>
      <w:r w:rsidRPr="00A366AC">
        <w:rPr>
          <w:lang w:val="en-US"/>
        </w:rPr>
        <w:t>. According to Pereira</w:t>
      </w:r>
      <w:r>
        <w:rPr>
          <w:lang w:val="en-US"/>
        </w:rPr>
        <w:t xml:space="preserve"> et al.</w:t>
      </w:r>
      <w:r w:rsidRPr="00A366AC">
        <w:rPr>
          <w:lang w:val="en-US"/>
        </w:rPr>
        <w:t xml:space="preserve">, for pore Reynolds number in the range of 10 &lt; </w:t>
      </w:r>
      <w:r w:rsidRPr="00A366AC">
        <w:rPr>
          <w:i/>
          <w:lang w:val="en-US"/>
        </w:rPr>
        <w:t>Re</w:t>
      </w:r>
      <w:r w:rsidRPr="00A366AC">
        <w:rPr>
          <w:i/>
          <w:vertAlign w:val="subscript"/>
          <w:lang w:val="en-US"/>
        </w:rPr>
        <w:t>d</w:t>
      </w:r>
      <w:r w:rsidRPr="00A366AC">
        <w:rPr>
          <w:lang w:val="en-US"/>
        </w:rPr>
        <w:t xml:space="preserve"> &lt; 100, and high </w:t>
      </w:r>
      <w:proofErr w:type="spellStart"/>
      <w:r w:rsidRPr="00A366AC">
        <w:rPr>
          <w:i/>
          <w:lang w:val="en-US"/>
        </w:rPr>
        <w:t>Pe</w:t>
      </w:r>
      <w:proofErr w:type="spellEnd"/>
      <w:r w:rsidRPr="00A366AC">
        <w:rPr>
          <w:lang w:val="en-US"/>
        </w:rPr>
        <w:t xml:space="preserve"> numbers </w:t>
      </w:r>
      <w:proofErr w:type="spellStart"/>
      <w:r w:rsidRPr="00A366AC">
        <w:rPr>
          <w:i/>
          <w:lang w:val="en-US"/>
        </w:rPr>
        <w:t>Pe</w:t>
      </w:r>
      <w:proofErr w:type="spellEnd"/>
      <w:r w:rsidRPr="00A366AC">
        <w:rPr>
          <w:lang w:val="en-US"/>
        </w:rPr>
        <w:t xml:space="preserve"> &gt;&gt; </w:t>
      </w:r>
      <w:r w:rsidRPr="00680ECD">
        <w:rPr>
          <w:noProof/>
          <w:lang w:val="en-US"/>
        </w:rPr>
        <w:t>1</w:t>
      </w:r>
      <w:r w:rsidRPr="00A366AC">
        <w:rPr>
          <w:lang w:val="en-US"/>
        </w:rPr>
        <w:t xml:space="preserve"> the components of the dispersion tensor are expressed by Koch and Brady </w:t>
      </w:r>
      <w:r w:rsidR="00BA67BE">
        <w:rPr>
          <w:lang w:val="en-US"/>
        </w:rPr>
        <w:fldChar w:fldCharType="begin" w:fldLock="1"/>
      </w:r>
      <w:r w:rsidR="00844B4D">
        <w:rPr>
          <w:lang w:val="en-US"/>
        </w:rPr>
        <w:instrText>ADDIN CSL_CITATION { "citationItems" : [ { "id" : "ITEM-1", "itemData" : { "DOI" : "10.1017/S0022112085001598", "ISSN" : "0022-1120", "author" : [ { "dropping-particle" : "", "family" : "Koch", "given" : "Donald L.", "non-dropping-particle" : "", "parse-names" : false, "suffix" : "" }, { "dropping-particle" : "", "family" : "Brady", "given" : "John F.", "non-dropping-particle" : "", "parse-names" : false, "suffix" : "" } ], "container-title" : "Journal of Fluid Mechanics", "id" : "ITEM-1", "issue" : "-1", "issued" : { "date-parts" : [ [ "1985", "5", "20" ] ] }, "page" : "399", "publisher" : "Cambridge University Press", "title" : "Dispersion in fixed beds", "type" : "article-journal", "volume" : "154" }, "uris" : [ "http://www.mendeley.com/documents/?uuid=469f0095-3945-3b8f-9dc6-213c786fbf2c" ] } ], "mendeley" : { "formattedCitation" : "[32]", "plainTextFormattedCitation" : "[32]", "previouslyFormattedCitation" : "[32]" }, "properties" : { "noteIndex" : 0 }, "schema" : "https://github.com/citation-style-language/schema/raw/master/csl-citation.json" }</w:instrText>
      </w:r>
      <w:r w:rsidR="00BA67BE">
        <w:rPr>
          <w:lang w:val="en-US"/>
        </w:rPr>
        <w:fldChar w:fldCharType="separate"/>
      </w:r>
      <w:r w:rsidR="009829B8" w:rsidRPr="009829B8">
        <w:rPr>
          <w:noProof/>
          <w:lang w:val="en-US"/>
        </w:rPr>
        <w:t>[32]</w:t>
      </w:r>
      <w:r w:rsidR="00BA67BE">
        <w:rPr>
          <w:lang w:val="en-US"/>
        </w:rPr>
        <w:fldChar w:fldCharType="end"/>
      </w:r>
      <w:r w:rsidRPr="00A366AC">
        <w:rPr>
          <w:lang w:val="en-US"/>
        </w:rPr>
        <w:t xml:space="preserve"> formulas, using pore diameter as a characteristic length for </w:t>
      </w:r>
      <w:proofErr w:type="spellStart"/>
      <w:r w:rsidRPr="00A366AC">
        <w:rPr>
          <w:i/>
          <w:lang w:val="en-US"/>
        </w:rPr>
        <w:t>Pe</w:t>
      </w:r>
      <w:proofErr w:type="spellEnd"/>
      <w:r w:rsidRPr="00A366AC">
        <w:rPr>
          <w:lang w:val="en-US"/>
        </w:rPr>
        <w:t xml:space="preserve"> and </w:t>
      </w:r>
      <w:r w:rsidRPr="00A366AC">
        <w:rPr>
          <w:i/>
          <w:lang w:val="en-US"/>
        </w:rPr>
        <w:t>Re</w:t>
      </w:r>
      <w:r w:rsidRPr="00A366AC">
        <w:rPr>
          <w:lang w:val="en-US"/>
        </w:rPr>
        <w:t xml:space="preserve"> numbers:</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7"/>
        <w:gridCol w:w="907"/>
      </w:tblGrid>
      <w:tr w:rsidR="006060A3" w:rsidRPr="00A366AC" w14:paraId="474E647C" w14:textId="77777777" w:rsidTr="0045084A">
        <w:trPr>
          <w:trHeight w:val="680"/>
          <w:jc w:val="center"/>
        </w:trPr>
        <w:tc>
          <w:tcPr>
            <w:tcW w:w="7937" w:type="dxa"/>
            <w:vAlign w:val="center"/>
          </w:tcPr>
          <w:p w14:paraId="256B9020" w14:textId="77777777" w:rsidR="006060A3" w:rsidRPr="00A366AC" w:rsidRDefault="006A17F1" w:rsidP="0045084A">
            <w:pPr>
              <w:jc w:val="center"/>
              <w:rPr>
                <w:lang w:val="en-US"/>
              </w:rPr>
            </w:pPr>
            <m:oMathPara>
              <m:oMath>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D</m:t>
                        </m:r>
                      </m:e>
                      <m:sub>
                        <m:r>
                          <w:rPr>
                            <w:rFonts w:ascii="Cambria Math" w:hAnsi="Cambria Math"/>
                            <w:lang w:val="en-US"/>
                          </w:rPr>
                          <m:t>L</m:t>
                        </m:r>
                      </m:sub>
                    </m:sSub>
                  </m:num>
                  <m:den>
                    <m:sSub>
                      <m:sSubPr>
                        <m:ctrlPr>
                          <w:rPr>
                            <w:rFonts w:ascii="Cambria Math" w:hAnsi="Cambria Math"/>
                            <w:i/>
                            <w:lang w:val="en-US"/>
                          </w:rPr>
                        </m:ctrlPr>
                      </m:sSubPr>
                      <m:e>
                        <m:r>
                          <w:rPr>
                            <w:rFonts w:ascii="Cambria Math" w:hAnsi="Cambria Math"/>
                            <w:lang w:val="en-US"/>
                          </w:rPr>
                          <m:t>D</m:t>
                        </m:r>
                      </m:e>
                      <m:sub>
                        <m:r>
                          <w:rPr>
                            <w:rFonts w:ascii="Cambria Math" w:hAnsi="Cambria Math"/>
                            <w:lang w:val="en-US"/>
                          </w:rPr>
                          <m:t>m</m:t>
                        </m:r>
                      </m:sub>
                    </m:sSub>
                  </m:den>
                </m:f>
                <m:r>
                  <w:rPr>
                    <w:rFonts w:ascii="Cambria Math" w:hAnsi="Cambria Math"/>
                    <w:lang w:val="en-US"/>
                  </w:rPr>
                  <m:t>=1+</m:t>
                </m:r>
                <m:f>
                  <m:fPr>
                    <m:ctrlPr>
                      <w:rPr>
                        <w:rFonts w:ascii="Cambria Math" w:hAnsi="Cambria Math"/>
                        <w:i/>
                        <w:lang w:val="en-US"/>
                      </w:rPr>
                    </m:ctrlPr>
                  </m:fPr>
                  <m:num>
                    <m:r>
                      <w:rPr>
                        <w:rFonts w:ascii="Cambria Math" w:hAnsi="Cambria Math"/>
                        <w:lang w:val="en-US"/>
                      </w:rPr>
                      <m:t>3</m:t>
                    </m:r>
                  </m:num>
                  <m:den>
                    <m:r>
                      <w:rPr>
                        <w:rFonts w:ascii="Cambria Math" w:hAnsi="Cambria Math"/>
                        <w:lang w:val="en-US"/>
                      </w:rPr>
                      <m:t>4</m:t>
                    </m:r>
                  </m:den>
                </m:f>
                <m:r>
                  <w:rPr>
                    <w:rFonts w:ascii="Cambria Math" w:hAnsi="Cambria Math"/>
                    <w:lang w:val="en-US"/>
                  </w:rPr>
                  <m:t>Pe+</m:t>
                </m:r>
                <m:f>
                  <m:fPr>
                    <m:ctrlPr>
                      <w:rPr>
                        <w:rFonts w:ascii="Cambria Math" w:hAnsi="Cambria Math"/>
                        <w:i/>
                        <w:lang w:val="en-US"/>
                      </w:rPr>
                    </m:ctrlPr>
                  </m:fPr>
                  <m:num>
                    <m:r>
                      <w:rPr>
                        <w:rFonts w:ascii="Cambria Math" w:hAnsi="Cambria Math"/>
                        <w:lang w:val="en-US"/>
                      </w:rPr>
                      <m:t>1</m:t>
                    </m:r>
                  </m:num>
                  <m:den>
                    <m:r>
                      <w:rPr>
                        <w:rFonts w:ascii="Cambria Math" w:hAnsi="Cambria Math"/>
                        <w:lang w:val="en-US"/>
                      </w:rPr>
                      <m:t>6</m:t>
                    </m:r>
                  </m:den>
                </m:f>
                <m:sSup>
                  <m:sSupPr>
                    <m:ctrlPr>
                      <w:rPr>
                        <w:rFonts w:ascii="Cambria Math" w:hAnsi="Cambria Math"/>
                        <w:i/>
                        <w:lang w:val="en-US"/>
                      </w:rPr>
                    </m:ctrlPr>
                  </m:sSupPr>
                  <m:e>
                    <m:r>
                      <w:rPr>
                        <w:rFonts w:ascii="Cambria Math" w:hAnsi="Cambria Math"/>
                        <w:lang w:val="en-US"/>
                      </w:rPr>
                      <m:t>π</m:t>
                    </m:r>
                  </m:e>
                  <m:sup>
                    <m:r>
                      <w:rPr>
                        <w:rFonts w:ascii="Cambria Math" w:hAnsi="Cambria Math"/>
                        <w:lang w:val="en-US"/>
                      </w:rPr>
                      <m:t>2</m:t>
                    </m:r>
                  </m:sup>
                </m:sSup>
                <m:r>
                  <m:rPr>
                    <m:sty m:val="p"/>
                  </m:rPr>
                  <w:rPr>
                    <w:rFonts w:ascii="Cambria Math" w:hAnsi="Cambria Math"/>
                    <w:lang w:val="en-US"/>
                  </w:rPr>
                  <m:t>(1-ε)</m:t>
                </m:r>
                <m:r>
                  <w:rPr>
                    <w:rFonts w:ascii="Cambria Math" w:hAnsi="Cambria Math"/>
                    <w:lang w:val="en-US"/>
                  </w:rPr>
                  <m:t>Pe</m:t>
                </m:r>
                <m:func>
                  <m:funcPr>
                    <m:ctrlPr>
                      <w:rPr>
                        <w:rFonts w:ascii="Cambria Math" w:hAnsi="Cambria Math"/>
                        <w:lang w:val="en-US"/>
                      </w:rPr>
                    </m:ctrlPr>
                  </m:funcPr>
                  <m:fName>
                    <m:r>
                      <m:rPr>
                        <m:sty m:val="p"/>
                      </m:rPr>
                      <w:rPr>
                        <w:rFonts w:ascii="Cambria Math"/>
                        <w:lang w:val="en-US"/>
                      </w:rPr>
                      <m:t>ln</m:t>
                    </m:r>
                  </m:fName>
                  <m:e>
                    <m:r>
                      <w:rPr>
                        <w:rFonts w:ascii="Cambria Math" w:hAnsi="Cambria Math"/>
                        <w:lang w:val="en-US"/>
                      </w:rPr>
                      <m:t>(Pe)</m:t>
                    </m:r>
                  </m:e>
                </m:func>
              </m:oMath>
            </m:oMathPara>
          </w:p>
        </w:tc>
        <w:tc>
          <w:tcPr>
            <w:tcW w:w="907" w:type="dxa"/>
            <w:vAlign w:val="center"/>
          </w:tcPr>
          <w:p w14:paraId="2A84E4E8" w14:textId="77777777" w:rsidR="006060A3" w:rsidRPr="00A366AC" w:rsidRDefault="006060A3" w:rsidP="0045084A">
            <w:pPr>
              <w:ind w:firstLine="34"/>
              <w:jc w:val="center"/>
              <w:rPr>
                <w:lang w:val="en-US"/>
              </w:rPr>
            </w:pPr>
            <w:r w:rsidRPr="00A366AC">
              <w:rPr>
                <w:lang w:val="en-US"/>
              </w:rPr>
              <w:t>(13)</w:t>
            </w:r>
          </w:p>
        </w:tc>
      </w:tr>
      <w:tr w:rsidR="006060A3" w:rsidRPr="00A366AC" w14:paraId="2F29A94E" w14:textId="77777777" w:rsidTr="0045084A">
        <w:trPr>
          <w:trHeight w:val="680"/>
          <w:jc w:val="center"/>
        </w:trPr>
        <w:tc>
          <w:tcPr>
            <w:tcW w:w="7937" w:type="dxa"/>
            <w:vAlign w:val="center"/>
          </w:tcPr>
          <w:p w14:paraId="2571B879" w14:textId="77777777" w:rsidR="006060A3" w:rsidRPr="00A366AC" w:rsidRDefault="006A17F1" w:rsidP="0045084A">
            <w:pPr>
              <w:jc w:val="center"/>
              <w:rPr>
                <w:rFonts w:ascii="Calibri" w:hAnsi="Calibri"/>
                <w:lang w:val="en-US"/>
              </w:rPr>
            </w:pPr>
            <m:oMathPara>
              <m:oMath>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D</m:t>
                        </m:r>
                      </m:e>
                      <m:sub>
                        <m:r>
                          <w:rPr>
                            <w:rFonts w:ascii="Cambria Math" w:hAnsi="Cambria Math"/>
                            <w:lang w:val="en-US"/>
                          </w:rPr>
                          <m:t>T</m:t>
                        </m:r>
                      </m:sub>
                    </m:sSub>
                  </m:num>
                  <m:den>
                    <m:sSub>
                      <m:sSubPr>
                        <m:ctrlPr>
                          <w:rPr>
                            <w:rFonts w:ascii="Cambria Math" w:hAnsi="Cambria Math"/>
                            <w:i/>
                            <w:lang w:val="en-US"/>
                          </w:rPr>
                        </m:ctrlPr>
                      </m:sSubPr>
                      <m:e>
                        <m:r>
                          <w:rPr>
                            <w:rFonts w:ascii="Cambria Math" w:hAnsi="Cambria Math"/>
                            <w:lang w:val="en-US"/>
                          </w:rPr>
                          <m:t>D</m:t>
                        </m:r>
                      </m:e>
                      <m:sub>
                        <m:r>
                          <w:rPr>
                            <w:rFonts w:ascii="Cambria Math" w:hAnsi="Cambria Math"/>
                            <w:lang w:val="en-US"/>
                          </w:rPr>
                          <m:t>m</m:t>
                        </m:r>
                      </m:sub>
                    </m:sSub>
                  </m:den>
                </m:f>
                <m:r>
                  <w:rPr>
                    <w:rFonts w:ascii="Cambria Math" w:hAnsi="Cambria Math"/>
                    <w:lang w:val="en-US"/>
                  </w:rPr>
                  <m:t>=1+</m:t>
                </m:r>
                <m:f>
                  <m:fPr>
                    <m:ctrlPr>
                      <w:rPr>
                        <w:rFonts w:ascii="Cambria Math" w:hAnsi="Cambria Math"/>
                        <w:i/>
                        <w:lang w:val="en-US"/>
                      </w:rPr>
                    </m:ctrlPr>
                  </m:fPr>
                  <m:num>
                    <m:r>
                      <w:rPr>
                        <w:rFonts w:ascii="Cambria Math" w:hAnsi="Cambria Math"/>
                        <w:lang w:val="en-US"/>
                      </w:rPr>
                      <m:t>63</m:t>
                    </m:r>
                  </m:num>
                  <m:den>
                    <m:r>
                      <w:rPr>
                        <w:rFonts w:ascii="Cambria Math" w:hAnsi="Cambria Math"/>
                        <w:lang w:val="en-US"/>
                      </w:rPr>
                      <m:t>320</m:t>
                    </m:r>
                  </m:den>
                </m:f>
                <m:rad>
                  <m:radPr>
                    <m:degHide m:val="1"/>
                    <m:ctrlPr>
                      <w:rPr>
                        <w:rFonts w:ascii="Cambria Math" w:hAnsi="Cambria Math"/>
                        <w:i/>
                        <w:lang w:val="en-US"/>
                      </w:rPr>
                    </m:ctrlPr>
                  </m:radPr>
                  <m:deg/>
                  <m:e>
                    <m:r>
                      <w:rPr>
                        <w:rFonts w:ascii="Cambria Math" w:hAnsi="Cambria Math"/>
                        <w:lang w:val="en-US"/>
                      </w:rPr>
                      <m:t>2(1-ε)</m:t>
                    </m:r>
                  </m:e>
                </m:rad>
                <m:r>
                  <w:rPr>
                    <w:rFonts w:ascii="Cambria Math" w:hAnsi="Cambria Math"/>
                    <w:lang w:val="en-US"/>
                  </w:rPr>
                  <m:t>Pe</m:t>
                </m:r>
              </m:oMath>
            </m:oMathPara>
          </w:p>
        </w:tc>
        <w:tc>
          <w:tcPr>
            <w:tcW w:w="907" w:type="dxa"/>
            <w:vAlign w:val="center"/>
          </w:tcPr>
          <w:p w14:paraId="16BEC21E" w14:textId="77777777" w:rsidR="006060A3" w:rsidRPr="00A366AC" w:rsidRDefault="006060A3" w:rsidP="0045084A">
            <w:pPr>
              <w:ind w:firstLine="34"/>
              <w:jc w:val="center"/>
              <w:rPr>
                <w:lang w:val="en-US"/>
              </w:rPr>
            </w:pPr>
            <w:r w:rsidRPr="00A366AC">
              <w:rPr>
                <w:lang w:val="en-US"/>
              </w:rPr>
              <w:t>(14)</w:t>
            </w:r>
          </w:p>
        </w:tc>
      </w:tr>
    </w:tbl>
    <w:p w14:paraId="6C50D5D9" w14:textId="77777777" w:rsidR="006060A3" w:rsidRPr="00A366AC" w:rsidRDefault="006060A3" w:rsidP="006060A3">
      <w:pPr>
        <w:spacing w:before="120" w:after="120"/>
        <w:rPr>
          <w:lang w:val="en-US"/>
        </w:rPr>
      </w:pPr>
      <w:r w:rsidRPr="00A366AC">
        <w:rPr>
          <w:lang w:val="en-US"/>
        </w:rPr>
        <w:t xml:space="preserve">where </w:t>
      </w:r>
      <w:proofErr w:type="spellStart"/>
      <w:r w:rsidRPr="00A366AC">
        <w:rPr>
          <w:lang w:val="en-US"/>
        </w:rPr>
        <w:t>Peclet</w:t>
      </w:r>
      <w:proofErr w:type="spellEnd"/>
      <w:r w:rsidRPr="00A366AC">
        <w:rPr>
          <w:lang w:val="en-US"/>
        </w:rPr>
        <w:t xml:space="preserve"> number is in the form of</w:t>
      </w:r>
      <w:r>
        <w:rPr>
          <w:lang w:val="en-US"/>
        </w:rPr>
        <w:t>:</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7"/>
        <w:gridCol w:w="907"/>
      </w:tblGrid>
      <w:tr w:rsidR="0045084A" w:rsidRPr="00A366AC" w14:paraId="11F22B06" w14:textId="77777777" w:rsidTr="0045084A">
        <w:trPr>
          <w:trHeight w:val="680"/>
          <w:jc w:val="center"/>
        </w:trPr>
        <w:tc>
          <w:tcPr>
            <w:tcW w:w="7937" w:type="dxa"/>
            <w:vAlign w:val="center"/>
          </w:tcPr>
          <w:p w14:paraId="7428CEBB" w14:textId="4D6A1197" w:rsidR="006060A3" w:rsidRPr="00A366AC" w:rsidRDefault="006060A3" w:rsidP="0045084A">
            <w:pPr>
              <w:jc w:val="center"/>
              <w:rPr>
                <w:lang w:val="en-US"/>
              </w:rPr>
            </w:pPr>
            <m:oMathPara>
              <m:oMath>
                <m:r>
                  <w:rPr>
                    <w:rFonts w:ascii="Cambria Math" w:hAnsi="Cambria Math"/>
                    <w:lang w:val="en-US"/>
                  </w:rPr>
                  <m:t>Pe=</m:t>
                </m:r>
                <m:f>
                  <m:fPr>
                    <m:ctrlPr>
                      <w:rPr>
                        <w:rFonts w:ascii="Cambria Math" w:hAnsi="Cambria Math"/>
                        <w:i/>
                        <w:lang w:val="en-US"/>
                      </w:rPr>
                    </m:ctrlPr>
                  </m:fPr>
                  <m:num>
                    <m:r>
                      <w:rPr>
                        <w:rFonts w:ascii="Cambria Math" w:hAnsi="Cambria Math"/>
                        <w:lang w:val="en-US"/>
                      </w:rPr>
                      <m:t>ud</m:t>
                    </m:r>
                  </m:num>
                  <m:den>
                    <m:sSub>
                      <m:sSubPr>
                        <m:ctrlPr>
                          <w:rPr>
                            <w:rFonts w:ascii="Cambria Math" w:hAnsi="Cambria Math"/>
                            <w:i/>
                            <w:lang w:val="en-US"/>
                          </w:rPr>
                        </m:ctrlPr>
                      </m:sSubPr>
                      <m:e>
                        <m:r>
                          <w:rPr>
                            <w:rFonts w:ascii="Cambria Math" w:hAnsi="Cambria Math"/>
                            <w:lang w:val="en-US"/>
                          </w:rPr>
                          <m:t>D</m:t>
                        </m:r>
                      </m:e>
                      <m:sub>
                        <m:r>
                          <w:rPr>
                            <w:rFonts w:ascii="Cambria Math" w:hAnsi="Cambria Math"/>
                            <w:lang w:val="en-US"/>
                          </w:rPr>
                          <m:t>m</m:t>
                        </m:r>
                      </m:sub>
                    </m:sSub>
                  </m:den>
                </m:f>
              </m:oMath>
            </m:oMathPara>
          </w:p>
        </w:tc>
        <w:tc>
          <w:tcPr>
            <w:tcW w:w="907" w:type="dxa"/>
            <w:vAlign w:val="center"/>
          </w:tcPr>
          <w:p w14:paraId="5C8FC129" w14:textId="77777777" w:rsidR="006060A3" w:rsidRPr="00A366AC" w:rsidRDefault="006060A3" w:rsidP="0045084A">
            <w:pPr>
              <w:ind w:firstLine="34"/>
              <w:jc w:val="center"/>
              <w:rPr>
                <w:lang w:val="en-US"/>
              </w:rPr>
            </w:pPr>
            <w:r w:rsidRPr="00A366AC">
              <w:rPr>
                <w:lang w:val="en-US"/>
              </w:rPr>
              <w:t>(15)</w:t>
            </w:r>
          </w:p>
        </w:tc>
      </w:tr>
    </w:tbl>
    <w:p w14:paraId="12693297" w14:textId="327F1C7A" w:rsidR="006060A3" w:rsidRDefault="006060A3" w:rsidP="006060A3">
      <w:pPr>
        <w:spacing w:before="120" w:after="120"/>
        <w:rPr>
          <w:lang w:val="en-US"/>
        </w:rPr>
      </w:pPr>
      <w:r w:rsidRPr="004B4F48">
        <w:rPr>
          <w:noProof/>
          <w:lang w:val="en-US"/>
        </w:rPr>
        <w:t>and the</w:t>
      </w:r>
      <w:r w:rsidRPr="00A366AC">
        <w:rPr>
          <w:lang w:val="en-US"/>
        </w:rPr>
        <w:t xml:space="preserve"> mean diameter of the pore is estimated from </w:t>
      </w:r>
      <w:r w:rsidR="00BA67BE">
        <w:rPr>
          <w:lang w:val="en-US"/>
        </w:rPr>
        <w:fldChar w:fldCharType="begin" w:fldLock="1"/>
      </w:r>
      <w:r w:rsidR="00844B4D">
        <w:rPr>
          <w:lang w:val="en-US"/>
        </w:rPr>
        <w:instrText>ADDIN CSL_CITATION { "citationItems" : [ { "id" : "ITEM-1", "itemData" : { "DOI" : "10.1016/0360-1285(96)00001-9", "ISSN" : "03601285", "author" : [ { "dropping-particle" : "", "family" : "Howell", "given" : "J.R.", "non-dropping-particle" : "", "parse-names" : false, "suffix" : "" }, { "dropping-particle" : "", "family" : "Hall", "given" : "M.J.", "non-dropping-particle" : "", "parse-names" : false, "suffix" : "" }, { "dropping-particle" : "", "family" : "Ellzey", "given" : "J.L.", "non-dropping-particle" : "", "parse-names" : false, "suffix" : "" } ], "container-title" : "Progress in Energy and Combustion Science", "id" : "ITEM-1", "issue" : "2", "issued" : { "date-parts" : [ [ "1996", "1" ] ] }, "page" : "121-145", "title" : "Combustion of hydrocarbon fuels within porous inert media", "type" : "article-journal", "volume" : "22" }, "uris" : [ "http://www.mendeley.com/documents/?uuid=f7969c45-7620-3e0b-ba91-df36e6554c49" ] } ], "mendeley" : { "formattedCitation" : "[33]", "plainTextFormattedCitation" : "[33]", "previouslyFormattedCitation" : "[33]" }, "properties" : { "noteIndex" : 0 }, "schema" : "https://github.com/citation-style-language/schema/raw/master/csl-citation.json" }</w:instrText>
      </w:r>
      <w:r w:rsidR="00BA67BE">
        <w:rPr>
          <w:lang w:val="en-US"/>
        </w:rPr>
        <w:fldChar w:fldCharType="separate"/>
      </w:r>
      <w:r w:rsidR="009829B8" w:rsidRPr="009829B8">
        <w:rPr>
          <w:noProof/>
          <w:lang w:val="en-US"/>
        </w:rPr>
        <w:t>[33]</w:t>
      </w:r>
      <w:r w:rsidR="00BA67BE">
        <w:rPr>
          <w:lang w:val="en-US"/>
        </w:rPr>
        <w:fldChar w:fldCharType="end"/>
      </w:r>
      <w:r w:rsidRPr="00A366AC">
        <w:rPr>
          <w:lang w:val="en-US"/>
        </w:rPr>
        <w:t xml:space="preserve"> for 10</w:t>
      </w:r>
      <w:r>
        <w:rPr>
          <w:lang w:val="en-US"/>
        </w:rPr>
        <w:t xml:space="preserve"> PPI porous foam:</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7"/>
        <w:gridCol w:w="907"/>
      </w:tblGrid>
      <w:tr w:rsidR="006060A3" w14:paraId="6DD13674" w14:textId="77777777" w:rsidTr="0045084A">
        <w:trPr>
          <w:trHeight w:val="680"/>
          <w:jc w:val="center"/>
        </w:trPr>
        <w:tc>
          <w:tcPr>
            <w:tcW w:w="7937" w:type="dxa"/>
            <w:vAlign w:val="center"/>
          </w:tcPr>
          <w:p w14:paraId="68C6812D" w14:textId="77777777" w:rsidR="006060A3" w:rsidRDefault="006060A3" w:rsidP="0045084A">
            <w:pPr>
              <w:jc w:val="center"/>
              <w:rPr>
                <w:lang w:val="en-US"/>
              </w:rPr>
            </w:pPr>
            <m:oMathPara>
              <m:oMath>
                <m:r>
                  <w:rPr>
                    <w:rFonts w:ascii="Cambria Math" w:hAnsi="Cambria Math"/>
                    <w:lang w:val="en-US"/>
                  </w:rPr>
                  <m:t>d[m]=</m:t>
                </m:r>
                <m:f>
                  <m:fPr>
                    <m:ctrlPr>
                      <w:rPr>
                        <w:rFonts w:ascii="Cambria Math" w:hAnsi="Cambria Math"/>
                        <w:i/>
                        <w:lang w:val="en-US"/>
                      </w:rPr>
                    </m:ctrlPr>
                  </m:fPr>
                  <m:num>
                    <m:r>
                      <w:rPr>
                        <w:rFonts w:ascii="Cambria Math" w:hAnsi="Cambria Math"/>
                        <w:lang w:val="en-US"/>
                      </w:rPr>
                      <m:t>2×0.0254</m:t>
                    </m:r>
                  </m:num>
                  <m:den>
                    <m:r>
                      <w:rPr>
                        <w:rFonts w:ascii="Cambria Math" w:hAnsi="Cambria Math"/>
                        <w:lang w:val="en-US"/>
                      </w:rPr>
                      <m:t>PPI</m:t>
                    </m:r>
                  </m:den>
                </m:f>
              </m:oMath>
            </m:oMathPara>
          </w:p>
        </w:tc>
        <w:tc>
          <w:tcPr>
            <w:tcW w:w="907" w:type="dxa"/>
            <w:vAlign w:val="center"/>
          </w:tcPr>
          <w:p w14:paraId="22568FA3" w14:textId="77777777" w:rsidR="006060A3" w:rsidRDefault="006060A3" w:rsidP="006060A3">
            <w:pPr>
              <w:ind w:firstLine="0"/>
              <w:jc w:val="center"/>
              <w:rPr>
                <w:lang w:val="en-US"/>
              </w:rPr>
            </w:pPr>
            <w:r>
              <w:rPr>
                <w:lang w:val="en-US"/>
              </w:rPr>
              <w:t>(16)</w:t>
            </w:r>
          </w:p>
        </w:tc>
      </w:tr>
    </w:tbl>
    <w:p w14:paraId="0E2302F8" w14:textId="77777777" w:rsidR="006060A3" w:rsidRDefault="006060A3" w:rsidP="006060A3">
      <w:pPr>
        <w:spacing w:before="120" w:after="120"/>
        <w:rPr>
          <w:lang w:val="en-US"/>
        </w:rPr>
      </w:pPr>
      <w:r>
        <w:rPr>
          <w:lang w:val="en-US"/>
        </w:rPr>
        <w:t xml:space="preserve">Scalar </w:t>
      </w:r>
      <w:r w:rsidRPr="00680ECD">
        <w:rPr>
          <w:noProof/>
          <w:lang w:val="en-US"/>
        </w:rPr>
        <w:t>diffusion</w:t>
      </w:r>
      <w:r>
        <w:rPr>
          <w:lang w:val="en-US"/>
        </w:rPr>
        <w:t xml:space="preserve"> </w:t>
      </w:r>
      <w:r w:rsidRPr="00680ECD">
        <w:rPr>
          <w:noProof/>
          <w:lang w:val="en-US"/>
        </w:rPr>
        <w:t>was implemented</w:t>
      </w:r>
      <w:r>
        <w:rPr>
          <w:lang w:val="en-US"/>
        </w:rPr>
        <w:t xml:space="preserve"> in Fluent via User Defined Function mechanism. It modifies the turbulent Schmidt number present in the species diffusion equation (7). Turbulent Schmidt number is given by:</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7"/>
        <w:gridCol w:w="907"/>
      </w:tblGrid>
      <w:tr w:rsidR="006060A3" w14:paraId="2DA4C859" w14:textId="77777777" w:rsidTr="0045084A">
        <w:trPr>
          <w:trHeight w:val="624"/>
          <w:jc w:val="center"/>
        </w:trPr>
        <w:tc>
          <w:tcPr>
            <w:tcW w:w="7937" w:type="dxa"/>
            <w:vAlign w:val="center"/>
          </w:tcPr>
          <w:p w14:paraId="70359D43" w14:textId="77777777" w:rsidR="006060A3" w:rsidRDefault="006A17F1" w:rsidP="00052D77">
            <w:pPr>
              <w:jc w:val="center"/>
              <w:rPr>
                <w:lang w:val="en-US"/>
              </w:rPr>
            </w:pPr>
            <m:oMathPara>
              <m:oMath>
                <m:sSub>
                  <m:sSubPr>
                    <m:ctrlPr>
                      <w:rPr>
                        <w:rFonts w:ascii="Cambria Math" w:hAnsi="Cambria Math"/>
                        <w:i/>
                        <w:lang w:val="en-US"/>
                      </w:rPr>
                    </m:ctrlPr>
                  </m:sSubPr>
                  <m:e>
                    <m:r>
                      <w:rPr>
                        <w:rFonts w:ascii="Cambria Math" w:hAnsi="Cambria Math"/>
                        <w:lang w:val="en-US"/>
                      </w:rPr>
                      <m:t>Sc</m:t>
                    </m:r>
                  </m:e>
                  <m:sub>
                    <m:r>
                      <w:rPr>
                        <w:rFonts w:ascii="Cambria Math" w:hAnsi="Cambria Math"/>
                        <w:lang w:val="en-US"/>
                      </w:rPr>
                      <m:t>t</m:t>
                    </m:r>
                  </m:sub>
                </m:sSub>
                <m:r>
                  <w:rPr>
                    <w:rFonts w:ascii="Cambria Math" w:hAnsi="Cambria Math"/>
                    <w:lang w:val="en-US"/>
                  </w:rPr>
                  <m:t>=</m:t>
                </m:r>
                <m:f>
                  <m:fPr>
                    <m:ctrlPr>
                      <w:rPr>
                        <w:rFonts w:ascii="Cambria Math" w:hAnsi="Cambria Math"/>
                        <w:i/>
                        <w:lang w:val="en-US"/>
                      </w:rPr>
                    </m:ctrlPr>
                  </m:fPr>
                  <m:num>
                    <m:r>
                      <w:rPr>
                        <w:rFonts w:ascii="Cambria Math" w:hAnsi="Cambria Math"/>
                        <w:lang w:val="en-US"/>
                      </w:rPr>
                      <m:t>ν</m:t>
                    </m:r>
                  </m:num>
                  <m:den>
                    <m:sSub>
                      <m:sSubPr>
                        <m:ctrlPr>
                          <w:rPr>
                            <w:rFonts w:ascii="Cambria Math" w:hAnsi="Cambria Math"/>
                            <w:i/>
                            <w:lang w:val="en-US"/>
                          </w:rPr>
                        </m:ctrlPr>
                      </m:sSubPr>
                      <m:e>
                        <m:r>
                          <w:rPr>
                            <w:rFonts w:ascii="Cambria Math" w:hAnsi="Cambria Math"/>
                            <w:lang w:val="en-US"/>
                          </w:rPr>
                          <m:t>D</m:t>
                        </m:r>
                      </m:e>
                      <m:sub>
                        <m:r>
                          <w:rPr>
                            <w:rFonts w:ascii="Cambria Math" w:hAnsi="Cambria Math"/>
                            <w:lang w:val="en-US"/>
                          </w:rPr>
                          <m:t>t</m:t>
                        </m:r>
                      </m:sub>
                    </m:sSub>
                  </m:den>
                </m:f>
              </m:oMath>
            </m:oMathPara>
          </w:p>
        </w:tc>
        <w:tc>
          <w:tcPr>
            <w:tcW w:w="907" w:type="dxa"/>
            <w:vAlign w:val="center"/>
          </w:tcPr>
          <w:p w14:paraId="53DF03E2" w14:textId="77777777" w:rsidR="006060A3" w:rsidRDefault="006060A3" w:rsidP="00052D77">
            <w:pPr>
              <w:ind w:firstLine="34"/>
              <w:jc w:val="center"/>
              <w:rPr>
                <w:lang w:val="en-US"/>
              </w:rPr>
            </w:pPr>
            <w:r>
              <w:rPr>
                <w:lang w:val="en-US"/>
              </w:rPr>
              <w:t>(17)</w:t>
            </w:r>
          </w:p>
        </w:tc>
      </w:tr>
    </w:tbl>
    <w:p w14:paraId="25A6D09B" w14:textId="1703466F" w:rsidR="006060A3" w:rsidRDefault="004B4F48" w:rsidP="006060A3">
      <w:pPr>
        <w:spacing w:before="120" w:after="120"/>
        <w:rPr>
          <w:lang w:val="en-US"/>
        </w:rPr>
      </w:pPr>
      <w:r>
        <w:rPr>
          <w:noProof/>
          <w:lang w:val="en-US"/>
        </w:rPr>
        <w:t>moreover,</w:t>
      </w:r>
      <w:r w:rsidR="006060A3" w:rsidRPr="004B4F48">
        <w:rPr>
          <w:noProof/>
          <w:lang w:val="en-US"/>
        </w:rPr>
        <w:t xml:space="preserve"> the</w:t>
      </w:r>
      <w:r w:rsidR="006060A3">
        <w:rPr>
          <w:lang w:val="en-US"/>
        </w:rPr>
        <w:t xml:space="preserve"> turbulent diffusion coefficient </w:t>
      </w:r>
      <w:r w:rsidR="006060A3" w:rsidRPr="00AE2CB5">
        <w:rPr>
          <w:i/>
          <w:lang w:val="en-US"/>
        </w:rPr>
        <w:t>D</w:t>
      </w:r>
      <w:r w:rsidR="006060A3" w:rsidRPr="00AE2CB5">
        <w:rPr>
          <w:i/>
          <w:vertAlign w:val="subscript"/>
          <w:lang w:val="en-US"/>
        </w:rPr>
        <w:t>t</w:t>
      </w:r>
      <w:r w:rsidR="006060A3">
        <w:rPr>
          <w:lang w:val="en-US"/>
        </w:rPr>
        <w:t xml:space="preserve"> is replaced by the sum of longitudinal and transverse dispersion coefficients, calculated from equations (13) and (14):</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7"/>
        <w:gridCol w:w="907"/>
      </w:tblGrid>
      <w:tr w:rsidR="006060A3" w14:paraId="5A7A2FFB" w14:textId="77777777" w:rsidTr="0045084A">
        <w:trPr>
          <w:trHeight w:val="454"/>
          <w:jc w:val="center"/>
        </w:trPr>
        <w:tc>
          <w:tcPr>
            <w:tcW w:w="7937" w:type="dxa"/>
            <w:vAlign w:val="center"/>
          </w:tcPr>
          <w:p w14:paraId="0B9D8EB9" w14:textId="77777777" w:rsidR="006060A3" w:rsidRDefault="006A17F1" w:rsidP="00052D77">
            <w:pPr>
              <w:jc w:val="center"/>
              <w:rPr>
                <w:lang w:val="en-US"/>
              </w:rPr>
            </w:pPr>
            <m:oMathPara>
              <m:oMath>
                <m:sSub>
                  <m:sSubPr>
                    <m:ctrlPr>
                      <w:rPr>
                        <w:rFonts w:ascii="Cambria Math" w:hAnsi="Cambria Math"/>
                        <w:i/>
                        <w:lang w:val="en-US"/>
                      </w:rPr>
                    </m:ctrlPr>
                  </m:sSubPr>
                  <m:e>
                    <m:r>
                      <w:rPr>
                        <w:rFonts w:ascii="Cambria Math" w:hAnsi="Cambria Math"/>
                        <w:lang w:val="en-US"/>
                      </w:rPr>
                      <m:t>D</m:t>
                    </m:r>
                  </m:e>
                  <m:sub>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D</m:t>
                    </m:r>
                  </m:e>
                  <m:sub>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D</m:t>
                    </m:r>
                  </m:e>
                  <m:sub>
                    <m:r>
                      <w:rPr>
                        <w:rFonts w:ascii="Cambria Math" w:hAnsi="Cambria Math"/>
                        <w:lang w:val="en-US"/>
                      </w:rPr>
                      <m:t>L</m:t>
                    </m:r>
                  </m:sub>
                </m:sSub>
              </m:oMath>
            </m:oMathPara>
          </w:p>
        </w:tc>
        <w:tc>
          <w:tcPr>
            <w:tcW w:w="907" w:type="dxa"/>
            <w:vAlign w:val="center"/>
          </w:tcPr>
          <w:p w14:paraId="3678FC77" w14:textId="77777777" w:rsidR="006060A3" w:rsidRDefault="006060A3" w:rsidP="00052D77">
            <w:pPr>
              <w:ind w:firstLine="0"/>
              <w:jc w:val="center"/>
              <w:rPr>
                <w:lang w:val="en-US"/>
              </w:rPr>
            </w:pPr>
            <w:r>
              <w:rPr>
                <w:lang w:val="en-US"/>
              </w:rPr>
              <w:t>(18)</w:t>
            </w:r>
          </w:p>
        </w:tc>
      </w:tr>
    </w:tbl>
    <w:p w14:paraId="1C8F865B" w14:textId="77777777" w:rsidR="006060A3" w:rsidRDefault="006060A3" w:rsidP="006060A3">
      <w:pPr>
        <w:ind w:firstLine="0"/>
      </w:pPr>
    </w:p>
    <w:p w14:paraId="49220030" w14:textId="5E5006C7" w:rsidR="006060A3" w:rsidRPr="00A366AC" w:rsidRDefault="006060A3" w:rsidP="006060A3">
      <w:pPr>
        <w:rPr>
          <w:lang w:val="en-US"/>
        </w:rPr>
      </w:pPr>
      <w:r w:rsidRPr="00A366AC">
        <w:rPr>
          <w:lang w:val="en-US"/>
        </w:rPr>
        <w:t>According to the authors</w:t>
      </w:r>
      <w:r w:rsidR="0067025F">
        <w:rPr>
          <w:lang w:val="en-US"/>
        </w:rPr>
        <w:t xml:space="preserve"> </w:t>
      </w:r>
      <w:r w:rsidR="0067025F">
        <w:rPr>
          <w:lang w:val="en-US"/>
        </w:rPr>
        <w:fldChar w:fldCharType="begin" w:fldLock="1"/>
      </w:r>
      <w:r w:rsidR="00844B4D">
        <w:rPr>
          <w:lang w:val="en-US"/>
        </w:rPr>
        <w:instrText>ADDIN CSL_CITATION { "citationItems" : [ { "id" : "ITEM-1", "itemData" : { "DOI" : "10.1016/j.ijheatmasstransfer.2004.08.001", "ISSN" : "00179310", "author" : [ { "dropping-particle" : "", "family" : "Pereira", "given" : "J.C.F.", "non-dropping-particle" : "", "parse-names" : false, "suffix" : "" }, { "dropping-particle" : "", "family" : "Malico", "given" : "I.", "non-dropping-particle" : "", "parse-names" : false, "suffix" : "" }, { "dropping-particle" : "", "family" : "Hayashi", "given" : "T.C.", "non-dropping-particle" : "", "parse-names" : false, "suffix" : "" }, { "dropping-particle" : "", "family" : "Raposo", "given" : "J.", "non-dropping-particle" : "", "parse-names" : false, "suffix" : "" } ], "container-title" : "International Journal of Heat and Mass Transfer", "id" : "ITEM-1", "issue" : "1", "issued" : { "date-parts" : [ [ "2005", "1" ] ] }, "page" : "1-14", "title" : "Experimental and numerical characterization of the transverse dispersion at the exit of a short ceramic foam inside a pipe", "type" : "article-journal", "volume" : "48" }, "uris" : [ "http://www.mendeley.com/documents/?uuid=ca570816-d501-3ce7-a36a-3bd68b778218" ] } ], "mendeley" : { "formattedCitation" : "[31]", "plainTextFormattedCitation" : "[31]", "previouslyFormattedCitation" : "[31]" }, "properties" : { "noteIndex" : 0 }, "schema" : "https://github.com/citation-style-language/schema/raw/master/csl-citation.json" }</w:instrText>
      </w:r>
      <w:r w:rsidR="0067025F">
        <w:rPr>
          <w:lang w:val="en-US"/>
        </w:rPr>
        <w:fldChar w:fldCharType="separate"/>
      </w:r>
      <w:r w:rsidR="009829B8" w:rsidRPr="009829B8">
        <w:rPr>
          <w:noProof/>
          <w:lang w:val="en-US"/>
        </w:rPr>
        <w:t>[31]</w:t>
      </w:r>
      <w:r w:rsidR="0067025F">
        <w:rPr>
          <w:lang w:val="en-US"/>
        </w:rPr>
        <w:fldChar w:fldCharType="end"/>
      </w:r>
      <w:r w:rsidR="00052D77">
        <w:rPr>
          <w:lang w:val="en-US"/>
        </w:rPr>
        <w:t>,</w:t>
      </w:r>
      <w:r w:rsidRPr="00A366AC">
        <w:rPr>
          <w:lang w:val="en-US"/>
        </w:rPr>
        <w:t xml:space="preserve"> the value of the longitudinal dispersion coefficient </w:t>
      </w:r>
      <w:r w:rsidRPr="00A366AC">
        <w:rPr>
          <w:i/>
          <w:lang w:val="en-US"/>
        </w:rPr>
        <w:t>D</w:t>
      </w:r>
      <w:r w:rsidRPr="00A366AC">
        <w:rPr>
          <w:i/>
          <w:vertAlign w:val="subscript"/>
          <w:lang w:val="en-US"/>
        </w:rPr>
        <w:t>L</w:t>
      </w:r>
      <w:r w:rsidRPr="00A366AC">
        <w:rPr>
          <w:lang w:val="en-US"/>
        </w:rPr>
        <w:t xml:space="preserve"> can vary with the </w:t>
      </w:r>
      <w:r w:rsidRPr="004B4F48">
        <w:rPr>
          <w:noProof/>
          <w:lang w:val="en-US"/>
        </w:rPr>
        <w:t>ration</w:t>
      </w:r>
      <w:r w:rsidRPr="00A366AC">
        <w:rPr>
          <w:lang w:val="en-US"/>
        </w:rPr>
        <w:t xml:space="preserve"> of foam length to the pore diameter </w:t>
      </w:r>
      <w:r w:rsidRPr="00A366AC">
        <w:rPr>
          <w:i/>
          <w:lang w:val="en-US"/>
        </w:rPr>
        <w:t>(L/d)</w:t>
      </w:r>
      <w:r w:rsidRPr="00A366AC">
        <w:rPr>
          <w:lang w:val="en-US"/>
        </w:rPr>
        <w:t xml:space="preserve"> and it can influence the values of </w:t>
      </w:r>
      <w:r w:rsidRPr="00A366AC">
        <w:rPr>
          <w:i/>
          <w:lang w:val="en-US"/>
        </w:rPr>
        <w:t>D</w:t>
      </w:r>
      <w:r w:rsidRPr="00A366AC">
        <w:rPr>
          <w:i/>
          <w:vertAlign w:val="subscript"/>
          <w:lang w:val="en-US"/>
        </w:rPr>
        <w:t>T</w:t>
      </w:r>
      <w:r w:rsidRPr="00A366AC">
        <w:rPr>
          <w:lang w:val="en-US"/>
        </w:rPr>
        <w:t xml:space="preserve">. The higher the </w:t>
      </w:r>
      <w:r w:rsidRPr="00A366AC">
        <w:rPr>
          <w:i/>
          <w:lang w:val="en-US"/>
        </w:rPr>
        <w:t>L/d</w:t>
      </w:r>
      <w:r w:rsidRPr="00A366AC">
        <w:rPr>
          <w:lang w:val="en-US"/>
        </w:rPr>
        <w:t xml:space="preserve"> ratio, the better prediction of dispersion coefficients by Koch and Brady formulas (13), (14). In the case of oxy-combustor geometry, the </w:t>
      </w:r>
      <w:r w:rsidRPr="00A366AC">
        <w:rPr>
          <w:i/>
          <w:lang w:val="en-US"/>
        </w:rPr>
        <w:t>L/d</w:t>
      </w:r>
      <w:r w:rsidRPr="00A366AC">
        <w:rPr>
          <w:lang w:val="en-US"/>
        </w:rPr>
        <w:t xml:space="preserve"> ratio is high enough, to rely on the before-mentioned formulas.</w:t>
      </w:r>
    </w:p>
    <w:p w14:paraId="386E14F1" w14:textId="77777777" w:rsidR="006060A3" w:rsidRPr="00A366AC" w:rsidRDefault="006060A3" w:rsidP="006060A3">
      <w:pPr>
        <w:spacing w:after="120"/>
        <w:rPr>
          <w:lang w:val="en-US"/>
        </w:rPr>
      </w:pPr>
      <w:r w:rsidRPr="00A366AC">
        <w:rPr>
          <w:lang w:val="en-US"/>
        </w:rPr>
        <w:t xml:space="preserve">Porous media </w:t>
      </w:r>
      <w:r w:rsidRPr="004B4F48">
        <w:rPr>
          <w:noProof/>
          <w:lang w:val="en-US"/>
        </w:rPr>
        <w:t>are modeled</w:t>
      </w:r>
      <w:r w:rsidRPr="00A366AC">
        <w:rPr>
          <w:lang w:val="en-US"/>
        </w:rPr>
        <w:t xml:space="preserve"> by the addition of a momentum source term to the standard fluid flow equation (2). In the case of homogeneous porous medium, momentum source in each direction </w:t>
      </w:r>
      <w:proofErr w:type="spellStart"/>
      <w:r w:rsidRPr="00A366AC">
        <w:rPr>
          <w:i/>
          <w:lang w:val="en-US"/>
        </w:rPr>
        <w:t>i</w:t>
      </w:r>
      <w:proofErr w:type="spellEnd"/>
      <w:r w:rsidRPr="00A366AC">
        <w:rPr>
          <w:lang w:val="en-US"/>
        </w:rPr>
        <w:t xml:space="preserve"> = </w:t>
      </w:r>
      <w:r w:rsidRPr="00A366AC">
        <w:rPr>
          <w:i/>
          <w:lang w:val="en-US"/>
        </w:rPr>
        <w:t>(x, y, z)</w:t>
      </w:r>
      <w:r w:rsidRPr="00A366AC">
        <w:rPr>
          <w:lang w:val="en-US"/>
        </w:rPr>
        <w:t xml:space="preserve"> can be written as</w:t>
      </w:r>
      <w:r>
        <w:rPr>
          <w:lang w:val="en-US"/>
        </w:rPr>
        <w:t>:</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7"/>
        <w:gridCol w:w="907"/>
      </w:tblGrid>
      <w:tr w:rsidR="006060A3" w:rsidRPr="00A366AC" w14:paraId="321C564B" w14:textId="77777777" w:rsidTr="0045084A">
        <w:trPr>
          <w:trHeight w:val="680"/>
          <w:jc w:val="center"/>
        </w:trPr>
        <w:tc>
          <w:tcPr>
            <w:tcW w:w="7937" w:type="dxa"/>
          </w:tcPr>
          <w:p w14:paraId="722643C7" w14:textId="77777777" w:rsidR="006060A3" w:rsidRPr="00A366AC" w:rsidRDefault="006A17F1" w:rsidP="006060A3">
            <w:pPr>
              <w:rPr>
                <w:lang w:val="en-US"/>
              </w:rPr>
            </w:pPr>
            <m:oMathPara>
              <m:oMath>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m, i</m:t>
                    </m:r>
                  </m:sub>
                </m:sSub>
                <m:r>
                  <w:rPr>
                    <w:rFonts w:ascii="Cambria Math" w:hAnsi="Cambria Math"/>
                    <w:lang w:val="en-US"/>
                  </w:rPr>
                  <m:t>=-</m:t>
                </m:r>
                <m:d>
                  <m:dPr>
                    <m:ctrlPr>
                      <w:rPr>
                        <w:rFonts w:ascii="Cambria Math" w:hAnsi="Cambria Math"/>
                        <w:i/>
                        <w:lang w:val="en-US"/>
                      </w:rPr>
                    </m:ctrlPr>
                  </m:dPr>
                  <m:e>
                    <m:f>
                      <m:fPr>
                        <m:ctrlPr>
                          <w:rPr>
                            <w:rFonts w:ascii="Cambria Math" w:hAnsi="Cambria Math"/>
                            <w:i/>
                            <w:lang w:val="en-US"/>
                          </w:rPr>
                        </m:ctrlPr>
                      </m:fPr>
                      <m:num>
                        <m:r>
                          <w:rPr>
                            <w:rFonts w:ascii="Cambria Math" w:hAnsi="Cambria Math"/>
                            <w:lang w:val="en-US"/>
                          </w:rPr>
                          <m:t>μ</m:t>
                        </m:r>
                      </m:num>
                      <m:den>
                        <m:r>
                          <w:rPr>
                            <w:rFonts w:ascii="Cambria Math" w:hAnsi="Cambria Math"/>
                            <w:lang w:val="en-US"/>
                          </w:rPr>
                          <m:t>α</m:t>
                        </m:r>
                      </m:den>
                    </m:f>
                    <m:sSub>
                      <m:sSubPr>
                        <m:ctrlPr>
                          <w:rPr>
                            <w:rFonts w:ascii="Cambria Math" w:hAnsi="Cambria Math"/>
                            <w:i/>
                            <w:lang w:val="en-US"/>
                          </w:rPr>
                        </m:ctrlPr>
                      </m:sSubPr>
                      <m:e>
                        <m:r>
                          <w:rPr>
                            <w:rFonts w:ascii="Cambria Math" w:hAnsi="Cambria Math"/>
                            <w:lang w:val="en-US"/>
                          </w:rPr>
                          <m:t>v</m:t>
                        </m:r>
                      </m:e>
                      <m:sub>
                        <m:r>
                          <w:rPr>
                            <w:rFonts w:ascii="Cambria Math" w:hAnsi="Cambria Math"/>
                            <w:lang w:val="en-US"/>
                          </w:rPr>
                          <m:t>i</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2</m:t>
                        </m:r>
                      </m:sub>
                    </m:sSub>
                    <m:f>
                      <m:fPr>
                        <m:ctrlPr>
                          <w:rPr>
                            <w:rFonts w:ascii="Cambria Math" w:hAnsi="Cambria Math"/>
                            <w:i/>
                            <w:lang w:val="en-US"/>
                          </w:rPr>
                        </m:ctrlPr>
                      </m:fPr>
                      <m:num>
                        <m:r>
                          <w:rPr>
                            <w:rFonts w:ascii="Cambria Math" w:hAnsi="Cambria Math"/>
                            <w:lang w:val="en-US"/>
                          </w:rPr>
                          <m:t>1</m:t>
                        </m:r>
                      </m:num>
                      <m:den>
                        <m:r>
                          <w:rPr>
                            <w:rFonts w:ascii="Cambria Math" w:hAnsi="Cambria Math"/>
                            <w:lang w:val="en-US"/>
                          </w:rPr>
                          <m:t>2</m:t>
                        </m:r>
                      </m:den>
                    </m:f>
                    <m:r>
                      <w:rPr>
                        <w:rFonts w:ascii="Cambria Math" w:hAnsi="Cambria Math"/>
                        <w:lang w:val="en-US"/>
                      </w:rPr>
                      <m:t>ρ</m:t>
                    </m:r>
                    <m:d>
                      <m:dPr>
                        <m:begChr m:val="|"/>
                        <m:endChr m:val="|"/>
                        <m:ctrlPr>
                          <w:rPr>
                            <w:rFonts w:ascii="Cambria Math" w:hAnsi="Cambria Math"/>
                            <w:i/>
                            <w:lang w:val="en-US"/>
                          </w:rPr>
                        </m:ctrlPr>
                      </m:dPr>
                      <m:e>
                        <m:r>
                          <w:rPr>
                            <w:rFonts w:ascii="Cambria Math" w:hAnsi="Cambria Math"/>
                            <w:lang w:val="en-US"/>
                          </w:rPr>
                          <m:t>v</m:t>
                        </m:r>
                      </m:e>
                    </m:d>
                    <m:sSub>
                      <m:sSubPr>
                        <m:ctrlPr>
                          <w:rPr>
                            <w:rFonts w:ascii="Cambria Math" w:hAnsi="Cambria Math"/>
                            <w:i/>
                            <w:lang w:val="en-US"/>
                          </w:rPr>
                        </m:ctrlPr>
                      </m:sSubPr>
                      <m:e>
                        <m:r>
                          <w:rPr>
                            <w:rFonts w:ascii="Cambria Math" w:hAnsi="Cambria Math"/>
                            <w:lang w:val="en-US"/>
                          </w:rPr>
                          <m:t>v</m:t>
                        </m:r>
                      </m:e>
                      <m:sub>
                        <m:r>
                          <w:rPr>
                            <w:rFonts w:ascii="Cambria Math" w:hAnsi="Cambria Math"/>
                            <w:lang w:val="en-US"/>
                          </w:rPr>
                          <m:t>i</m:t>
                        </m:r>
                      </m:sub>
                    </m:sSub>
                  </m:e>
                </m:d>
              </m:oMath>
            </m:oMathPara>
          </w:p>
        </w:tc>
        <w:tc>
          <w:tcPr>
            <w:tcW w:w="907" w:type="dxa"/>
            <w:vAlign w:val="center"/>
          </w:tcPr>
          <w:p w14:paraId="41032E84" w14:textId="77777777" w:rsidR="006060A3" w:rsidRPr="00A366AC" w:rsidRDefault="006060A3" w:rsidP="006060A3">
            <w:pPr>
              <w:ind w:firstLine="0"/>
              <w:jc w:val="center"/>
              <w:rPr>
                <w:lang w:val="en-US"/>
              </w:rPr>
            </w:pPr>
            <w:r w:rsidRPr="00A366AC">
              <w:rPr>
                <w:lang w:val="en-US"/>
              </w:rPr>
              <w:t>(19)</w:t>
            </w:r>
          </w:p>
        </w:tc>
      </w:tr>
    </w:tbl>
    <w:p w14:paraId="04275B02" w14:textId="77777777" w:rsidR="006060A3" w:rsidRPr="00A366AC" w:rsidRDefault="006060A3" w:rsidP="006060A3">
      <w:pPr>
        <w:spacing w:before="120"/>
        <w:rPr>
          <w:lang w:val="en-US"/>
        </w:rPr>
      </w:pPr>
      <w:r w:rsidRPr="004B4F48">
        <w:rPr>
          <w:noProof/>
          <w:lang w:val="en-US"/>
        </w:rPr>
        <w:t>where</w:t>
      </w:r>
      <w:r w:rsidRPr="00A366AC">
        <w:rPr>
          <w:lang w:val="en-US"/>
        </w:rPr>
        <w:t xml:space="preserve">: </w:t>
      </w:r>
      <w:r w:rsidRPr="00A366AC">
        <w:rPr>
          <w:i/>
          <w:lang w:val="en-US"/>
        </w:rPr>
        <w:t>α</w:t>
      </w:r>
      <w:r w:rsidRPr="00A366AC">
        <w:rPr>
          <w:lang w:val="en-US"/>
        </w:rPr>
        <w:t xml:space="preserve"> – permeability and </w:t>
      </w:r>
      <w:r w:rsidRPr="00A366AC">
        <w:rPr>
          <w:i/>
          <w:lang w:val="en-US"/>
        </w:rPr>
        <w:t>C</w:t>
      </w:r>
      <w:r w:rsidRPr="00A366AC">
        <w:rPr>
          <w:i/>
          <w:vertAlign w:val="subscript"/>
          <w:lang w:val="en-US"/>
        </w:rPr>
        <w:t>2</w:t>
      </w:r>
      <w:r w:rsidRPr="00A366AC">
        <w:rPr>
          <w:lang w:val="en-US"/>
        </w:rPr>
        <w:t xml:space="preserve"> – inertial resistance factor. The first term on the right-hand side of the equation (19) is called a viscous loss term (Darcy) and the second term – an inertial loss term. </w:t>
      </w:r>
    </w:p>
    <w:p w14:paraId="74DB1472" w14:textId="78B1D5DC" w:rsidR="006060A3" w:rsidRDefault="004B4F48" w:rsidP="006060A3">
      <w:pPr>
        <w:spacing w:after="120"/>
        <w:rPr>
          <w:lang w:val="en-US"/>
        </w:rPr>
      </w:pPr>
      <w:r>
        <w:rPr>
          <w:noProof/>
          <w:lang w:val="en-US"/>
        </w:rPr>
        <w:t>T</w:t>
      </w:r>
      <w:r w:rsidR="006060A3" w:rsidRPr="004B4F48">
        <w:rPr>
          <w:noProof/>
          <w:lang w:val="en-US"/>
        </w:rPr>
        <w:t>o</w:t>
      </w:r>
      <w:r w:rsidR="006060A3" w:rsidRPr="00A366AC">
        <w:rPr>
          <w:lang w:val="en-US"/>
        </w:rPr>
        <w:t xml:space="preserve"> properly</w:t>
      </w:r>
      <w:r w:rsidR="006060A3">
        <w:rPr>
          <w:lang w:val="en-US"/>
        </w:rPr>
        <w:t xml:space="preserve"> estimate the coefficients </w:t>
      </w:r>
      <w:r w:rsidR="006060A3" w:rsidRPr="00675E21">
        <w:rPr>
          <w:i/>
          <w:lang w:val="en-US"/>
        </w:rPr>
        <w:t>α</w:t>
      </w:r>
      <w:r w:rsidR="006060A3">
        <w:rPr>
          <w:lang w:val="en-US"/>
        </w:rPr>
        <w:t xml:space="preserve"> and </w:t>
      </w:r>
      <w:r w:rsidR="006060A3" w:rsidRPr="004B4F48">
        <w:rPr>
          <w:i/>
          <w:noProof/>
          <w:lang w:val="en-US"/>
        </w:rPr>
        <w:t>C</w:t>
      </w:r>
      <w:r w:rsidR="006060A3" w:rsidRPr="004B4F48">
        <w:rPr>
          <w:i/>
          <w:noProof/>
          <w:vertAlign w:val="subscript"/>
          <w:lang w:val="en-US"/>
        </w:rPr>
        <w:t>2</w:t>
      </w:r>
      <w:r w:rsidR="006060A3">
        <w:rPr>
          <w:lang w:val="en-US"/>
        </w:rPr>
        <w:t xml:space="preserve"> the modified Ergun equation is used </w:t>
      </w:r>
      <w:r w:rsidR="006060A3" w:rsidRPr="001B4561">
        <w:rPr>
          <w:highlight w:val="lightGray"/>
          <w:lang w:val="en-US"/>
        </w:rPr>
        <w:t>(20)</w:t>
      </w:r>
      <w:r w:rsidR="006060A3">
        <w:rPr>
          <w:lang w:val="en-US"/>
        </w:rPr>
        <w:t xml:space="preserve">. It is semi-empirical correlation applicable over a wide range of Reynolds numbers and for many types of packing beds and can be </w:t>
      </w:r>
      <w:r w:rsidR="006060A3" w:rsidRPr="004B4F48">
        <w:rPr>
          <w:noProof/>
          <w:lang w:val="en-US"/>
        </w:rPr>
        <w:t>used</w:t>
      </w:r>
      <w:r w:rsidR="006060A3">
        <w:rPr>
          <w:lang w:val="en-US"/>
        </w:rPr>
        <w:t xml:space="preserve"> for porous foams as well. According to Ergun equation, </w:t>
      </w:r>
      <w:r w:rsidR="006060A3" w:rsidRPr="004B4F48">
        <w:rPr>
          <w:noProof/>
          <w:lang w:val="en-US"/>
        </w:rPr>
        <w:t>th</w:t>
      </w:r>
      <w:r w:rsidR="006060A3">
        <w:rPr>
          <w:lang w:val="en-US"/>
        </w:rPr>
        <w:t xml:space="preserve">e pressure loss in a given </w:t>
      </w:r>
      <w:r w:rsidR="006060A3" w:rsidRPr="004B4F48">
        <w:rPr>
          <w:i/>
          <w:noProof/>
          <w:lang w:val="en-US"/>
        </w:rPr>
        <w:t>i-th</w:t>
      </w:r>
      <w:r w:rsidR="006060A3">
        <w:rPr>
          <w:lang w:val="en-US"/>
        </w:rPr>
        <w:t xml:space="preserve"> direction is </w:t>
      </w:r>
      <w:r w:rsidR="006060A3" w:rsidRPr="00680ECD">
        <w:rPr>
          <w:noProof/>
          <w:lang w:val="en-US"/>
        </w:rPr>
        <w:t>given</w:t>
      </w:r>
      <w:r w:rsidR="006060A3">
        <w:rPr>
          <w:lang w:val="en-US"/>
        </w:rPr>
        <w:t xml:space="preserve"> by:</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7"/>
        <w:gridCol w:w="907"/>
      </w:tblGrid>
      <w:tr w:rsidR="006060A3" w14:paraId="210F15D0" w14:textId="77777777" w:rsidTr="0045084A">
        <w:trPr>
          <w:trHeight w:val="680"/>
          <w:jc w:val="center"/>
        </w:trPr>
        <w:tc>
          <w:tcPr>
            <w:tcW w:w="7937" w:type="dxa"/>
            <w:vAlign w:val="center"/>
          </w:tcPr>
          <w:p w14:paraId="13AC4683" w14:textId="77777777" w:rsidR="006060A3" w:rsidRDefault="006A17F1" w:rsidP="00052D77">
            <w:pPr>
              <w:jc w:val="center"/>
              <w:rPr>
                <w:lang w:val="en-US"/>
              </w:rPr>
            </w:pPr>
            <m:oMathPara>
              <m:oMath>
                <m:f>
                  <m:fPr>
                    <m:ctrlPr>
                      <w:rPr>
                        <w:rFonts w:ascii="Cambria Math" w:hAnsi="Cambria Math"/>
                        <w:i/>
                        <w:lang w:val="en-US"/>
                      </w:rPr>
                    </m:ctrlPr>
                  </m:fPr>
                  <m:num>
                    <m:r>
                      <w:rPr>
                        <w:rFonts w:ascii="Cambria Math" w:hAnsi="Cambria Math"/>
                        <w:lang w:val="en-US"/>
                      </w:rPr>
                      <m:t>dp</m:t>
                    </m:r>
                  </m:num>
                  <m:den>
                    <m:r>
                      <w:rPr>
                        <w:rFonts w:ascii="Cambria Math" w:hAnsi="Cambria Math"/>
                        <w:lang w:val="en-US"/>
                      </w:rPr>
                      <m:t>d</m:t>
                    </m:r>
                    <m:sSub>
                      <m:sSubPr>
                        <m:ctrlPr>
                          <w:rPr>
                            <w:rFonts w:ascii="Cambria Math" w:hAnsi="Cambria Math"/>
                            <w:i/>
                            <w:lang w:val="en-US"/>
                          </w:rPr>
                        </m:ctrlPr>
                      </m:sSubPr>
                      <m:e>
                        <m:r>
                          <w:rPr>
                            <w:rFonts w:ascii="Cambria Math" w:hAnsi="Cambria Math"/>
                            <w:lang w:val="en-US"/>
                          </w:rPr>
                          <m:t>x</m:t>
                        </m:r>
                      </m:e>
                      <m:sub>
                        <m:r>
                          <w:rPr>
                            <w:rFonts w:ascii="Cambria Math" w:hAnsi="Cambria Math"/>
                            <w:lang w:val="en-US"/>
                          </w:rPr>
                          <m:t>i</m:t>
                        </m:r>
                      </m:sub>
                    </m:sSub>
                  </m:den>
                </m:f>
                <m:r>
                  <w:rPr>
                    <w:rFonts w:ascii="Cambria Math" w:hAnsi="Cambria Math"/>
                    <w:lang w:val="en-US"/>
                  </w:rPr>
                  <m:t>=-</m:t>
                </m:r>
                <m:f>
                  <m:fPr>
                    <m:ctrlPr>
                      <w:rPr>
                        <w:rFonts w:ascii="Cambria Math" w:hAnsi="Cambria Math"/>
                        <w:i/>
                        <w:lang w:val="en-US"/>
                      </w:rPr>
                    </m:ctrlPr>
                  </m:fPr>
                  <m:num>
                    <m:r>
                      <w:rPr>
                        <w:rFonts w:ascii="Cambria Math" w:hAnsi="Cambria Math"/>
                        <w:lang w:val="en-US"/>
                      </w:rPr>
                      <m:t>180</m:t>
                    </m:r>
                    <m:sSup>
                      <m:sSupPr>
                        <m:ctrlPr>
                          <w:rPr>
                            <w:rFonts w:ascii="Cambria Math" w:hAnsi="Cambria Math"/>
                            <w:i/>
                            <w:lang w:val="en-US"/>
                          </w:rPr>
                        </m:ctrlPr>
                      </m:sSupPr>
                      <m:e>
                        <m:r>
                          <w:rPr>
                            <w:rFonts w:ascii="Cambria Math" w:hAnsi="Cambria Math"/>
                            <w:lang w:val="en-US"/>
                          </w:rPr>
                          <m:t>(1-ε)</m:t>
                        </m:r>
                      </m:e>
                      <m:sup>
                        <m:r>
                          <w:rPr>
                            <w:rFonts w:ascii="Cambria Math" w:hAnsi="Cambria Math"/>
                            <w:lang w:val="en-US"/>
                          </w:rPr>
                          <m:t>2</m:t>
                        </m:r>
                      </m:sup>
                    </m:sSup>
                  </m:num>
                  <m:den>
                    <m:sSup>
                      <m:sSupPr>
                        <m:ctrlPr>
                          <w:rPr>
                            <w:rFonts w:ascii="Cambria Math" w:hAnsi="Cambria Math"/>
                            <w:i/>
                            <w:lang w:val="en-US"/>
                          </w:rPr>
                        </m:ctrlPr>
                      </m:sSupPr>
                      <m:e>
                        <m:r>
                          <w:rPr>
                            <w:rFonts w:ascii="Cambria Math" w:hAnsi="Cambria Math"/>
                            <w:lang w:val="en-US"/>
                          </w:rPr>
                          <m:t>ε</m:t>
                        </m:r>
                      </m:e>
                      <m:sup>
                        <m:r>
                          <w:rPr>
                            <w:rFonts w:ascii="Cambria Math" w:hAnsi="Cambria Math"/>
                            <w:lang w:val="en-US"/>
                          </w:rPr>
                          <m:t>3</m:t>
                        </m:r>
                      </m:sup>
                    </m:sSup>
                  </m:den>
                </m:f>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μ</m:t>
                        </m:r>
                      </m:e>
                      <m:sub>
                        <m:r>
                          <w:rPr>
                            <w:rFonts w:ascii="Cambria Math" w:hAnsi="Cambria Math"/>
                            <w:lang w:val="en-US"/>
                          </w:rPr>
                          <m:t>f</m:t>
                        </m:r>
                      </m:sub>
                    </m:sSub>
                  </m:num>
                  <m:den>
                    <m:r>
                      <w:rPr>
                        <w:rFonts w:ascii="Cambria Math" w:hAnsi="Cambria Math"/>
                        <w:lang w:val="en-US"/>
                      </w:rPr>
                      <m:t>d</m:t>
                    </m:r>
                  </m:den>
                </m:f>
                <m:sSub>
                  <m:sSubPr>
                    <m:ctrlPr>
                      <w:rPr>
                        <w:rFonts w:ascii="Cambria Math" w:hAnsi="Cambria Math"/>
                        <w:i/>
                        <w:lang w:val="en-US"/>
                      </w:rPr>
                    </m:ctrlPr>
                  </m:sSubPr>
                  <m:e>
                    <m:r>
                      <w:rPr>
                        <w:rFonts w:ascii="Cambria Math" w:hAnsi="Cambria Math"/>
                        <w:lang w:val="en-US"/>
                      </w:rPr>
                      <m:t>v</m:t>
                    </m:r>
                  </m:e>
                  <m:sub>
                    <m:r>
                      <w:rPr>
                        <w:rFonts w:ascii="Cambria Math" w:hAnsi="Cambria Math"/>
                        <w:lang w:val="en-US"/>
                      </w:rPr>
                      <m:t>i</m:t>
                    </m:r>
                  </m:sub>
                </m:sSub>
                <m:r>
                  <w:rPr>
                    <w:rFonts w:ascii="Cambria Math" w:hAnsi="Cambria Math"/>
                    <w:lang w:val="en-US"/>
                  </w:rPr>
                  <m:t>-</m:t>
                </m:r>
                <m:f>
                  <m:fPr>
                    <m:ctrlPr>
                      <w:rPr>
                        <w:rFonts w:ascii="Cambria Math" w:hAnsi="Cambria Math"/>
                        <w:i/>
                        <w:lang w:val="en-US"/>
                      </w:rPr>
                    </m:ctrlPr>
                  </m:fPr>
                  <m:num>
                    <m:r>
                      <w:rPr>
                        <w:rFonts w:ascii="Cambria Math" w:hAnsi="Cambria Math"/>
                        <w:lang w:val="en-US"/>
                      </w:rPr>
                      <m:t>c(1-ε)</m:t>
                    </m:r>
                  </m:num>
                  <m:den>
                    <m:sSup>
                      <m:sSupPr>
                        <m:ctrlPr>
                          <w:rPr>
                            <w:rFonts w:ascii="Cambria Math" w:hAnsi="Cambria Math"/>
                            <w:i/>
                            <w:lang w:val="en-US"/>
                          </w:rPr>
                        </m:ctrlPr>
                      </m:sSupPr>
                      <m:e>
                        <m:r>
                          <w:rPr>
                            <w:rFonts w:ascii="Cambria Math" w:hAnsi="Cambria Math"/>
                            <w:lang w:val="en-US"/>
                          </w:rPr>
                          <m:t>ε</m:t>
                        </m:r>
                      </m:e>
                      <m:sup>
                        <m:r>
                          <w:rPr>
                            <w:rFonts w:ascii="Cambria Math" w:hAnsi="Cambria Math"/>
                            <w:lang w:val="en-US"/>
                          </w:rPr>
                          <m:t>3</m:t>
                        </m:r>
                      </m:sup>
                    </m:sSup>
                  </m:den>
                </m:f>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ρ</m:t>
                        </m:r>
                      </m:e>
                      <m:sub>
                        <m:r>
                          <w:rPr>
                            <w:rFonts w:ascii="Cambria Math" w:hAnsi="Cambria Math"/>
                            <w:lang w:val="en-US"/>
                          </w:rPr>
                          <m:t>f</m:t>
                        </m:r>
                      </m:sub>
                    </m:sSub>
                  </m:num>
                  <m:den>
                    <m:r>
                      <w:rPr>
                        <w:rFonts w:ascii="Cambria Math" w:hAnsi="Cambria Math"/>
                        <w:lang w:val="en-US"/>
                      </w:rPr>
                      <m:t>d</m:t>
                    </m:r>
                  </m:den>
                </m:f>
                <m:sSup>
                  <m:sSupPr>
                    <m:ctrlPr>
                      <w:rPr>
                        <w:rFonts w:ascii="Cambria Math" w:hAnsi="Cambria Math"/>
                        <w:i/>
                        <w:lang w:val="en-US"/>
                      </w:rPr>
                    </m:ctrlPr>
                  </m:sSupPr>
                  <m:e>
                    <m:sSub>
                      <m:sSubPr>
                        <m:ctrlPr>
                          <w:rPr>
                            <w:rFonts w:ascii="Cambria Math" w:hAnsi="Cambria Math"/>
                            <w:i/>
                            <w:lang w:val="en-US"/>
                          </w:rPr>
                        </m:ctrlPr>
                      </m:sSubPr>
                      <m:e>
                        <m:r>
                          <w:rPr>
                            <w:rFonts w:ascii="Cambria Math" w:hAnsi="Cambria Math"/>
                            <w:lang w:val="en-US"/>
                          </w:rPr>
                          <m:t>v</m:t>
                        </m:r>
                      </m:e>
                      <m:sub>
                        <m:r>
                          <w:rPr>
                            <w:rFonts w:ascii="Cambria Math" w:hAnsi="Cambria Math"/>
                            <w:lang w:val="en-US"/>
                          </w:rPr>
                          <m:t>i</m:t>
                        </m:r>
                      </m:sub>
                    </m:sSub>
                  </m:e>
                  <m:sup>
                    <m:r>
                      <w:rPr>
                        <w:rFonts w:ascii="Cambria Math" w:hAnsi="Cambria Math"/>
                        <w:lang w:val="en-US"/>
                      </w:rPr>
                      <m:t>2</m:t>
                    </m:r>
                  </m:sup>
                </m:sSup>
              </m:oMath>
            </m:oMathPara>
          </w:p>
        </w:tc>
        <w:tc>
          <w:tcPr>
            <w:tcW w:w="907" w:type="dxa"/>
            <w:vAlign w:val="center"/>
          </w:tcPr>
          <w:p w14:paraId="5319D50C" w14:textId="77777777" w:rsidR="006060A3" w:rsidRDefault="006060A3" w:rsidP="00052D77">
            <w:pPr>
              <w:ind w:firstLine="34"/>
              <w:jc w:val="center"/>
              <w:rPr>
                <w:lang w:val="en-US"/>
              </w:rPr>
            </w:pPr>
            <w:r>
              <w:rPr>
                <w:lang w:val="en-US"/>
              </w:rPr>
              <w:t>(20)</w:t>
            </w:r>
          </w:p>
        </w:tc>
      </w:tr>
    </w:tbl>
    <w:p w14:paraId="5AC487FB" w14:textId="4AC7C1FE" w:rsidR="006060A3" w:rsidRDefault="006060A3" w:rsidP="006060A3">
      <w:pPr>
        <w:spacing w:before="120" w:after="120"/>
        <w:rPr>
          <w:lang w:val="en-US"/>
        </w:rPr>
      </w:pPr>
      <w:r>
        <w:rPr>
          <w:lang w:val="en-US"/>
        </w:rPr>
        <w:t xml:space="preserve">After some manipulations of </w:t>
      </w:r>
      <w:r w:rsidR="004B4F48" w:rsidRPr="004B4F48">
        <w:rPr>
          <w:noProof/>
          <w:lang w:val="en-US"/>
        </w:rPr>
        <w:t>E</w:t>
      </w:r>
      <w:r w:rsidRPr="004B4F48">
        <w:rPr>
          <w:noProof/>
          <w:lang w:val="en-US"/>
        </w:rPr>
        <w:t>q</w:t>
      </w:r>
      <w:r w:rsidR="004B4F48">
        <w:rPr>
          <w:noProof/>
          <w:lang w:val="en-US"/>
        </w:rPr>
        <w:t>s</w:t>
      </w:r>
      <w:r w:rsidR="00052D77">
        <w:rPr>
          <w:lang w:val="en-US"/>
        </w:rPr>
        <w:t>.</w:t>
      </w:r>
      <w:r>
        <w:rPr>
          <w:lang w:val="en-US"/>
        </w:rPr>
        <w:t xml:space="preserve"> (19) </w:t>
      </w:r>
      <w:r w:rsidRPr="00680ECD">
        <w:rPr>
          <w:noProof/>
          <w:lang w:val="en-US"/>
        </w:rPr>
        <w:t>and (20)</w:t>
      </w:r>
      <w:r w:rsidR="004B4F48" w:rsidRPr="004B4F48">
        <w:rPr>
          <w:noProof/>
          <w:lang w:val="en-US"/>
        </w:rPr>
        <w:t>,</w:t>
      </w:r>
      <w:r>
        <w:rPr>
          <w:lang w:val="en-US"/>
        </w:rPr>
        <w:t xml:space="preserve"> the following expressions for </w:t>
      </w:r>
      <w:r w:rsidRPr="00675E21">
        <w:rPr>
          <w:i/>
          <w:lang w:val="en-US"/>
        </w:rPr>
        <w:t>α</w:t>
      </w:r>
      <w:r>
        <w:rPr>
          <w:lang w:val="en-US"/>
        </w:rPr>
        <w:t xml:space="preserve"> and </w:t>
      </w:r>
      <w:r w:rsidRPr="00675E21">
        <w:rPr>
          <w:i/>
          <w:lang w:val="en-US"/>
        </w:rPr>
        <w:t>C</w:t>
      </w:r>
      <w:r w:rsidRPr="00675E21">
        <w:rPr>
          <w:i/>
          <w:vertAlign w:val="subscript"/>
          <w:lang w:val="en-US"/>
        </w:rPr>
        <w:t>2</w:t>
      </w:r>
      <w:r>
        <w:rPr>
          <w:lang w:val="en-US"/>
        </w:rPr>
        <w:t xml:space="preserve"> are found to be:</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7"/>
        <w:gridCol w:w="907"/>
      </w:tblGrid>
      <w:tr w:rsidR="006060A3" w14:paraId="7F1E09F9" w14:textId="77777777" w:rsidTr="0045084A">
        <w:trPr>
          <w:trHeight w:val="680"/>
          <w:jc w:val="center"/>
        </w:trPr>
        <w:tc>
          <w:tcPr>
            <w:tcW w:w="7937" w:type="dxa"/>
            <w:vAlign w:val="center"/>
          </w:tcPr>
          <w:p w14:paraId="0F424F24" w14:textId="09A21404" w:rsidR="006060A3" w:rsidRDefault="006060A3" w:rsidP="00052D77">
            <w:pPr>
              <w:jc w:val="left"/>
              <w:rPr>
                <w:lang w:val="en-US"/>
              </w:rPr>
            </w:pPr>
            <m:oMathPara>
              <m:oMath>
                <m:r>
                  <w:rPr>
                    <w:rFonts w:ascii="Cambria Math" w:hAnsi="Cambria Math"/>
                    <w:lang w:val="en-US"/>
                  </w:rPr>
                  <m:t>α=</m:t>
                </m:r>
                <m:f>
                  <m:fPr>
                    <m:ctrlPr>
                      <w:rPr>
                        <w:rFonts w:ascii="Cambria Math" w:hAnsi="Cambria Math"/>
                        <w:i/>
                        <w:lang w:val="en-US"/>
                      </w:rPr>
                    </m:ctrlPr>
                  </m:fPr>
                  <m:num>
                    <m:sSup>
                      <m:sSupPr>
                        <m:ctrlPr>
                          <w:rPr>
                            <w:rFonts w:ascii="Cambria Math" w:hAnsi="Cambria Math"/>
                            <w:i/>
                            <w:lang w:val="en-US"/>
                          </w:rPr>
                        </m:ctrlPr>
                      </m:sSupPr>
                      <m:e>
                        <m:r>
                          <w:rPr>
                            <w:rFonts w:ascii="Cambria Math" w:hAnsi="Cambria Math"/>
                            <w:lang w:val="en-US"/>
                          </w:rPr>
                          <m:t>d</m:t>
                        </m:r>
                      </m:e>
                      <m:sup>
                        <m:r>
                          <w:rPr>
                            <w:rFonts w:ascii="Cambria Math" w:hAnsi="Cambria Math"/>
                            <w:lang w:val="en-US"/>
                          </w:rPr>
                          <m:t>2</m:t>
                        </m:r>
                      </m:sup>
                    </m:sSup>
                  </m:num>
                  <m:den>
                    <m:r>
                      <w:rPr>
                        <w:rFonts w:ascii="Cambria Math" w:hAnsi="Cambria Math"/>
                        <w:lang w:val="en-US"/>
                      </w:rPr>
                      <m:t>180</m:t>
                    </m:r>
                  </m:den>
                </m:f>
                <m:f>
                  <m:fPr>
                    <m:ctrlPr>
                      <w:rPr>
                        <w:rFonts w:ascii="Cambria Math" w:hAnsi="Cambria Math"/>
                        <w:i/>
                        <w:lang w:val="en-US"/>
                      </w:rPr>
                    </m:ctrlPr>
                  </m:fPr>
                  <m:num>
                    <m:sSup>
                      <m:sSupPr>
                        <m:ctrlPr>
                          <w:rPr>
                            <w:rFonts w:ascii="Cambria Math" w:hAnsi="Cambria Math"/>
                            <w:i/>
                            <w:lang w:val="en-US"/>
                          </w:rPr>
                        </m:ctrlPr>
                      </m:sSupPr>
                      <m:e>
                        <m:r>
                          <w:rPr>
                            <w:rFonts w:ascii="Cambria Math" w:hAnsi="Cambria Math"/>
                            <w:lang w:val="en-US"/>
                          </w:rPr>
                          <m:t>ε</m:t>
                        </m:r>
                      </m:e>
                      <m:sup>
                        <m:r>
                          <w:rPr>
                            <w:rFonts w:ascii="Cambria Math" w:hAnsi="Cambria Math"/>
                            <w:lang w:val="en-US"/>
                          </w:rPr>
                          <m:t>3</m:t>
                        </m:r>
                      </m:sup>
                    </m:sSup>
                  </m:num>
                  <m:den>
                    <m:sSup>
                      <m:sSupPr>
                        <m:ctrlPr>
                          <w:rPr>
                            <w:rFonts w:ascii="Cambria Math" w:hAnsi="Cambria Math"/>
                            <w:i/>
                            <w:lang w:val="en-US"/>
                          </w:rPr>
                        </m:ctrlPr>
                      </m:sSupPr>
                      <m:e>
                        <m:r>
                          <w:rPr>
                            <w:rFonts w:ascii="Cambria Math" w:hAnsi="Cambria Math"/>
                            <w:lang w:val="en-US"/>
                          </w:rPr>
                          <m:t>(1-ε)</m:t>
                        </m:r>
                      </m:e>
                      <m:sup>
                        <m:r>
                          <w:rPr>
                            <w:rFonts w:ascii="Cambria Math" w:hAnsi="Cambria Math"/>
                            <w:lang w:val="en-US"/>
                          </w:rPr>
                          <m:t>2</m:t>
                        </m:r>
                      </m:sup>
                    </m:sSup>
                  </m:den>
                </m:f>
              </m:oMath>
            </m:oMathPara>
          </w:p>
        </w:tc>
        <w:tc>
          <w:tcPr>
            <w:tcW w:w="907" w:type="dxa"/>
            <w:vAlign w:val="center"/>
          </w:tcPr>
          <w:p w14:paraId="7DE2C149" w14:textId="77777777" w:rsidR="006060A3" w:rsidRDefault="006060A3" w:rsidP="006060A3">
            <w:pPr>
              <w:ind w:firstLine="34"/>
              <w:jc w:val="center"/>
              <w:rPr>
                <w:lang w:val="en-US"/>
              </w:rPr>
            </w:pPr>
            <w:r>
              <w:rPr>
                <w:lang w:val="en-US"/>
              </w:rPr>
              <w:t>(21)</w:t>
            </w:r>
          </w:p>
        </w:tc>
      </w:tr>
      <w:tr w:rsidR="006060A3" w14:paraId="1158A7D7" w14:textId="77777777" w:rsidTr="0045084A">
        <w:trPr>
          <w:trHeight w:val="680"/>
          <w:jc w:val="center"/>
        </w:trPr>
        <w:tc>
          <w:tcPr>
            <w:tcW w:w="7937" w:type="dxa"/>
            <w:vAlign w:val="center"/>
          </w:tcPr>
          <w:p w14:paraId="3E718A6C" w14:textId="77777777" w:rsidR="006060A3" w:rsidRPr="00052D77" w:rsidRDefault="006A17F1" w:rsidP="00052D77">
            <w:pPr>
              <w:jc w:val="left"/>
              <w:rPr>
                <w:rFonts w:ascii="Calibri" w:hAnsi="Calibri"/>
                <w:lang w:val="en-US"/>
              </w:rPr>
            </w:pPr>
            <m:oMathPara>
              <m:oMathParaPr>
                <m:jc m:val="center"/>
              </m:oMathParaPr>
              <m:oMath>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2</m:t>
                    </m:r>
                  </m:sub>
                </m:sSub>
                <m:r>
                  <w:rPr>
                    <w:rFonts w:ascii="Cambria Math" w:hAnsi="Cambria Math"/>
                    <w:lang w:val="en-US"/>
                  </w:rPr>
                  <m:t>=</m:t>
                </m:r>
                <m:f>
                  <m:fPr>
                    <m:ctrlPr>
                      <w:rPr>
                        <w:rFonts w:ascii="Cambria Math" w:hAnsi="Cambria Math"/>
                        <w:i/>
                        <w:lang w:val="en-US"/>
                      </w:rPr>
                    </m:ctrlPr>
                  </m:fPr>
                  <m:num>
                    <m:r>
                      <w:rPr>
                        <w:rFonts w:ascii="Cambria Math" w:hAnsi="Cambria Math"/>
                        <w:lang w:val="en-US"/>
                      </w:rPr>
                      <m:t>3.6</m:t>
                    </m:r>
                  </m:num>
                  <m:den>
                    <m:r>
                      <w:rPr>
                        <w:rFonts w:ascii="Cambria Math" w:hAnsi="Cambria Math"/>
                        <w:lang w:val="en-US"/>
                      </w:rPr>
                      <m:t>d</m:t>
                    </m:r>
                  </m:den>
                </m:f>
                <m:f>
                  <m:fPr>
                    <m:ctrlPr>
                      <w:rPr>
                        <w:rFonts w:ascii="Cambria Math" w:hAnsi="Cambria Math"/>
                        <w:i/>
                        <w:lang w:val="en-US"/>
                      </w:rPr>
                    </m:ctrlPr>
                  </m:fPr>
                  <m:num>
                    <m:r>
                      <w:rPr>
                        <w:rFonts w:ascii="Cambria Math" w:hAnsi="Cambria Math"/>
                        <w:lang w:val="en-US"/>
                      </w:rPr>
                      <m:t>(1-ε)</m:t>
                    </m:r>
                  </m:num>
                  <m:den>
                    <m:sSup>
                      <m:sSupPr>
                        <m:ctrlPr>
                          <w:rPr>
                            <w:rFonts w:ascii="Cambria Math" w:hAnsi="Cambria Math"/>
                            <w:i/>
                            <w:lang w:val="en-US"/>
                          </w:rPr>
                        </m:ctrlPr>
                      </m:sSupPr>
                      <m:e>
                        <m:r>
                          <w:rPr>
                            <w:rFonts w:ascii="Cambria Math" w:hAnsi="Cambria Math"/>
                            <w:lang w:val="en-US"/>
                          </w:rPr>
                          <m:t>ε</m:t>
                        </m:r>
                      </m:e>
                      <m:sup>
                        <m:r>
                          <w:rPr>
                            <w:rFonts w:ascii="Cambria Math" w:hAnsi="Cambria Math"/>
                            <w:lang w:val="en-US"/>
                          </w:rPr>
                          <m:t>3</m:t>
                        </m:r>
                      </m:sup>
                    </m:sSup>
                  </m:den>
                </m:f>
              </m:oMath>
            </m:oMathPara>
          </w:p>
        </w:tc>
        <w:tc>
          <w:tcPr>
            <w:tcW w:w="907" w:type="dxa"/>
            <w:vAlign w:val="center"/>
          </w:tcPr>
          <w:p w14:paraId="24D8198B" w14:textId="77777777" w:rsidR="006060A3" w:rsidRDefault="006060A3" w:rsidP="006060A3">
            <w:pPr>
              <w:ind w:firstLine="34"/>
              <w:jc w:val="center"/>
              <w:rPr>
                <w:lang w:val="en-US"/>
              </w:rPr>
            </w:pPr>
            <w:r>
              <w:rPr>
                <w:lang w:val="en-US"/>
              </w:rPr>
              <w:t>(22)</w:t>
            </w:r>
          </w:p>
        </w:tc>
      </w:tr>
    </w:tbl>
    <w:p w14:paraId="112B9B61" w14:textId="6459F57D" w:rsidR="006060A3" w:rsidRDefault="006060A3" w:rsidP="006060A3">
      <w:pPr>
        <w:spacing w:before="120"/>
        <w:rPr>
          <w:lang w:val="en-US"/>
        </w:rPr>
      </w:pPr>
      <w:r>
        <w:rPr>
          <w:lang w:val="en-US"/>
        </w:rPr>
        <w:t>The literature covers the problem of pressure drop in porous foams of similar PPI and porosity</w:t>
      </w:r>
      <w:r w:rsidR="0067025F">
        <w:rPr>
          <w:lang w:val="en-US"/>
        </w:rPr>
        <w:t xml:space="preserve"> </w:t>
      </w:r>
      <w:r w:rsidR="0067025F">
        <w:rPr>
          <w:lang w:val="en-US"/>
        </w:rPr>
        <w:fldChar w:fldCharType="begin" w:fldLock="1"/>
      </w:r>
      <w:r w:rsidR="00844B4D">
        <w:rPr>
          <w:lang w:val="en-US"/>
        </w:rPr>
        <w:instrText>ADDIN CSL_CITATION { "citationItems" : [ { "id" : "ITEM-1", "itemData" : { "DOI" : "10.1016/j.matdes.2005.08.002", "ISSN" : "02613069", "author" : [ { "dropping-particle" : "", "family" : "Azzi", "given" : "W.", "non-dropping-particle" : "", "parse-names" : false, "suffix" : "" }, { "dropping-particle" : "", "family" : "Roberts", "given" : "W.L.", "non-dropping-particle" : "", "parse-names" : false, "suffix" : "" }, { "dropping-particle" : "", "family" : "Rabiei", "given" : "A.", "non-dropping-particle" : "", "parse-names" : false, "suffix" : "" } ], "container-title" : "Materials &amp; Design", "id" : "ITEM-1", "issue" : "2", "issued" : { "date-parts" : [ [ "2007", "1" ] ] }, "page" : "569-574", "title" : "A study on pressure drop and heat transfer in open cell metal foams for jet engine applications", "type" : "article-journal", "volume" : "28" }, "uris" : [ "http://www.mendeley.com/documents/?uuid=364ede92-a028-369e-a4a0-cff89fd07d84" ] }, { "id" : "ITEM-2", "itemData" : { "DOI" : "10.1016/j.expthermflusci.2007.12.001", "ISSN" : "08941777", "author" : [ { "dropping-particle" : "", "family" : "Dukhan", "given" : "Nihad", "non-dropping-particle" : "", "parse-names" : false, "suffix" : "" }, { "dropping-particle" : "", "family" : "Patel", "given" : "Pragnesh", "non-dropping-particle" : "", "parse-names" : false, "suffix" : "" } ], "container-title" : "Experimental Thermal and Fluid Science", "id" : "ITEM-2", "issue" : "5", "issued" : { "date-parts" : [ [ "2008", "4" ] ] }, "page" : "1059-1067", "title" : "Equivalent particle diameter and length scale for pressure drop in porous metals", "type" : "article-journal", "volume" : "32" }, "uris" : [ "http://www.mendeley.com/documents/?uuid=30c35ec5-1ba8-3d00-bef2-846334ce0439" ] }, { "id" : "ITEM-3", "itemData" : { "DOI" : "10.1016/j.ijthermalsci.2012.02.017", "abstract" : "a b s t r a c t In applications where a fluid flows through the open pores of metal foam, the foam is treated as an infinite porous medium for which the Darcy law and the Forchheimer equation are applied, in order to describe the pressure drop and to obtain the permeability and form drag coefficient. However, in many practical applications the foam is confined, and depending on the transverse size of the foam (perpen-dicular to the flow direction), the confining walls and the size may have a strong effect on the velocity field and the resulting pressure drop and its behavior. Actually, for small confined foam size, the above flow relations may not be applicable, or they may require modifications in order to account for the added pressure drop due to the confining walls and size effects. Little or no attention has been paid to the transverse size of the foam perpendicular to the confining wall, which may explain some of the diver-gence in reported pressure drop in the literature. For confined cylindrical foam systems, this paper experimentally establishes a minimum diameter necessary for the foam to have diameter-independent pressure drop, i.e., negligible wall and size effects and constant permeability and form drag coefficient. This minimum diameter is obtained for two types of open-cell aluminum foam subjected to fully-developed airflow in the Forchheimer regime. Below this diameter, values of the two key flow proper-ties show strong dependence on diameter. The Reynolds number ranged from approximately 15,000 to 115,000, and the foam diameters ranged from five to forty five cells for 10-and 20-pore per inch aluminum foam. The intertwined wall and size effect is isolated and studied.", "author" : [ { "dropping-particle" : "", "family" : "Dukhan", "given" : "Nihad", "non-dropping-particle" : "", "parse-names" : false, "suffix" : "" }, { "dropping-particle" : "", "family" : "Ali", "given" : "Mohamed", "non-dropping-particle" : "", "parse-names" : false, "suffix" : "" } ], "container-title" : "International Journal of Thermal Sciences", "id" : "ITEM-3", "issued" : { "date-parts" : [ [ "2012" ] ] }, "page" : "85-91", "title" : "Strong wall and transverse size effects on pressure drop of flow through open-cell metal foam", "type" : "article-journal", "volume" : "57" }, "uris" : [ "http://www.mendeley.com/documents/?uuid=cd2d2825-8e11-3675-bb68-1189dcf2bc5f" ] }, { "id" : "ITEM-4", "itemData" : { "DOI" : "10.1016/j.ijheatmasstransfer.2010.03.015", "ISSN" : "00179310", "author" : [ { "dropping-particle" : "", "family" : "Mancin", "given" : "Simone", "non-dropping-particle" : "", "parse-names" : false, "suffix" : "" }, { "dropping-particle" : "", "family" : "Zilio", "given" : "Claudio", "non-dropping-particle" : "", "parse-names" : false, "suffix" : "" }, { "dropping-particle" : "", "family" : "Cavallini", "given" : "Alberto", "non-dropping-particle" : "", "parse-names" : false, "suffix" : "" }, { "dropping-particle" : "", "family" : "Rossetto", "given" : "Luisa", "non-dropping-particle" : "", "parse-names" : false, "suffix" : "" } ], "container-title" : "International Journal of Heat and Mass Transfer", "id" : "ITEM-4", "issue" : "15-16", "issued" : { "date-parts" : [ [ "2010", "7" ] ] }, "page" : "3121-3130", "title" : "Pressure drop during air flow in aluminum foams", "type" : "article-journal", "volume" : "53" }, "uris" : [ "http://www.mendeley.com/documents/?uuid=e8a2190b-68f4-3d0b-9315-2179af8cb75d" ] } ], "mendeley" : { "formattedCitation" : "[34\u201337]", "plainTextFormattedCitation" : "[34\u201337]", "previouslyFormattedCitation" : "[34\u201337]" }, "properties" : { "noteIndex" : 0 }, "schema" : "https://github.com/citation-style-language/schema/raw/master/csl-citation.json" }</w:instrText>
      </w:r>
      <w:r w:rsidR="0067025F">
        <w:rPr>
          <w:lang w:val="en-US"/>
        </w:rPr>
        <w:fldChar w:fldCharType="separate"/>
      </w:r>
      <w:r w:rsidR="009829B8" w:rsidRPr="009829B8">
        <w:rPr>
          <w:noProof/>
          <w:lang w:val="en-US"/>
        </w:rPr>
        <w:t>[34–37]</w:t>
      </w:r>
      <w:r w:rsidR="0067025F">
        <w:rPr>
          <w:lang w:val="en-US"/>
        </w:rPr>
        <w:fldChar w:fldCharType="end"/>
      </w:r>
      <w:r w:rsidRPr="002A0027">
        <w:rPr>
          <w:lang w:val="en-US"/>
        </w:rPr>
        <w:t>, but none of them addresses the problem of pressure drop at high temperatures.</w:t>
      </w:r>
      <w:r>
        <w:rPr>
          <w:lang w:val="en-US"/>
        </w:rPr>
        <w:t xml:space="preserve"> Nevertheless,</w:t>
      </w:r>
      <w:r w:rsidR="004B4F48">
        <w:rPr>
          <w:lang w:val="en-US"/>
        </w:rPr>
        <w:t xml:space="preserve"> the</w:t>
      </w:r>
      <w:r>
        <w:rPr>
          <w:lang w:val="en-US"/>
        </w:rPr>
        <w:t xml:space="preserve"> </w:t>
      </w:r>
      <w:r w:rsidRPr="004B4F48">
        <w:rPr>
          <w:noProof/>
          <w:lang w:val="en-US"/>
        </w:rPr>
        <w:t>pressure</w:t>
      </w:r>
      <w:r>
        <w:rPr>
          <w:lang w:val="en-US"/>
        </w:rPr>
        <w:t xml:space="preserve"> drop on the fuel side of the burner was not limiting due to relatively low fuel velocities within</w:t>
      </w:r>
      <w:r w:rsidR="004B4F48">
        <w:rPr>
          <w:lang w:val="en-US"/>
        </w:rPr>
        <w:t xml:space="preserve"> the</w:t>
      </w:r>
      <w:r>
        <w:rPr>
          <w:lang w:val="en-US"/>
        </w:rPr>
        <w:t xml:space="preserve"> </w:t>
      </w:r>
      <w:r w:rsidRPr="004B4F48">
        <w:rPr>
          <w:noProof/>
          <w:lang w:val="en-US"/>
        </w:rPr>
        <w:t>ceramic</w:t>
      </w:r>
      <w:r>
        <w:rPr>
          <w:lang w:val="en-US"/>
        </w:rPr>
        <w:t xml:space="preserve"> foam.</w:t>
      </w:r>
      <w:r w:rsidR="00ED156A">
        <w:rPr>
          <w:lang w:val="en-US"/>
        </w:rPr>
        <w:t xml:space="preserve"> </w:t>
      </w:r>
    </w:p>
    <w:p w14:paraId="50F49B86" w14:textId="2C27681B" w:rsidR="006060A3" w:rsidRDefault="006060A3" w:rsidP="006060A3">
      <w:pPr>
        <w:rPr>
          <w:lang w:val="en-US"/>
        </w:rPr>
      </w:pPr>
      <w:r>
        <w:rPr>
          <w:lang w:val="en-US"/>
        </w:rPr>
        <w:t xml:space="preserve">As a result of the modeling, the temperature and molar concentration of species were obtained and </w:t>
      </w:r>
      <w:r w:rsidRPr="00680ECD">
        <w:rPr>
          <w:noProof/>
          <w:lang w:val="en-US"/>
        </w:rPr>
        <w:t>are presented</w:t>
      </w:r>
      <w:r>
        <w:rPr>
          <w:lang w:val="en-US"/>
        </w:rPr>
        <w:t xml:space="preserve"> in </w:t>
      </w:r>
      <w:r w:rsidR="00052D77">
        <w:rPr>
          <w:lang w:val="en-US"/>
        </w:rPr>
        <w:t>Figure A3-A5</w:t>
      </w:r>
      <w:r>
        <w:rPr>
          <w:lang w:val="en-US"/>
        </w:rPr>
        <w:t>.</w:t>
      </w:r>
    </w:p>
    <w:p w14:paraId="52FF41DD" w14:textId="77777777" w:rsidR="006060A3" w:rsidRDefault="006060A3" w:rsidP="006060A3">
      <w:pPr>
        <w:spacing w:after="0"/>
        <w:jc w:val="center"/>
        <w:rPr>
          <w:highlight w:val="lightGray"/>
          <w:lang w:val="en-US"/>
        </w:rPr>
      </w:pPr>
      <w:r>
        <w:rPr>
          <w:noProof/>
          <w:lang w:val="it-IT" w:eastAsia="it-IT"/>
        </w:rPr>
        <w:drawing>
          <wp:inline distT="0" distB="0" distL="0" distR="0" wp14:anchorId="0F0E948C" wp14:editId="2A4130A9">
            <wp:extent cx="5038725" cy="2762011"/>
            <wp:effectExtent l="0" t="0" r="0" b="635"/>
            <wp:docPr id="7" name="Obraz 6" descr="sofcom-palnik-v07 dense udf case=7 V_cool=3.5 m3.h o2_mixarea=0.34 T_fuel=913K -temp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ofcom-palnik-v07 dense udf case=7 V_cool=3.5 m3.h o2_mixarea=0.34 T_fuel=913K -temp2.jpg"/>
                    <pic:cNvPicPr/>
                  </pic:nvPicPr>
                  <pic:blipFill rotWithShape="1">
                    <a:blip r:embed="rId32" cstate="print"/>
                    <a:srcRect t="840" b="26065"/>
                    <a:stretch/>
                  </pic:blipFill>
                  <pic:spPr bwMode="auto">
                    <a:xfrm>
                      <a:off x="0" y="0"/>
                      <a:ext cx="5038725" cy="2762011"/>
                    </a:xfrm>
                    <a:prstGeom prst="rect">
                      <a:avLst/>
                    </a:prstGeom>
                    <a:ln>
                      <a:noFill/>
                    </a:ln>
                    <a:extLst>
                      <a:ext uri="{53640926-AAD7-44D8-BBD7-CCE9431645EC}">
                        <a14:shadowObscured xmlns:a14="http://schemas.microsoft.com/office/drawing/2010/main"/>
                      </a:ext>
                    </a:extLst>
                  </pic:spPr>
                </pic:pic>
              </a:graphicData>
            </a:graphic>
          </wp:inline>
        </w:drawing>
      </w:r>
    </w:p>
    <w:p w14:paraId="258EA17D" w14:textId="7BB2300C" w:rsidR="006060A3" w:rsidRPr="0003036D" w:rsidRDefault="006060A3" w:rsidP="006060A3">
      <w:pPr>
        <w:jc w:val="center"/>
        <w:rPr>
          <w:i/>
          <w:lang w:val="en-US"/>
        </w:rPr>
      </w:pPr>
      <w:r w:rsidRPr="0003036D">
        <w:rPr>
          <w:i/>
          <w:lang w:val="en-US"/>
        </w:rPr>
        <w:t xml:space="preserve">Figure </w:t>
      </w:r>
      <w:r w:rsidR="001564E2">
        <w:rPr>
          <w:i/>
          <w:lang w:val="en-US"/>
        </w:rPr>
        <w:t>A3</w:t>
      </w:r>
      <w:r w:rsidRPr="0003036D">
        <w:rPr>
          <w:i/>
          <w:lang w:val="en-US"/>
        </w:rPr>
        <w:t>. Temperature (K) profile in the symmetry plane of the oxy-combustor.</w:t>
      </w:r>
    </w:p>
    <w:p w14:paraId="6BD608F5" w14:textId="77777777" w:rsidR="006060A3" w:rsidRDefault="006060A3" w:rsidP="006060A3">
      <w:pPr>
        <w:spacing w:after="0"/>
        <w:jc w:val="center"/>
        <w:rPr>
          <w:highlight w:val="lightGray"/>
          <w:lang w:val="en-US"/>
        </w:rPr>
      </w:pPr>
      <w:r>
        <w:rPr>
          <w:noProof/>
          <w:lang w:val="it-IT" w:eastAsia="it-IT"/>
        </w:rPr>
        <w:lastRenderedPageBreak/>
        <w:drawing>
          <wp:inline distT="0" distB="0" distL="0" distR="0" wp14:anchorId="78BD74F4" wp14:editId="6D41FA84">
            <wp:extent cx="5038725" cy="2743000"/>
            <wp:effectExtent l="0" t="0" r="0" b="635"/>
            <wp:docPr id="8" name="Obraz 7" descr="sofcom-palnik-v07 dense udf case=7 V_cool=3.5 m3.h o2_mixarea=0.34 T_fuel=913K -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ofcom-palnik-v07 dense udf case=7 V_cool=3.5 m3.h o2_mixarea=0.34 T_fuel=913K -co.jpg"/>
                    <pic:cNvPicPr/>
                  </pic:nvPicPr>
                  <pic:blipFill rotWithShape="1">
                    <a:blip r:embed="rId33" cstate="print"/>
                    <a:srcRect t="1176" b="26233"/>
                    <a:stretch/>
                  </pic:blipFill>
                  <pic:spPr bwMode="auto">
                    <a:xfrm>
                      <a:off x="0" y="0"/>
                      <a:ext cx="5038725" cy="2743000"/>
                    </a:xfrm>
                    <a:prstGeom prst="rect">
                      <a:avLst/>
                    </a:prstGeom>
                    <a:ln>
                      <a:noFill/>
                    </a:ln>
                    <a:extLst>
                      <a:ext uri="{53640926-AAD7-44D8-BBD7-CCE9431645EC}">
                        <a14:shadowObscured xmlns:a14="http://schemas.microsoft.com/office/drawing/2010/main"/>
                      </a:ext>
                    </a:extLst>
                  </pic:spPr>
                </pic:pic>
              </a:graphicData>
            </a:graphic>
          </wp:inline>
        </w:drawing>
      </w:r>
    </w:p>
    <w:p w14:paraId="0D2282F6" w14:textId="56EB8AA6" w:rsidR="006060A3" w:rsidRPr="0003036D" w:rsidRDefault="001564E2" w:rsidP="006060A3">
      <w:pPr>
        <w:jc w:val="center"/>
        <w:rPr>
          <w:i/>
          <w:lang w:val="en-US"/>
        </w:rPr>
      </w:pPr>
      <w:r>
        <w:rPr>
          <w:i/>
          <w:lang w:val="en-US"/>
        </w:rPr>
        <w:t>Figure A4</w:t>
      </w:r>
      <w:r w:rsidR="006060A3" w:rsidRPr="0003036D">
        <w:rPr>
          <w:i/>
          <w:lang w:val="en-US"/>
        </w:rPr>
        <w:t>. Molar concentration (-) of CO in the symmetry plane of the oxy-combustor.</w:t>
      </w:r>
    </w:p>
    <w:p w14:paraId="0006D6D6" w14:textId="77777777" w:rsidR="006060A3" w:rsidRDefault="006060A3" w:rsidP="006060A3">
      <w:pPr>
        <w:spacing w:after="0"/>
        <w:jc w:val="center"/>
        <w:rPr>
          <w:highlight w:val="lightGray"/>
          <w:lang w:val="en-US"/>
        </w:rPr>
      </w:pPr>
      <w:r>
        <w:rPr>
          <w:noProof/>
          <w:lang w:val="it-IT" w:eastAsia="it-IT"/>
        </w:rPr>
        <w:drawing>
          <wp:inline distT="0" distB="0" distL="0" distR="0" wp14:anchorId="0D51C70C" wp14:editId="4D765857">
            <wp:extent cx="5219065" cy="2882674"/>
            <wp:effectExtent l="0" t="0" r="635" b="0"/>
            <wp:docPr id="10" name="Obraz 8" descr="sofcom-palnik-v07 dense udf case=7 V_cool=3.5 m3.h o2_mixarea=0.34 T_fuel=913K -h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ofcom-palnik-v07 dense udf case=7 V_cool=3.5 m3.h o2_mixarea=0.34 T_fuel=913K -h2-4.jpg"/>
                    <pic:cNvPicPr/>
                  </pic:nvPicPr>
                  <pic:blipFill rotWithShape="1">
                    <a:blip r:embed="rId34" cstate="print"/>
                    <a:srcRect t="486" b="25862"/>
                    <a:stretch/>
                  </pic:blipFill>
                  <pic:spPr bwMode="auto">
                    <a:xfrm>
                      <a:off x="0" y="0"/>
                      <a:ext cx="5219065" cy="2882674"/>
                    </a:xfrm>
                    <a:prstGeom prst="rect">
                      <a:avLst/>
                    </a:prstGeom>
                    <a:ln>
                      <a:noFill/>
                    </a:ln>
                    <a:extLst>
                      <a:ext uri="{53640926-AAD7-44D8-BBD7-CCE9431645EC}">
                        <a14:shadowObscured xmlns:a14="http://schemas.microsoft.com/office/drawing/2010/main"/>
                      </a:ext>
                    </a:extLst>
                  </pic:spPr>
                </pic:pic>
              </a:graphicData>
            </a:graphic>
          </wp:inline>
        </w:drawing>
      </w:r>
    </w:p>
    <w:p w14:paraId="216C7D73" w14:textId="61BB0A10" w:rsidR="006060A3" w:rsidRDefault="006060A3" w:rsidP="006060A3">
      <w:pPr>
        <w:jc w:val="center"/>
        <w:rPr>
          <w:i/>
          <w:lang w:val="en-US"/>
        </w:rPr>
      </w:pPr>
      <w:r w:rsidRPr="0003036D">
        <w:rPr>
          <w:i/>
          <w:lang w:val="en-US"/>
        </w:rPr>
        <w:t xml:space="preserve">Figure </w:t>
      </w:r>
      <w:r w:rsidR="001564E2">
        <w:rPr>
          <w:i/>
          <w:lang w:val="en-US"/>
        </w:rPr>
        <w:t>A5</w:t>
      </w:r>
      <w:r w:rsidRPr="0003036D">
        <w:rPr>
          <w:i/>
          <w:lang w:val="en-US"/>
        </w:rPr>
        <w:t>. Molar concentration (-) of H</w:t>
      </w:r>
      <w:r w:rsidRPr="0003036D">
        <w:rPr>
          <w:i/>
          <w:vertAlign w:val="subscript"/>
          <w:lang w:val="en-US"/>
        </w:rPr>
        <w:t>2</w:t>
      </w:r>
      <w:r w:rsidRPr="0003036D">
        <w:rPr>
          <w:i/>
          <w:lang w:val="en-US"/>
        </w:rPr>
        <w:t xml:space="preserve"> in the symmetry plane of the oxy-combustor.</w:t>
      </w:r>
    </w:p>
    <w:p w14:paraId="0492C7A7" w14:textId="41182DA2" w:rsidR="006060A3" w:rsidRPr="006922B2" w:rsidRDefault="006923B5" w:rsidP="008551E9">
      <w:pPr>
        <w:pStyle w:val="Titolo3"/>
        <w:numPr>
          <w:ilvl w:val="0"/>
          <w:numId w:val="0"/>
        </w:numPr>
        <w:ind w:left="720" w:hanging="360"/>
        <w:rPr>
          <w:color w:val="4F81BD" w:themeColor="accent1"/>
          <w:lang w:val="en-US"/>
        </w:rPr>
      </w:pPr>
      <w:r>
        <w:rPr>
          <w:color w:val="4F81BD" w:themeColor="accent1"/>
          <w:lang w:val="en-US"/>
        </w:rPr>
        <w:t xml:space="preserve">Section 2: </w:t>
      </w:r>
      <w:r w:rsidR="006060A3">
        <w:rPr>
          <w:color w:val="4F81BD" w:themeColor="accent1"/>
          <w:lang w:val="en-US"/>
        </w:rPr>
        <w:t>CO</w:t>
      </w:r>
      <w:r w:rsidR="006060A3" w:rsidRPr="006060A3">
        <w:rPr>
          <w:color w:val="4F81BD" w:themeColor="accent1"/>
          <w:vertAlign w:val="subscript"/>
          <w:lang w:val="en-US"/>
        </w:rPr>
        <w:t>2</w:t>
      </w:r>
      <w:r w:rsidR="006060A3">
        <w:rPr>
          <w:color w:val="4F81BD" w:themeColor="accent1"/>
          <w:lang w:val="en-US"/>
        </w:rPr>
        <w:t xml:space="preserve"> separation </w:t>
      </w:r>
    </w:p>
    <w:p w14:paraId="0E020B97" w14:textId="6031DDE9" w:rsidR="006060A3" w:rsidRPr="00C83333" w:rsidRDefault="006060A3" w:rsidP="006060A3">
      <w:pPr>
        <w:rPr>
          <w:lang w:val="en-US"/>
        </w:rPr>
      </w:pPr>
      <w:r w:rsidRPr="00802745">
        <w:rPr>
          <w:lang w:val="en-US"/>
        </w:rPr>
        <w:t xml:space="preserve">The basic concept of the developed separation unit </w:t>
      </w:r>
      <w:r w:rsidRPr="004B4F48">
        <w:rPr>
          <w:noProof/>
          <w:lang w:val="en-US"/>
        </w:rPr>
        <w:t>is shown</w:t>
      </w:r>
      <w:r w:rsidRPr="00802745">
        <w:rPr>
          <w:lang w:val="en-US"/>
        </w:rPr>
        <w:t xml:space="preserve"> in </w:t>
      </w:r>
      <w:r w:rsidR="00052D77">
        <w:rPr>
          <w:lang w:val="en-US"/>
        </w:rPr>
        <w:t>Figure A6</w:t>
      </w:r>
      <w:r w:rsidRPr="00802745">
        <w:rPr>
          <w:lang w:val="en-US"/>
        </w:rPr>
        <w:t>. The gas mixture coming from the</w:t>
      </w:r>
      <w:r>
        <w:rPr>
          <w:lang w:val="en-US"/>
        </w:rPr>
        <w:t xml:space="preserve"> oxy-combustor is entering the system. Water </w:t>
      </w:r>
      <w:r w:rsidRPr="004B4F48">
        <w:rPr>
          <w:noProof/>
          <w:lang w:val="en-US"/>
        </w:rPr>
        <w:t>is separated</w:t>
      </w:r>
      <w:r>
        <w:rPr>
          <w:lang w:val="en-US"/>
        </w:rPr>
        <w:t xml:space="preserve"> </w:t>
      </w:r>
      <w:r w:rsidRPr="004B4F48">
        <w:rPr>
          <w:noProof/>
          <w:lang w:val="en-US"/>
        </w:rPr>
        <w:t>in</w:t>
      </w:r>
      <w:r>
        <w:rPr>
          <w:lang w:val="en-US"/>
        </w:rPr>
        <w:t xml:space="preserve"> two steps: in the condenser unit, the gas mixture is cooled down with a tubular heat exchanger and condensate is drained. After the condenser, the gas stream is compressed and cooled down again using an air-cooled heat exchanger. Condensed water and fog droplets are separated. The final </w:t>
      </w:r>
      <w:r w:rsidRPr="004B4F48">
        <w:rPr>
          <w:noProof/>
          <w:lang w:val="en-US"/>
        </w:rPr>
        <w:t>water</w:t>
      </w:r>
      <w:r>
        <w:rPr>
          <w:lang w:val="en-US"/>
        </w:rPr>
        <w:t xml:space="preserve"> content below 500 ppm </w:t>
      </w:r>
      <w:r w:rsidRPr="004B4F48">
        <w:rPr>
          <w:noProof/>
          <w:lang w:val="en-US"/>
        </w:rPr>
        <w:t>is reached</w:t>
      </w:r>
      <w:r>
        <w:rPr>
          <w:lang w:val="en-US"/>
        </w:rPr>
        <w:t xml:space="preserve"> in the membrane section. For this purpose, a part of the pressurized gas </w:t>
      </w:r>
      <w:r w:rsidRPr="004B4F48">
        <w:rPr>
          <w:noProof/>
          <w:lang w:val="en-US"/>
        </w:rPr>
        <w:t>is expanded</w:t>
      </w:r>
      <w:r>
        <w:rPr>
          <w:lang w:val="en-US"/>
        </w:rPr>
        <w:t xml:space="preserve"> and used as</w:t>
      </w:r>
      <w:r w:rsidR="003A17BC">
        <w:rPr>
          <w:lang w:val="en-US"/>
        </w:rPr>
        <w:t xml:space="preserve"> a</w:t>
      </w:r>
      <w:r>
        <w:rPr>
          <w:lang w:val="en-US"/>
        </w:rPr>
        <w:t xml:space="preserve"> </w:t>
      </w:r>
      <w:r w:rsidRPr="003A17BC">
        <w:rPr>
          <w:noProof/>
          <w:lang w:val="en-US"/>
        </w:rPr>
        <w:t>purge</w:t>
      </w:r>
      <w:r>
        <w:rPr>
          <w:lang w:val="en-US"/>
        </w:rPr>
        <w:t xml:space="preserve"> gas to dehydrate the outlet gas, which can </w:t>
      </w:r>
      <w:r w:rsidRPr="00680ECD">
        <w:rPr>
          <w:noProof/>
          <w:lang w:val="en-US"/>
        </w:rPr>
        <w:t>be applied</w:t>
      </w:r>
      <w:r>
        <w:rPr>
          <w:lang w:val="en-US"/>
        </w:rPr>
        <w:t xml:space="preserve"> for further treatment at membrane pressure. </w:t>
      </w:r>
      <w:r w:rsidR="003A17BC">
        <w:rPr>
          <w:noProof/>
          <w:lang w:val="en-US"/>
        </w:rPr>
        <w:t>T</w:t>
      </w:r>
      <w:r w:rsidRPr="003A17BC">
        <w:rPr>
          <w:noProof/>
          <w:lang w:val="en-US"/>
        </w:rPr>
        <w:t>o</w:t>
      </w:r>
      <w:r>
        <w:rPr>
          <w:lang w:val="en-US"/>
        </w:rPr>
        <w:t xml:space="preserve"> minimize the release of CO</w:t>
      </w:r>
      <w:r w:rsidRPr="00F9582E">
        <w:rPr>
          <w:vertAlign w:val="subscript"/>
          <w:lang w:val="en-US"/>
        </w:rPr>
        <w:t>2</w:t>
      </w:r>
      <w:r>
        <w:rPr>
          <w:lang w:val="en-US"/>
        </w:rPr>
        <w:t xml:space="preserve"> to the environment, the purged gas </w:t>
      </w:r>
      <w:r w:rsidRPr="00680ECD">
        <w:rPr>
          <w:noProof/>
          <w:lang w:val="en-US"/>
        </w:rPr>
        <w:t>is mixed</w:t>
      </w:r>
      <w:r>
        <w:rPr>
          <w:lang w:val="en-US"/>
        </w:rPr>
        <w:t xml:space="preserve"> with the inlet stream coming from the </w:t>
      </w:r>
      <w:r w:rsidRPr="003A17BC">
        <w:rPr>
          <w:noProof/>
          <w:lang w:val="en-US"/>
        </w:rPr>
        <w:t>oxy</w:t>
      </w:r>
      <w:r w:rsidR="003A17BC">
        <w:rPr>
          <w:noProof/>
          <w:lang w:val="en-US"/>
        </w:rPr>
        <w:t>-</w:t>
      </w:r>
      <w:r w:rsidRPr="003A17BC">
        <w:rPr>
          <w:noProof/>
          <w:lang w:val="en-US"/>
        </w:rPr>
        <w:t>combustor</w:t>
      </w:r>
      <w:r>
        <w:rPr>
          <w:lang w:val="en-US"/>
        </w:rPr>
        <w:t xml:space="preserve"> and fed back to the condenser unit.</w:t>
      </w:r>
    </w:p>
    <w:p w14:paraId="7F8362FD" w14:textId="77777777" w:rsidR="006060A3" w:rsidRDefault="006060A3" w:rsidP="006060A3">
      <w:pPr>
        <w:keepNext/>
        <w:jc w:val="center"/>
      </w:pPr>
      <w:r>
        <w:rPr>
          <w:noProof/>
          <w:lang w:val="it-IT" w:eastAsia="it-IT"/>
        </w:rPr>
        <w:lastRenderedPageBreak/>
        <w:drawing>
          <wp:inline distT="0" distB="0" distL="0" distR="0" wp14:anchorId="059EFF02" wp14:editId="3FA9A2C1">
            <wp:extent cx="4485821" cy="1214120"/>
            <wp:effectExtent l="0" t="0" r="0" b="5080"/>
            <wp:docPr id="12316" name="Grafik 12316" descr="K:\Herrmann\CO2-Entwässerung Paper\Abbildungen_Paper\Concept_Streams.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K:\Herrmann\CO2-Entwässerung Paper\Abbildungen_Paper\Concept_Streams.emf"/>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511317" cy="1221021"/>
                    </a:xfrm>
                    <a:prstGeom prst="rect">
                      <a:avLst/>
                    </a:prstGeom>
                    <a:noFill/>
                    <a:ln>
                      <a:noFill/>
                    </a:ln>
                  </pic:spPr>
                </pic:pic>
              </a:graphicData>
            </a:graphic>
          </wp:inline>
        </w:drawing>
      </w:r>
    </w:p>
    <w:p w14:paraId="6E797A85" w14:textId="2A9864F8" w:rsidR="006060A3" w:rsidRPr="006139A4" w:rsidRDefault="001564E2" w:rsidP="006060A3">
      <w:pPr>
        <w:pStyle w:val="Didascalia"/>
      </w:pPr>
      <w:r>
        <w:t>Figure A6</w:t>
      </w:r>
      <w:r w:rsidR="006060A3" w:rsidRPr="006139A4">
        <w:t>. Basic flow sheet of the main components and the fluid streams</w:t>
      </w:r>
    </w:p>
    <w:p w14:paraId="455E2ED6" w14:textId="044714DE" w:rsidR="006060A3" w:rsidRPr="00802745" w:rsidRDefault="006060A3" w:rsidP="006060A3">
      <w:r>
        <w:t xml:space="preserve">A simplified model for the heat and transfer and condensation in the condenser unit </w:t>
      </w:r>
      <w:r w:rsidRPr="004B4F48">
        <w:rPr>
          <w:noProof/>
        </w:rPr>
        <w:t>is used</w:t>
      </w:r>
      <w:r>
        <w:t xml:space="preserve"> for its dimensioning. In a first step, the inlet gas composition and temperature </w:t>
      </w:r>
      <w:r w:rsidRPr="004B4F48">
        <w:rPr>
          <w:noProof/>
        </w:rPr>
        <w:t>is calculated</w:t>
      </w:r>
      <w:r>
        <w:t xml:space="preserve">. </w:t>
      </w:r>
      <w:r w:rsidRPr="00802745">
        <w:t xml:space="preserve">From </w:t>
      </w:r>
      <w:r w:rsidR="00052D77">
        <w:t>Figure A6</w:t>
      </w:r>
      <w:r>
        <w:t xml:space="preserve"> the </w:t>
      </w:r>
      <w:r w:rsidRPr="00802745">
        <w:t xml:space="preserve">condition in Eq. </w:t>
      </w:r>
      <w:r>
        <w:t>(</w:t>
      </w:r>
      <w:r w:rsidRPr="00802745">
        <w:t>23</w:t>
      </w:r>
      <w:r>
        <w:t>)</w:t>
      </w:r>
      <w:r w:rsidRPr="00802745">
        <w:t xml:space="preserve"> can be derived meaning that the CO</w:t>
      </w:r>
      <w:r w:rsidRPr="00802745">
        <w:rPr>
          <w:vertAlign w:val="subscript"/>
        </w:rPr>
        <w:t>2</w:t>
      </w:r>
      <w:r w:rsidRPr="00802745">
        <w:t xml:space="preserve"> stream </w:t>
      </w:r>
      <w:r w:rsidRPr="004B4F48">
        <w:rPr>
          <w:noProof/>
        </w:rPr>
        <w:t>is preserved</w:t>
      </w:r>
      <w:r w:rsidRPr="00802745">
        <w:t xml:space="preserve"> in the system.</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7"/>
        <w:gridCol w:w="907"/>
      </w:tblGrid>
      <w:tr w:rsidR="006060A3" w:rsidRPr="00A00B8F" w14:paraId="20F7E03D" w14:textId="77777777" w:rsidTr="0045084A">
        <w:trPr>
          <w:trHeight w:val="510"/>
          <w:jc w:val="center"/>
        </w:trPr>
        <w:tc>
          <w:tcPr>
            <w:tcW w:w="7937" w:type="dxa"/>
            <w:vAlign w:val="center"/>
          </w:tcPr>
          <w:bookmarkStart w:id="33" w:name="OLE_LINK43"/>
          <w:p w14:paraId="49379E95" w14:textId="6DCD9B41" w:rsidR="006060A3" w:rsidRPr="007C76F6" w:rsidRDefault="006A17F1" w:rsidP="00052D77">
            <w:pPr>
              <w:ind w:left="-904" w:firstLine="1301"/>
              <w:jc w:val="center"/>
              <w:rPr>
                <w:rFonts w:ascii="Cambria Math" w:hAnsi="Cambria Math"/>
                <w:i/>
                <w:lang w:val="en-US"/>
              </w:rPr>
            </w:pPr>
            <m:oMathPara>
              <m:oMath>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n</m:t>
                        </m:r>
                      </m:e>
                    </m:acc>
                  </m:e>
                  <m:sub>
                    <m:r>
                      <w:rPr>
                        <w:rFonts w:ascii="Cambria Math" w:hAnsi="Cambria Math"/>
                        <w:lang w:val="en-US"/>
                      </w:rPr>
                      <m:t>C</m:t>
                    </m:r>
                    <m:sSub>
                      <m:sSubPr>
                        <m:ctrlPr>
                          <w:rPr>
                            <w:rFonts w:ascii="Cambria Math" w:hAnsi="Cambria Math"/>
                            <w:i/>
                            <w:lang w:val="en-US"/>
                          </w:rPr>
                        </m:ctrlPr>
                      </m:sSubPr>
                      <m:e>
                        <m:r>
                          <w:rPr>
                            <w:rFonts w:ascii="Cambria Math" w:hAnsi="Cambria Math"/>
                            <w:lang w:val="en-US"/>
                          </w:rPr>
                          <m:t>O</m:t>
                        </m:r>
                      </m:e>
                      <m:sub>
                        <m:r>
                          <w:rPr>
                            <w:rFonts w:ascii="Cambria Math" w:hAnsi="Cambria Math"/>
                            <w:lang w:val="en-US"/>
                          </w:rPr>
                          <m:t xml:space="preserve">2,in </m:t>
                        </m:r>
                      </m:sub>
                    </m:sSub>
                  </m:sub>
                </m:sSub>
                <m:r>
                  <w:rPr>
                    <w:rFonts w:ascii="Cambria Math" w:hAnsi="Cambria Math"/>
                    <w:lang w:val="en-US"/>
                  </w:rPr>
                  <m:t>=</m:t>
                </m:r>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n</m:t>
                        </m:r>
                      </m:e>
                    </m:acc>
                  </m:e>
                  <m:sub>
                    <m:r>
                      <w:rPr>
                        <w:rFonts w:ascii="Cambria Math" w:hAnsi="Cambria Math"/>
                        <w:lang w:val="en-US"/>
                      </w:rPr>
                      <m:t>C</m:t>
                    </m:r>
                    <m:sSub>
                      <m:sSubPr>
                        <m:ctrlPr>
                          <w:rPr>
                            <w:rFonts w:ascii="Cambria Math" w:hAnsi="Cambria Math"/>
                            <w:i/>
                            <w:lang w:val="en-US"/>
                          </w:rPr>
                        </m:ctrlPr>
                      </m:sSubPr>
                      <m:e>
                        <m:r>
                          <w:rPr>
                            <w:rFonts w:ascii="Cambria Math" w:hAnsi="Cambria Math"/>
                            <w:lang w:val="en-US"/>
                          </w:rPr>
                          <m:t>O</m:t>
                        </m:r>
                      </m:e>
                      <m:sub>
                        <m:r>
                          <w:rPr>
                            <w:rFonts w:ascii="Cambria Math" w:hAnsi="Cambria Math"/>
                            <w:lang w:val="en-US"/>
                          </w:rPr>
                          <m:t xml:space="preserve">2,out </m:t>
                        </m:r>
                      </m:sub>
                    </m:sSub>
                  </m:sub>
                </m:sSub>
              </m:oMath>
            </m:oMathPara>
          </w:p>
        </w:tc>
        <w:tc>
          <w:tcPr>
            <w:tcW w:w="907" w:type="dxa"/>
            <w:vAlign w:val="center"/>
          </w:tcPr>
          <w:p w14:paraId="75CBA7F9" w14:textId="77777777" w:rsidR="006060A3" w:rsidRPr="00052D77" w:rsidRDefault="006060A3" w:rsidP="00052D77">
            <w:pPr>
              <w:ind w:left="193" w:right="-765" w:hanging="7"/>
              <w:rPr>
                <w:lang w:val="en-US"/>
              </w:rPr>
            </w:pPr>
            <w:r w:rsidRPr="00052D77">
              <w:rPr>
                <w:lang w:val="en-US"/>
              </w:rPr>
              <w:t>(23)</w:t>
            </w:r>
          </w:p>
        </w:tc>
      </w:tr>
    </w:tbl>
    <w:bookmarkEnd w:id="33"/>
    <w:p w14:paraId="60624379" w14:textId="77777777" w:rsidR="006060A3" w:rsidRPr="00802745" w:rsidRDefault="006060A3" w:rsidP="006060A3">
      <w:pPr>
        <w:spacing w:before="120" w:after="120"/>
      </w:pPr>
      <w:r w:rsidRPr="00802745">
        <w:t xml:space="preserve">For determining the total condenser inlet gas </w:t>
      </w:r>
      <w:r w:rsidRPr="00680ECD">
        <w:rPr>
          <w:noProof/>
        </w:rPr>
        <w:t>stream</w:t>
      </w:r>
      <w:r w:rsidRPr="00802745">
        <w:t xml:space="preserve"> the recirculation rate </w:t>
      </w:r>
      <m:oMath>
        <m:r>
          <w:rPr>
            <w:rFonts w:ascii="Cambria Math" w:eastAsiaTheme="minorEastAsia" w:hAnsi="Cambria Math"/>
          </w:rPr>
          <m:t>Π</m:t>
        </m:r>
      </m:oMath>
      <w:r w:rsidRPr="00802745">
        <w:t xml:space="preserve"> is used.</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7"/>
        <w:gridCol w:w="907"/>
      </w:tblGrid>
      <w:tr w:rsidR="006060A3" w:rsidRPr="0023201B" w14:paraId="7C0229D1" w14:textId="77777777" w:rsidTr="0045084A">
        <w:trPr>
          <w:trHeight w:val="680"/>
          <w:jc w:val="center"/>
        </w:trPr>
        <w:tc>
          <w:tcPr>
            <w:tcW w:w="7937" w:type="dxa"/>
            <w:vAlign w:val="center"/>
          </w:tcPr>
          <w:p w14:paraId="34C36574" w14:textId="2653B008" w:rsidR="006060A3" w:rsidRPr="007C76F6" w:rsidRDefault="007C76F6" w:rsidP="00052D77">
            <w:pPr>
              <w:ind w:left="-904" w:firstLine="1301"/>
              <w:jc w:val="center"/>
              <w:rPr>
                <w:rFonts w:ascii="Cambria Math" w:hAnsi="Cambria Math"/>
                <w:i/>
                <w:lang w:val="en-US"/>
              </w:rPr>
            </w:pPr>
            <w:bookmarkStart w:id="34" w:name="OLE_LINK49"/>
            <m:oMathPara>
              <m:oMath>
                <m:r>
                  <w:rPr>
                    <w:rFonts w:ascii="Cambria Math" w:hAnsi="Cambria Math"/>
                    <w:lang w:val="en-US"/>
                  </w:rPr>
                  <m:t>Π=</m:t>
                </m:r>
                <m:f>
                  <m:fPr>
                    <m:ctrlPr>
                      <w:rPr>
                        <w:rFonts w:ascii="Cambria Math" w:hAnsi="Cambria Math"/>
                        <w:i/>
                        <w:lang w:val="en-US"/>
                      </w:rPr>
                    </m:ctrlPr>
                  </m:fPr>
                  <m:num>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n</m:t>
                            </m:r>
                          </m:e>
                        </m:acc>
                      </m:e>
                      <m:sub>
                        <m:r>
                          <w:rPr>
                            <w:rFonts w:ascii="Cambria Math" w:hAnsi="Cambria Math"/>
                            <w:lang w:val="en-US"/>
                          </w:rPr>
                          <m:t>C</m:t>
                        </m:r>
                        <m:sSub>
                          <m:sSubPr>
                            <m:ctrlPr>
                              <w:rPr>
                                <w:rFonts w:ascii="Cambria Math" w:hAnsi="Cambria Math"/>
                                <w:i/>
                                <w:lang w:val="en-US"/>
                              </w:rPr>
                            </m:ctrlPr>
                          </m:sSubPr>
                          <m:e>
                            <m:r>
                              <w:rPr>
                                <w:rFonts w:ascii="Cambria Math" w:hAnsi="Cambria Math"/>
                                <w:lang w:val="en-US"/>
                              </w:rPr>
                              <m:t>O</m:t>
                            </m:r>
                          </m:e>
                          <m:sub>
                            <m:r>
                              <w:rPr>
                                <w:rFonts w:ascii="Cambria Math" w:hAnsi="Cambria Math"/>
                                <w:lang w:val="en-US"/>
                              </w:rPr>
                              <m:t>2</m:t>
                            </m:r>
                          </m:sub>
                        </m:sSub>
                        <m:r>
                          <w:rPr>
                            <w:rFonts w:ascii="Cambria Math" w:hAnsi="Cambria Math"/>
                            <w:lang w:val="en-US"/>
                          </w:rPr>
                          <m:t>,rec.</m:t>
                        </m:r>
                      </m:sub>
                    </m:sSub>
                  </m:num>
                  <m:den>
                    <m:sSub>
                      <m:sSubPr>
                        <m:ctrlPr>
                          <w:rPr>
                            <w:rFonts w:ascii="Cambria Math" w:hAnsi="Cambria Math"/>
                            <w:i/>
                            <w:lang w:val="en-US"/>
                          </w:rPr>
                        </m:ctrlPr>
                      </m:sSubPr>
                      <m:e>
                        <m:acc>
                          <m:accPr>
                            <m:chr m:val="̇"/>
                            <m:ctrlPr>
                              <w:rPr>
                                <w:rFonts w:ascii="Cambria Math" w:hAnsi="Cambria Math"/>
                                <w:i/>
                                <w:lang w:val="en-US"/>
                              </w:rPr>
                            </m:ctrlPr>
                          </m:accPr>
                          <m:e>
                            <m:r>
                              <w:rPr>
                                <w:rFonts w:ascii="Cambria Math" w:hAnsi="Cambria Math"/>
                                <w:lang w:val="en-US"/>
                              </w:rPr>
                              <m:t>n</m:t>
                            </m:r>
                          </m:e>
                        </m:acc>
                      </m:e>
                      <m:sub>
                        <m:r>
                          <w:rPr>
                            <w:rFonts w:ascii="Cambria Math" w:hAnsi="Cambria Math"/>
                            <w:lang w:val="en-US"/>
                          </w:rPr>
                          <m:t>C</m:t>
                        </m:r>
                        <m:sSub>
                          <m:sSubPr>
                            <m:ctrlPr>
                              <w:rPr>
                                <w:rFonts w:ascii="Cambria Math" w:hAnsi="Cambria Math"/>
                                <w:i/>
                                <w:lang w:val="en-US"/>
                              </w:rPr>
                            </m:ctrlPr>
                          </m:sSubPr>
                          <m:e>
                            <m:r>
                              <w:rPr>
                                <w:rFonts w:ascii="Cambria Math" w:hAnsi="Cambria Math"/>
                                <w:lang w:val="en-US"/>
                              </w:rPr>
                              <m:t>O</m:t>
                            </m:r>
                          </m:e>
                          <m:sub>
                            <m:r>
                              <w:rPr>
                                <w:rFonts w:ascii="Cambria Math" w:hAnsi="Cambria Math"/>
                                <w:lang w:val="en-US"/>
                              </w:rPr>
                              <m:t>2</m:t>
                            </m:r>
                          </m:sub>
                        </m:sSub>
                        <m:r>
                          <w:rPr>
                            <w:rFonts w:ascii="Cambria Math" w:hAnsi="Cambria Math"/>
                            <w:lang w:val="en-US"/>
                          </w:rPr>
                          <m:t>,out</m:t>
                        </m:r>
                      </m:sub>
                    </m:sSub>
                  </m:den>
                </m:f>
              </m:oMath>
            </m:oMathPara>
          </w:p>
        </w:tc>
        <w:tc>
          <w:tcPr>
            <w:tcW w:w="907" w:type="dxa"/>
            <w:vAlign w:val="center"/>
          </w:tcPr>
          <w:p w14:paraId="4717ED94" w14:textId="77777777" w:rsidR="006060A3" w:rsidRPr="0023201B" w:rsidRDefault="006060A3" w:rsidP="00052D77">
            <w:pPr>
              <w:ind w:firstLine="0"/>
              <w:jc w:val="center"/>
              <w:rPr>
                <w:lang w:val="en-US"/>
              </w:rPr>
            </w:pPr>
            <w:r w:rsidRPr="0023201B">
              <w:rPr>
                <w:lang w:val="en-US"/>
              </w:rPr>
              <w:t>(24)</w:t>
            </w:r>
          </w:p>
        </w:tc>
      </w:tr>
    </w:tbl>
    <w:bookmarkEnd w:id="34"/>
    <w:p w14:paraId="7A0B3C12" w14:textId="06198E21" w:rsidR="006060A3" w:rsidRDefault="006060A3" w:rsidP="006060A3">
      <w:pPr>
        <w:spacing w:before="120" w:after="120"/>
        <w:rPr>
          <w:rFonts w:eastAsiaTheme="minorEastAsia"/>
        </w:rPr>
      </w:pPr>
      <w:r w:rsidRPr="004B4F48">
        <w:rPr>
          <w:rFonts w:eastAsiaTheme="minorEastAsia"/>
          <w:noProof/>
        </w:rPr>
        <w:t>Using the recirculation rate</w:t>
      </w:r>
      <w:r w:rsidR="004B4F48" w:rsidRPr="004B4F48">
        <w:rPr>
          <w:rFonts w:eastAsiaTheme="minorEastAsia"/>
          <w:noProof/>
        </w:rPr>
        <w:t>,</w:t>
      </w:r>
      <w:r w:rsidRPr="004B4F48">
        <w:rPr>
          <w:rFonts w:eastAsiaTheme="minorEastAsia"/>
          <w:noProof/>
        </w:rPr>
        <w:t xml:space="preserve"> the molar streams of CO</w:t>
      </w:r>
      <w:r w:rsidRPr="004B4F48">
        <w:rPr>
          <w:rFonts w:eastAsiaTheme="minorEastAsia"/>
          <w:noProof/>
          <w:vertAlign w:val="subscript"/>
        </w:rPr>
        <w:t>2</w:t>
      </w:r>
      <w:r w:rsidRPr="004B4F48">
        <w:rPr>
          <w:rFonts w:eastAsiaTheme="minorEastAsia"/>
          <w:noProof/>
        </w:rPr>
        <w:t xml:space="preserve"> and H</w:t>
      </w:r>
      <w:r w:rsidRPr="004B4F48">
        <w:rPr>
          <w:rFonts w:eastAsiaTheme="minorEastAsia"/>
          <w:noProof/>
          <w:vertAlign w:val="subscript"/>
        </w:rPr>
        <w:t>2</w:t>
      </w:r>
      <w:r w:rsidRPr="004B4F48">
        <w:rPr>
          <w:rFonts w:eastAsiaTheme="minorEastAsia"/>
          <w:noProof/>
        </w:rPr>
        <w:t>O at the condenser inlet can be calculated using Eq.</w:t>
      </w:r>
      <w:r w:rsidRPr="00802745">
        <w:rPr>
          <w:rFonts w:eastAsiaTheme="minorEastAsia"/>
        </w:rPr>
        <w:t xml:space="preserve"> </w:t>
      </w:r>
      <w:r>
        <w:rPr>
          <w:rFonts w:eastAsiaTheme="minorEastAsia"/>
        </w:rPr>
        <w:t>(</w:t>
      </w:r>
      <w:r w:rsidRPr="00802745">
        <w:rPr>
          <w:rFonts w:eastAsiaTheme="minorEastAsia"/>
        </w:rPr>
        <w:t>25</w:t>
      </w:r>
      <w:r>
        <w:rPr>
          <w:rFonts w:eastAsiaTheme="minorEastAsia"/>
        </w:rPr>
        <w:t>)</w:t>
      </w:r>
      <w:r w:rsidRPr="00802745">
        <w:rPr>
          <w:rFonts w:eastAsiaTheme="minorEastAsia"/>
        </w:rPr>
        <w:t xml:space="preserve"> </w:t>
      </w:r>
      <w:r w:rsidR="004B4F48">
        <w:rPr>
          <w:rFonts w:eastAsiaTheme="minorEastAsia"/>
          <w:noProof/>
        </w:rPr>
        <w:t xml:space="preserve">and </w:t>
      </w:r>
      <w:r w:rsidRPr="004B4F48">
        <w:rPr>
          <w:rFonts w:eastAsiaTheme="minorEastAsia"/>
          <w:noProof/>
        </w:rPr>
        <w:t>Eq.</w:t>
      </w:r>
      <w:r w:rsidRPr="00802745">
        <w:rPr>
          <w:rFonts w:eastAsiaTheme="minorEastAsia"/>
        </w:rPr>
        <w:t xml:space="preserve"> </w:t>
      </w:r>
      <w:r>
        <w:rPr>
          <w:rFonts w:eastAsiaTheme="minorEastAsia"/>
        </w:rPr>
        <w:t>(</w:t>
      </w:r>
      <w:r w:rsidRPr="00802745">
        <w:rPr>
          <w:rFonts w:eastAsiaTheme="minorEastAsia"/>
        </w:rPr>
        <w:t>26</w:t>
      </w:r>
      <w:r>
        <w:rPr>
          <w:rFonts w:eastAsiaTheme="minorEastAsia"/>
        </w:rPr>
        <w:t>)</w:t>
      </w:r>
      <w:r w:rsidRPr="00802745">
        <w:rPr>
          <w:rFonts w:eastAsiaTheme="minorEastAsia"/>
        </w:rPr>
        <w:t xml:space="preserve">, where </w:t>
      </w:r>
      <m:oMath>
        <m:sSub>
          <m:sSubPr>
            <m:ctrlPr>
              <w:rPr>
                <w:rFonts w:ascii="Cambria Math" w:eastAsiaTheme="minorEastAsia" w:hAnsi="Cambria Math"/>
              </w:rPr>
            </m:ctrlPr>
          </m:sSubPr>
          <m:e>
            <m:r>
              <m:rPr>
                <m:sty m:val="p"/>
              </m:rPr>
              <w:rPr>
                <w:rFonts w:ascii="Cambria Math" w:eastAsiaTheme="minorEastAsia" w:hAnsi="Cambria Math"/>
              </w:rPr>
              <m:t>y</m:t>
            </m:r>
          </m:e>
          <m:sub>
            <m:sSub>
              <m:sSubPr>
                <m:ctrlPr>
                  <w:rPr>
                    <w:rFonts w:ascii="Cambria Math" w:eastAsiaTheme="minorEastAsia" w:hAnsi="Cambria Math"/>
                  </w:rPr>
                </m:ctrlPr>
              </m:sSubPr>
              <m:e>
                <m:r>
                  <m:rPr>
                    <m:sty m:val="p"/>
                  </m:rPr>
                  <w:rPr>
                    <w:rFonts w:ascii="Cambria Math" w:eastAsiaTheme="minorEastAsia" w:hAnsi="Cambria Math"/>
                  </w:rPr>
                  <m:t>H</m:t>
                </m:r>
              </m:e>
              <m:sub>
                <m:r>
                  <m:rPr>
                    <m:sty m:val="p"/>
                  </m:rPr>
                  <w:rPr>
                    <w:rFonts w:ascii="Cambria Math" w:eastAsiaTheme="minorEastAsia" w:hAnsi="Cambria Math"/>
                  </w:rPr>
                  <m:t>2</m:t>
                </m:r>
              </m:sub>
            </m:sSub>
            <m:r>
              <m:rPr>
                <m:sty m:val="p"/>
              </m:rPr>
              <w:rPr>
                <w:rFonts w:ascii="Cambria Math" w:eastAsiaTheme="minorEastAsia" w:hAnsi="Cambria Math"/>
                <w:noProof/>
              </w:rPr>
              <m:t>O,rec.</m:t>
            </m:r>
          </m:sub>
        </m:sSub>
      </m:oMath>
      <w:r w:rsidRPr="00802745">
        <w:rPr>
          <w:rFonts w:eastAsiaTheme="minorEastAsia"/>
        </w:rPr>
        <w:t xml:space="preserve"> and </w:t>
      </w:r>
      <m:oMath>
        <m:sSub>
          <m:sSubPr>
            <m:ctrlPr>
              <w:rPr>
                <w:rFonts w:ascii="Cambria Math" w:eastAsiaTheme="minorEastAsia" w:hAnsi="Cambria Math"/>
              </w:rPr>
            </m:ctrlPr>
          </m:sSubPr>
          <m:e>
            <m:r>
              <m:rPr>
                <m:sty m:val="p"/>
              </m:rPr>
              <w:rPr>
                <w:rFonts w:ascii="Cambria Math" w:eastAsiaTheme="minorEastAsia" w:hAnsi="Cambria Math"/>
              </w:rPr>
              <m:t>y</m:t>
            </m:r>
          </m:e>
          <m:sub>
            <m:sSub>
              <m:sSubPr>
                <m:ctrlPr>
                  <w:rPr>
                    <w:rFonts w:ascii="Cambria Math" w:eastAsiaTheme="minorEastAsia" w:hAnsi="Cambria Math"/>
                  </w:rPr>
                </m:ctrlPr>
              </m:sSubPr>
              <m:e>
                <m:r>
                  <m:rPr>
                    <m:sty m:val="p"/>
                  </m:rPr>
                  <w:rPr>
                    <w:rFonts w:ascii="Cambria Math" w:eastAsiaTheme="minorEastAsia" w:hAnsi="Cambria Math"/>
                  </w:rPr>
                  <m:t>CO</m:t>
                </m:r>
              </m:e>
              <m:sub>
                <m:r>
                  <m:rPr>
                    <m:sty m:val="p"/>
                  </m:rPr>
                  <w:rPr>
                    <w:rFonts w:ascii="Cambria Math" w:eastAsiaTheme="minorEastAsia" w:hAnsi="Cambria Math"/>
                  </w:rPr>
                  <m:t>2</m:t>
                </m:r>
              </m:sub>
            </m:sSub>
            <m:r>
              <m:rPr>
                <m:sty m:val="p"/>
              </m:rPr>
              <w:rPr>
                <w:rFonts w:ascii="Cambria Math" w:eastAsiaTheme="minorEastAsia" w:hAnsi="Cambria Math"/>
                <w:noProof/>
              </w:rPr>
              <m:t>,rec.</m:t>
            </m:r>
          </m:sub>
        </m:sSub>
      </m:oMath>
      <w:r w:rsidRPr="00802745">
        <w:rPr>
          <w:rFonts w:eastAsiaTheme="minorEastAsia"/>
        </w:rPr>
        <w:t xml:space="preserve"> </w:t>
      </w:r>
      <w:r w:rsidRPr="00680ECD">
        <w:rPr>
          <w:rFonts w:eastAsiaTheme="minorEastAsia"/>
          <w:noProof/>
        </w:rPr>
        <w:t>are the molar fractions of H</w:t>
      </w:r>
      <w:r w:rsidRPr="00680ECD">
        <w:rPr>
          <w:rFonts w:eastAsiaTheme="minorEastAsia"/>
          <w:noProof/>
          <w:vertAlign w:val="subscript"/>
        </w:rPr>
        <w:t>2</w:t>
      </w:r>
      <w:r w:rsidRPr="00680ECD">
        <w:rPr>
          <w:rFonts w:eastAsiaTheme="minorEastAsia"/>
          <w:noProof/>
        </w:rPr>
        <w:t>O and CO</w:t>
      </w:r>
      <w:r w:rsidRPr="00680ECD">
        <w:rPr>
          <w:rFonts w:eastAsiaTheme="minorEastAsia"/>
          <w:noProof/>
          <w:vertAlign w:val="subscript"/>
        </w:rPr>
        <w:t>2</w:t>
      </w:r>
      <w:r w:rsidRPr="00680ECD">
        <w:rPr>
          <w:rFonts w:eastAsiaTheme="minorEastAsia"/>
          <w:noProof/>
        </w:rPr>
        <w:t xml:space="preserve"> in the purge gas stream.</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7"/>
        <w:gridCol w:w="907"/>
      </w:tblGrid>
      <w:tr w:rsidR="006060A3" w:rsidRPr="00802745" w14:paraId="3FA00E64" w14:textId="77777777" w:rsidTr="0045084A">
        <w:trPr>
          <w:trHeight w:val="510"/>
          <w:jc w:val="center"/>
        </w:trPr>
        <w:tc>
          <w:tcPr>
            <w:tcW w:w="7937" w:type="dxa"/>
            <w:vAlign w:val="center"/>
          </w:tcPr>
          <w:bookmarkStart w:id="35" w:name="OLE_LINK56"/>
          <w:bookmarkStart w:id="36" w:name="OLE_LINK55"/>
          <w:p w14:paraId="1C0C7634" w14:textId="7573653F" w:rsidR="006060A3" w:rsidRPr="00802745" w:rsidRDefault="006A17F1" w:rsidP="00052D77">
            <w:pPr>
              <w:jc w:val="center"/>
              <w:rPr>
                <w:rFonts w:asciiTheme="minorHAnsi" w:eastAsiaTheme="minorEastAsia" w:hAnsiTheme="minorHAnsi" w:cstheme="minorBidi"/>
                <w:i/>
              </w:rPr>
            </w:pPr>
            <m:oMathPara>
              <m:oMath>
                <m:sSub>
                  <m:sSubPr>
                    <m:ctrlPr>
                      <w:rPr>
                        <w:rFonts w:ascii="Cambria Math" w:eastAsiaTheme="minorEastAsia" w:hAnsi="Cambria Math"/>
                      </w:rPr>
                    </m:ctrlPr>
                  </m:sSubPr>
                  <m:e>
                    <m:acc>
                      <m:accPr>
                        <m:chr m:val="̇"/>
                        <m:ctrlPr>
                          <w:rPr>
                            <w:rFonts w:ascii="Cambria Math" w:eastAsiaTheme="minorEastAsia" w:hAnsi="Cambria Math"/>
                          </w:rPr>
                        </m:ctrlPr>
                      </m:accPr>
                      <m:e>
                        <m:r>
                          <m:rPr>
                            <m:sty m:val="p"/>
                          </m:rPr>
                          <w:rPr>
                            <w:rStyle w:val="FormatvorlageCambriaMathKursiv"/>
                            <w:rFonts w:eastAsiaTheme="minorEastAsia"/>
                          </w:rPr>
                          <m:t>n</m:t>
                        </m:r>
                      </m:e>
                    </m:acc>
                  </m:e>
                  <m:sub>
                    <m:r>
                      <m:rPr>
                        <m:sty m:val="p"/>
                      </m:rPr>
                      <w:rPr>
                        <w:rStyle w:val="FormatvorlageCambriaMathKursiv"/>
                        <w:rFonts w:eastAsiaTheme="minorEastAsia"/>
                      </w:rPr>
                      <m:t>C</m:t>
                    </m:r>
                    <m:sSub>
                      <m:sSubPr>
                        <m:ctrlPr>
                          <w:rPr>
                            <w:rFonts w:ascii="Cambria Math" w:eastAsiaTheme="minorEastAsia" w:hAnsi="Cambria Math"/>
                          </w:rPr>
                        </m:ctrlPr>
                      </m:sSubPr>
                      <m:e>
                        <m:r>
                          <m:rPr>
                            <m:sty m:val="p"/>
                          </m:rPr>
                          <w:rPr>
                            <w:rStyle w:val="FormatvorlageCambriaMathKursiv"/>
                            <w:rFonts w:eastAsiaTheme="minorEastAsia"/>
                          </w:rPr>
                          <m:t>O</m:t>
                        </m:r>
                      </m:e>
                      <m:sub>
                        <m:r>
                          <m:rPr>
                            <m:sty m:val="p"/>
                          </m:rPr>
                          <w:rPr>
                            <w:rFonts w:ascii="Cambria Math" w:eastAsiaTheme="minorEastAsia" w:hAnsi="Cambria Math"/>
                          </w:rPr>
                          <m:t>2</m:t>
                        </m:r>
                      </m:sub>
                    </m:sSub>
                    <m:r>
                      <m:rPr>
                        <m:sty m:val="p"/>
                      </m:rPr>
                      <w:rPr>
                        <w:rFonts w:ascii="Cambria Math" w:eastAsiaTheme="minorEastAsia" w:hAnsi="Cambria Math"/>
                      </w:rPr>
                      <m:t>,</m:t>
                    </m:r>
                    <m:r>
                      <w:rPr>
                        <w:rFonts w:ascii="Cambria Math" w:eastAsiaTheme="minorEastAsia" w:hAnsi="Cambria Math"/>
                      </w:rPr>
                      <m:t>in,cond</m:t>
                    </m:r>
                  </m:sub>
                </m:sSub>
                <w:bookmarkEnd w:id="35"/>
                <m:r>
                  <m:rPr>
                    <m:sty m:val="p"/>
                  </m:rPr>
                  <w:rPr>
                    <w:rFonts w:ascii="Cambria Math" w:eastAsiaTheme="minorEastAsia" w:hAnsi="Cambria Math"/>
                  </w:rPr>
                  <m:t>=</m:t>
                </m:r>
                <w:bookmarkStart w:id="37" w:name="OLE_LINK59"/>
                <w:bookmarkStart w:id="38" w:name="OLE_LINK60"/>
                <m:sSub>
                  <m:sSubPr>
                    <m:ctrlPr>
                      <w:rPr>
                        <w:rFonts w:ascii="Cambria Math" w:eastAsiaTheme="minorEastAsia" w:hAnsi="Cambria Math"/>
                      </w:rPr>
                    </m:ctrlPr>
                  </m:sSubPr>
                  <m:e>
                    <m:acc>
                      <m:accPr>
                        <m:chr m:val="̇"/>
                        <m:ctrlPr>
                          <w:rPr>
                            <w:rFonts w:ascii="Cambria Math" w:eastAsiaTheme="minorEastAsia" w:hAnsi="Cambria Math"/>
                          </w:rPr>
                        </m:ctrlPr>
                      </m:accPr>
                      <m:e>
                        <m:r>
                          <m:rPr>
                            <m:sty m:val="p"/>
                          </m:rPr>
                          <w:rPr>
                            <w:rStyle w:val="FormatvorlageCambriaMathKursiv"/>
                            <w:rFonts w:eastAsiaTheme="minorEastAsia"/>
                          </w:rPr>
                          <m:t>n</m:t>
                        </m:r>
                      </m:e>
                    </m:acc>
                  </m:e>
                  <m:sub>
                    <m:r>
                      <m:rPr>
                        <m:sty m:val="p"/>
                      </m:rPr>
                      <w:rPr>
                        <w:rStyle w:val="FormatvorlageCambriaMathKursiv"/>
                        <w:rFonts w:eastAsiaTheme="minorEastAsia"/>
                      </w:rPr>
                      <m:t>C</m:t>
                    </m:r>
                    <m:sSub>
                      <m:sSubPr>
                        <m:ctrlPr>
                          <w:rPr>
                            <w:rFonts w:ascii="Cambria Math" w:eastAsiaTheme="minorEastAsia" w:hAnsi="Cambria Math"/>
                          </w:rPr>
                        </m:ctrlPr>
                      </m:sSubPr>
                      <m:e>
                        <m:r>
                          <m:rPr>
                            <m:sty m:val="p"/>
                          </m:rPr>
                          <w:rPr>
                            <w:rStyle w:val="FormatvorlageCambriaMathKursiv"/>
                            <w:rFonts w:eastAsiaTheme="minorEastAsia"/>
                          </w:rPr>
                          <m:t>O</m:t>
                        </m:r>
                      </m:e>
                      <m:sub>
                        <m:r>
                          <m:rPr>
                            <m:sty m:val="p"/>
                          </m:rPr>
                          <w:rPr>
                            <w:rFonts w:ascii="Cambria Math" w:eastAsiaTheme="minorEastAsia" w:hAnsi="Cambria Math"/>
                          </w:rPr>
                          <m:t>2</m:t>
                        </m:r>
                      </m:sub>
                    </m:sSub>
                    <m:r>
                      <m:rPr>
                        <m:sty m:val="p"/>
                      </m:rPr>
                      <w:rPr>
                        <w:rStyle w:val="FormatvorlageCambriaMathKursiv"/>
                        <w:rFonts w:eastAsiaTheme="minorEastAsia"/>
                      </w:rPr>
                      <m:t>,in</m:t>
                    </m:r>
                  </m:sub>
                </m:sSub>
                <w:bookmarkEnd w:id="37"/>
                <w:bookmarkEnd w:id="38"/>
                <m:r>
                  <w:rPr>
                    <w:rFonts w:ascii="Cambria Math" w:eastAsiaTheme="minorEastAsia" w:hAnsi="Cambria Math"/>
                  </w:rPr>
                  <m:t>∙(1+</m:t>
                </m:r>
                <w:bookmarkStart w:id="39" w:name="OLE_LINK61"/>
                <w:bookmarkStart w:id="40" w:name="OLE_LINK62"/>
                <m:r>
                  <w:rPr>
                    <w:rFonts w:ascii="Cambria Math" w:eastAsiaTheme="minorEastAsia" w:hAnsi="Cambria Math"/>
                  </w:rPr>
                  <m:t>Π</m:t>
                </m:r>
                <w:bookmarkEnd w:id="39"/>
                <w:bookmarkEnd w:id="40"/>
                <m:r>
                  <w:rPr>
                    <w:rFonts w:ascii="Cambria Math" w:eastAsiaTheme="minorEastAsia" w:hAnsi="Cambria Math"/>
                  </w:rPr>
                  <m:t>)</m:t>
                </m:r>
              </m:oMath>
            </m:oMathPara>
          </w:p>
        </w:tc>
        <w:tc>
          <w:tcPr>
            <w:tcW w:w="907" w:type="dxa"/>
            <w:vAlign w:val="center"/>
          </w:tcPr>
          <w:p w14:paraId="251F5F84" w14:textId="2F256FCB" w:rsidR="006060A3" w:rsidRPr="00802745" w:rsidRDefault="006060A3" w:rsidP="00052D77">
            <w:pPr>
              <w:ind w:firstLine="0"/>
              <w:jc w:val="center"/>
            </w:pPr>
            <w:r w:rsidRPr="00802745">
              <w:t>(25)</w:t>
            </w:r>
          </w:p>
        </w:tc>
      </w:tr>
      <w:bookmarkStart w:id="41" w:name="OLE_LINK57"/>
      <w:bookmarkStart w:id="42" w:name="OLE_LINK58"/>
      <w:bookmarkEnd w:id="36"/>
      <w:tr w:rsidR="006060A3" w14:paraId="2E3BDF17" w14:textId="77777777" w:rsidTr="0045084A">
        <w:trPr>
          <w:trHeight w:val="680"/>
          <w:jc w:val="center"/>
        </w:trPr>
        <w:tc>
          <w:tcPr>
            <w:tcW w:w="7937" w:type="dxa"/>
            <w:vAlign w:val="center"/>
          </w:tcPr>
          <w:p w14:paraId="7A54D815" w14:textId="2809AF43" w:rsidR="006060A3" w:rsidRPr="007C76F6" w:rsidRDefault="006A17F1" w:rsidP="00052D77">
            <w:pPr>
              <w:jc w:val="center"/>
              <w:rPr>
                <w:rFonts w:asciiTheme="minorHAnsi" w:eastAsiaTheme="minorEastAsia" w:hAnsiTheme="minorHAnsi" w:cstheme="minorBidi"/>
              </w:rPr>
            </w:pPr>
            <m:oMathPara>
              <m:oMath>
                <m:sSub>
                  <m:sSubPr>
                    <m:ctrlPr>
                      <w:rPr>
                        <w:rFonts w:ascii="Cambria Math" w:eastAsiaTheme="minorEastAsia" w:hAnsi="Cambria Math"/>
                      </w:rPr>
                    </m:ctrlPr>
                  </m:sSubPr>
                  <m:e>
                    <m:acc>
                      <m:accPr>
                        <m:chr m:val="̇"/>
                        <m:ctrlPr>
                          <w:rPr>
                            <w:rFonts w:ascii="Cambria Math" w:eastAsiaTheme="minorEastAsia" w:hAnsi="Cambria Math"/>
                          </w:rPr>
                        </m:ctrlPr>
                      </m:accPr>
                      <m:e>
                        <m:r>
                          <m:rPr>
                            <m:sty m:val="p"/>
                          </m:rPr>
                          <w:rPr>
                            <w:rStyle w:val="FormatvorlageCambriaMathKursiv"/>
                            <w:rFonts w:eastAsiaTheme="minorEastAsia"/>
                          </w:rPr>
                          <m:t>n</m:t>
                        </m:r>
                      </m:e>
                    </m:acc>
                  </m:e>
                  <m:sub>
                    <m:sSub>
                      <m:sSubPr>
                        <m:ctrlPr>
                          <w:rPr>
                            <w:rFonts w:ascii="Cambria Math" w:eastAsiaTheme="minorEastAsia" w:hAnsi="Cambria Math"/>
                          </w:rPr>
                        </m:ctrlPr>
                      </m:sSubPr>
                      <m:e>
                        <m:r>
                          <m:rPr>
                            <m:sty m:val="p"/>
                          </m:rPr>
                          <w:rPr>
                            <w:rStyle w:val="FormatvorlageCambriaMathKursiv"/>
                            <w:rFonts w:eastAsiaTheme="minorEastAsia"/>
                          </w:rPr>
                          <m:t>H</m:t>
                        </m:r>
                      </m:e>
                      <m:sub>
                        <m:r>
                          <m:rPr>
                            <m:sty m:val="p"/>
                          </m:rPr>
                          <w:rPr>
                            <w:rFonts w:ascii="Cambria Math" w:eastAsiaTheme="minorEastAsia" w:hAnsi="Cambria Math"/>
                          </w:rPr>
                          <m:t>2</m:t>
                        </m:r>
                      </m:sub>
                    </m:sSub>
                    <m:r>
                      <w:rPr>
                        <w:rFonts w:ascii="Cambria Math" w:eastAsiaTheme="minorEastAsia" w:hAnsi="Cambria Math"/>
                      </w:rPr>
                      <m:t>O</m:t>
                    </m:r>
                    <m:r>
                      <m:rPr>
                        <m:sty m:val="p"/>
                      </m:rPr>
                      <w:rPr>
                        <w:rFonts w:ascii="Cambria Math" w:eastAsiaTheme="minorEastAsia" w:hAnsi="Cambria Math"/>
                      </w:rPr>
                      <m:t>,</m:t>
                    </m:r>
                    <m:r>
                      <w:rPr>
                        <w:rFonts w:ascii="Cambria Math" w:eastAsiaTheme="minorEastAsia" w:hAnsi="Cambria Math"/>
                      </w:rPr>
                      <m:t>in,cond</m:t>
                    </m:r>
                  </m:sub>
                </m:sSub>
                <w:bookmarkEnd w:id="41"/>
                <w:bookmarkEnd w:id="42"/>
                <m:r>
                  <m:rPr>
                    <m:sty m:val="p"/>
                  </m:rPr>
                  <w:rPr>
                    <w:rFonts w:ascii="Cambria Math" w:eastAsiaTheme="minorEastAsia" w:hAnsi="Cambria Math"/>
                  </w:rPr>
                  <m:t>=</m:t>
                </m:r>
                <m:sSub>
                  <m:sSubPr>
                    <m:ctrlPr>
                      <w:rPr>
                        <w:rFonts w:ascii="Cambria Math" w:eastAsiaTheme="minorEastAsia" w:hAnsi="Cambria Math"/>
                      </w:rPr>
                    </m:ctrlPr>
                  </m:sSubPr>
                  <m:e>
                    <m:acc>
                      <m:accPr>
                        <m:chr m:val="̇"/>
                        <m:ctrlPr>
                          <w:rPr>
                            <w:rFonts w:ascii="Cambria Math" w:eastAsiaTheme="minorEastAsia" w:hAnsi="Cambria Math"/>
                          </w:rPr>
                        </m:ctrlPr>
                      </m:accPr>
                      <m:e>
                        <m:r>
                          <m:rPr>
                            <m:sty m:val="p"/>
                          </m:rPr>
                          <w:rPr>
                            <w:rStyle w:val="FormatvorlageCambriaMathKursiv"/>
                            <w:rFonts w:eastAsiaTheme="minorEastAsia"/>
                          </w:rPr>
                          <m:t>n</m:t>
                        </m:r>
                      </m:e>
                    </m:acc>
                  </m:e>
                  <m:sub>
                    <m:sSub>
                      <m:sSubPr>
                        <m:ctrlPr>
                          <w:rPr>
                            <w:rFonts w:ascii="Cambria Math" w:eastAsiaTheme="minorEastAsia" w:hAnsi="Cambria Math"/>
                          </w:rPr>
                        </m:ctrlPr>
                      </m:sSubPr>
                      <m:e>
                        <m:r>
                          <m:rPr>
                            <m:sty m:val="p"/>
                          </m:rPr>
                          <w:rPr>
                            <w:rStyle w:val="FormatvorlageCambriaMathKursiv"/>
                            <w:rFonts w:eastAsiaTheme="minorEastAsia"/>
                          </w:rPr>
                          <m:t>H</m:t>
                        </m:r>
                      </m:e>
                      <m:sub>
                        <m:r>
                          <m:rPr>
                            <m:sty m:val="p"/>
                          </m:rPr>
                          <w:rPr>
                            <w:rFonts w:ascii="Cambria Math" w:eastAsiaTheme="minorEastAsia" w:hAnsi="Cambria Math"/>
                          </w:rPr>
                          <m:t>2</m:t>
                        </m:r>
                      </m:sub>
                    </m:sSub>
                    <m:r>
                      <m:rPr>
                        <m:sty m:val="p"/>
                      </m:rPr>
                      <w:rPr>
                        <w:rFonts w:ascii="Cambria Math" w:eastAsiaTheme="minorEastAsia" w:hAnsi="Cambria Math"/>
                      </w:rPr>
                      <m:t>O</m:t>
                    </m:r>
                    <m:r>
                      <m:rPr>
                        <m:sty m:val="p"/>
                      </m:rPr>
                      <w:rPr>
                        <w:rStyle w:val="FormatvorlageCambriaMathKursiv"/>
                        <w:rFonts w:eastAsiaTheme="minorEastAsia"/>
                      </w:rPr>
                      <m:t>,in</m:t>
                    </m:r>
                  </m:sub>
                </m:sSub>
                <m:r>
                  <m:rPr>
                    <m:sty m:val="p"/>
                  </m:rPr>
                  <w:rPr>
                    <w:rFonts w:ascii="Cambria Math" w:eastAsiaTheme="minorEastAsia" w:hAnsi="Cambria Math"/>
                  </w:rPr>
                  <m:t>+</m:t>
                </m:r>
                <m:sSub>
                  <m:sSubPr>
                    <m:ctrlPr>
                      <w:rPr>
                        <w:rFonts w:ascii="Cambria Math" w:eastAsiaTheme="minorEastAsia" w:hAnsi="Cambria Math"/>
                      </w:rPr>
                    </m:ctrlPr>
                  </m:sSubPr>
                  <m:e>
                    <m:acc>
                      <m:accPr>
                        <m:chr m:val="̇"/>
                        <m:ctrlPr>
                          <w:rPr>
                            <w:rFonts w:ascii="Cambria Math" w:eastAsiaTheme="minorEastAsia" w:hAnsi="Cambria Math"/>
                            <w:noProof/>
                          </w:rPr>
                        </m:ctrlPr>
                      </m:accPr>
                      <m:e>
                        <m:r>
                          <m:rPr>
                            <m:sty m:val="p"/>
                          </m:rPr>
                          <w:rPr>
                            <w:rStyle w:val="FormatvorlageCambriaMathKursiv"/>
                            <w:rFonts w:eastAsiaTheme="minorEastAsia"/>
                            <w:noProof/>
                          </w:rPr>
                          <m:t>n</m:t>
                        </m:r>
                      </m:e>
                    </m:acc>
                    <m:ctrlPr>
                      <w:rPr>
                        <w:rFonts w:ascii="Cambria Math" w:eastAsiaTheme="minorEastAsia" w:hAnsi="Cambria Math"/>
                        <w:noProof/>
                      </w:rPr>
                    </m:ctrlPr>
                  </m:e>
                  <m:sub>
                    <m:r>
                      <m:rPr>
                        <m:sty m:val="p"/>
                      </m:rPr>
                      <w:rPr>
                        <w:rStyle w:val="FormatvorlageCambriaMathKursiv"/>
                        <w:rFonts w:eastAsiaTheme="minorEastAsia"/>
                      </w:rPr>
                      <m:t>C</m:t>
                    </m:r>
                    <m:sSub>
                      <m:sSubPr>
                        <m:ctrlPr>
                          <w:rPr>
                            <w:rFonts w:ascii="Cambria Math" w:eastAsiaTheme="minorEastAsia" w:hAnsi="Cambria Math"/>
                          </w:rPr>
                        </m:ctrlPr>
                      </m:sSubPr>
                      <m:e>
                        <m:r>
                          <m:rPr>
                            <m:sty m:val="p"/>
                          </m:rPr>
                          <w:rPr>
                            <w:rStyle w:val="FormatvorlageCambriaMathKursiv"/>
                            <w:rFonts w:eastAsiaTheme="minorEastAsia"/>
                          </w:rPr>
                          <m:t>O</m:t>
                        </m:r>
                      </m:e>
                      <m:sub>
                        <m:r>
                          <m:rPr>
                            <m:sty m:val="p"/>
                          </m:rPr>
                          <w:rPr>
                            <w:rFonts w:ascii="Cambria Math" w:eastAsiaTheme="minorEastAsia" w:hAnsi="Cambria Math"/>
                          </w:rPr>
                          <m:t>2</m:t>
                        </m:r>
                      </m:sub>
                    </m:sSub>
                    <m:r>
                      <m:rPr>
                        <m:sty m:val="p"/>
                      </m:rPr>
                      <w:rPr>
                        <w:rStyle w:val="FormatvorlageCambriaMathKursiv"/>
                        <w:rFonts w:eastAsiaTheme="minorEastAsia"/>
                      </w:rPr>
                      <m:t>,in</m:t>
                    </m:r>
                  </m:sub>
                </m:sSub>
                <m:r>
                  <m:rPr>
                    <m:sty m:val="p"/>
                  </m:rPr>
                  <w:rPr>
                    <w:rFonts w:ascii="Cambria Math" w:eastAsiaTheme="minorEastAsia" w:hAnsi="Cambria Math"/>
                  </w:rPr>
                  <m:t>∙</m:t>
                </m:r>
                <m:r>
                  <w:rPr>
                    <w:rFonts w:ascii="Cambria Math" w:eastAsiaTheme="minorEastAsia" w:hAnsi="Cambria Math"/>
                  </w:rPr>
                  <m:t>Π</m:t>
                </m:r>
                <m:r>
                  <m:rPr>
                    <m:sty m:val="p"/>
                  </m:rPr>
                  <w:rPr>
                    <w:rFonts w:ascii="Cambria Math" w:eastAsiaTheme="minorEastAsia" w:hAnsi="Cambria Math"/>
                  </w:rPr>
                  <m:t>∙</m:t>
                </m:r>
                <m:f>
                  <m:fPr>
                    <m:ctrlPr>
                      <w:rPr>
                        <w:rFonts w:ascii="Cambria Math" w:eastAsiaTheme="minorEastAsia" w:hAnsi="Cambria Math"/>
                        <w:i/>
                      </w:rPr>
                    </m:ctrlPr>
                  </m:fPr>
                  <m:num>
                    <w:bookmarkStart w:id="43" w:name="OLE_LINK63"/>
                    <w:bookmarkStart w:id="44" w:name="OLE_LINK64"/>
                    <m:sSub>
                      <m:sSubPr>
                        <m:ctrlPr>
                          <w:rPr>
                            <w:rFonts w:ascii="Cambria Math" w:eastAsiaTheme="minorEastAsia" w:hAnsi="Cambria Math"/>
                            <w:i/>
                          </w:rPr>
                        </m:ctrlPr>
                      </m:sSubPr>
                      <m:e>
                        <m:r>
                          <w:rPr>
                            <w:rFonts w:ascii="Cambria Math" w:eastAsiaTheme="minorEastAsia" w:hAnsi="Cambria Math"/>
                          </w:rPr>
                          <m:t>y</m:t>
                        </m:r>
                      </m:e>
                      <m:sub>
                        <m:sSub>
                          <m:sSubPr>
                            <m:ctrlPr>
                              <w:rPr>
                                <w:rFonts w:ascii="Cambria Math" w:eastAsiaTheme="minorEastAsia" w:hAnsi="Cambria Math"/>
                                <w:i/>
                              </w:rPr>
                            </m:ctrlPr>
                          </m:sSubPr>
                          <m:e>
                            <m:r>
                              <w:rPr>
                                <w:rFonts w:ascii="Cambria Math" w:eastAsiaTheme="minorEastAsia" w:hAnsi="Cambria Math"/>
                              </w:rPr>
                              <m:t>H</m:t>
                            </m:r>
                          </m:e>
                          <m:sub>
                            <m:r>
                              <w:rPr>
                                <w:rFonts w:ascii="Cambria Math" w:eastAsiaTheme="minorEastAsia" w:hAnsi="Cambria Math"/>
                              </w:rPr>
                              <m:t>2</m:t>
                            </m:r>
                          </m:sub>
                        </m:sSub>
                        <m:r>
                          <w:rPr>
                            <w:rFonts w:ascii="Cambria Math" w:eastAsiaTheme="minorEastAsia" w:hAnsi="Cambria Math"/>
                          </w:rPr>
                          <m:t>O,rec.</m:t>
                        </m:r>
                      </m:sub>
                    </m:sSub>
                    <w:bookmarkEnd w:id="43"/>
                    <w:bookmarkEnd w:id="44"/>
                  </m:num>
                  <m:den>
                    <w:bookmarkStart w:id="45" w:name="OLE_LINK97"/>
                    <w:bookmarkStart w:id="46" w:name="OLE_LINK98"/>
                    <m:sSub>
                      <m:sSubPr>
                        <m:ctrlPr>
                          <w:rPr>
                            <w:rFonts w:ascii="Cambria Math" w:eastAsiaTheme="minorEastAsia" w:hAnsi="Cambria Math"/>
                            <w:i/>
                          </w:rPr>
                        </m:ctrlPr>
                      </m:sSubPr>
                      <m:e>
                        <m:r>
                          <w:rPr>
                            <w:rFonts w:ascii="Cambria Math" w:eastAsiaTheme="minorEastAsia" w:hAnsi="Cambria Math"/>
                          </w:rPr>
                          <m:t>y</m:t>
                        </m:r>
                      </m:e>
                      <m:sub>
                        <m:sSub>
                          <m:sSubPr>
                            <m:ctrlPr>
                              <w:rPr>
                                <w:rFonts w:ascii="Cambria Math" w:eastAsiaTheme="minorEastAsia" w:hAnsi="Cambria Math"/>
                                <w:i/>
                              </w:rPr>
                            </m:ctrlPr>
                          </m:sSubPr>
                          <m:e>
                            <m:r>
                              <w:rPr>
                                <w:rFonts w:ascii="Cambria Math" w:eastAsiaTheme="minorEastAsia" w:hAnsi="Cambria Math"/>
                              </w:rPr>
                              <m:t>CO</m:t>
                            </m:r>
                          </m:e>
                          <m:sub>
                            <m:r>
                              <w:rPr>
                                <w:rFonts w:ascii="Cambria Math" w:eastAsiaTheme="minorEastAsia" w:hAnsi="Cambria Math"/>
                              </w:rPr>
                              <m:t>2</m:t>
                            </m:r>
                          </m:sub>
                        </m:sSub>
                        <m:r>
                          <w:rPr>
                            <w:rFonts w:ascii="Cambria Math" w:eastAsiaTheme="minorEastAsia" w:hAnsi="Cambria Math"/>
                          </w:rPr>
                          <m:t>,rec.</m:t>
                        </m:r>
                      </m:sub>
                    </m:sSub>
                    <w:bookmarkEnd w:id="45"/>
                    <w:bookmarkEnd w:id="46"/>
                  </m:den>
                </m:f>
              </m:oMath>
            </m:oMathPara>
          </w:p>
        </w:tc>
        <w:tc>
          <w:tcPr>
            <w:tcW w:w="907" w:type="dxa"/>
            <w:vAlign w:val="center"/>
          </w:tcPr>
          <w:p w14:paraId="23F2A1F4" w14:textId="77777777" w:rsidR="006060A3" w:rsidRPr="00802745" w:rsidRDefault="006060A3" w:rsidP="00052D77">
            <w:pPr>
              <w:ind w:firstLine="0"/>
              <w:jc w:val="center"/>
            </w:pPr>
            <w:r w:rsidRPr="00802745">
              <w:t>(26)</w:t>
            </w:r>
          </w:p>
        </w:tc>
      </w:tr>
    </w:tbl>
    <w:p w14:paraId="49EA39D7" w14:textId="58B1E6CB" w:rsidR="006060A3" w:rsidRDefault="006060A3" w:rsidP="006060A3">
      <w:pPr>
        <w:spacing w:before="120" w:after="120"/>
        <w:rPr>
          <w:rFonts w:eastAsiaTheme="minorEastAsia"/>
        </w:rPr>
      </w:pPr>
      <w:r w:rsidRPr="00802745">
        <w:rPr>
          <w:rFonts w:eastAsiaTheme="minorEastAsia"/>
        </w:rPr>
        <w:t xml:space="preserve">In </w:t>
      </w:r>
      <w:r w:rsidR="00052D77">
        <w:rPr>
          <w:rFonts w:eastAsiaTheme="minorEastAsia"/>
        </w:rPr>
        <w:t>Table A3</w:t>
      </w:r>
      <w:r>
        <w:rPr>
          <w:rFonts w:eastAsiaTheme="minorEastAsia"/>
        </w:rPr>
        <w:t>,</w:t>
      </w:r>
      <w:r w:rsidRPr="00802745">
        <w:rPr>
          <w:rFonts w:eastAsiaTheme="minorEastAsia"/>
        </w:rPr>
        <w:t xml:space="preserve"> the gas composition and amount at the condenser inlet </w:t>
      </w:r>
      <w:r w:rsidRPr="004B4F48">
        <w:rPr>
          <w:rFonts w:eastAsiaTheme="minorEastAsia"/>
          <w:noProof/>
        </w:rPr>
        <w:t>are summarized</w:t>
      </w:r>
      <w:r w:rsidRPr="00802745">
        <w:rPr>
          <w:rFonts w:eastAsiaTheme="minorEastAsia"/>
        </w:rPr>
        <w:t>. The effect of an increasing volume stream and a lower H</w:t>
      </w:r>
      <w:r w:rsidRPr="00802745">
        <w:rPr>
          <w:rFonts w:eastAsiaTheme="minorEastAsia"/>
          <w:vertAlign w:val="subscript"/>
        </w:rPr>
        <w:t>2</w:t>
      </w:r>
      <w:r w:rsidRPr="00802745">
        <w:rPr>
          <w:rFonts w:eastAsiaTheme="minorEastAsia"/>
        </w:rPr>
        <w:t xml:space="preserve">O partial pressure has to </w:t>
      </w:r>
      <w:r w:rsidRPr="004B4F48">
        <w:rPr>
          <w:rFonts w:eastAsiaTheme="minorEastAsia"/>
          <w:noProof/>
        </w:rPr>
        <w:t>be considered</w:t>
      </w:r>
      <w:r w:rsidRPr="00802745">
        <w:rPr>
          <w:rFonts w:eastAsiaTheme="minorEastAsia"/>
        </w:rPr>
        <w:t xml:space="preserve"> for the condenser design.</w:t>
      </w:r>
    </w:p>
    <w:p w14:paraId="272EC24B" w14:textId="77BB5165" w:rsidR="006060A3" w:rsidRDefault="006060A3" w:rsidP="006060A3">
      <w:pPr>
        <w:pStyle w:val="Didascalia"/>
        <w:keepNext/>
      </w:pPr>
      <w:bookmarkStart w:id="47" w:name="_Ref444605853"/>
      <w:bookmarkStart w:id="48" w:name="_Ref444605845"/>
      <w:r w:rsidRPr="00802745">
        <w:t>Table</w:t>
      </w:r>
      <w:r w:rsidR="00E94452">
        <w:t xml:space="preserve"> A3</w:t>
      </w:r>
      <w:bookmarkEnd w:id="47"/>
      <w:r w:rsidRPr="00802745">
        <w:t>. Effect of the recirculation rate on the gas composition and amount on the condenser inlet streams</w:t>
      </w:r>
      <w:bookmarkEnd w:id="48"/>
    </w:p>
    <w:tbl>
      <w:tblPr>
        <w:tblStyle w:val="ListTable3-Accent11"/>
        <w:tblW w:w="0" w:type="auto"/>
        <w:jc w:val="center"/>
        <w:tblLook w:val="04A0" w:firstRow="1" w:lastRow="0" w:firstColumn="1" w:lastColumn="0" w:noHBand="0" w:noVBand="1"/>
      </w:tblPr>
      <w:tblGrid>
        <w:gridCol w:w="1843"/>
        <w:gridCol w:w="866"/>
        <w:gridCol w:w="866"/>
        <w:gridCol w:w="866"/>
      </w:tblGrid>
      <w:tr w:rsidR="006060A3" w:rsidRPr="006139A4" w14:paraId="4325976C" w14:textId="77777777" w:rsidTr="006060A3">
        <w:trPr>
          <w:cnfStyle w:val="100000000000" w:firstRow="1" w:lastRow="0" w:firstColumn="0" w:lastColumn="0" w:oddVBand="0" w:evenVBand="0" w:oddHBand="0" w:evenHBand="0" w:firstRowFirstColumn="0" w:firstRowLastColumn="0" w:lastRowFirstColumn="0" w:lastRowLastColumn="0"/>
          <w:trHeight w:val="397"/>
          <w:jc w:val="center"/>
        </w:trPr>
        <w:tc>
          <w:tcPr>
            <w:cnfStyle w:val="001000000100" w:firstRow="0" w:lastRow="0" w:firstColumn="1" w:lastColumn="0" w:oddVBand="0" w:evenVBand="0" w:oddHBand="0" w:evenHBand="0" w:firstRowFirstColumn="1" w:firstRowLastColumn="0" w:lastRowFirstColumn="0" w:lastRowLastColumn="0"/>
            <w:tcW w:w="1843" w:type="dxa"/>
            <w:vAlign w:val="center"/>
          </w:tcPr>
          <w:p w14:paraId="47E08DCA" w14:textId="77777777" w:rsidR="006060A3" w:rsidRPr="006139A4" w:rsidRDefault="006060A3" w:rsidP="006060A3">
            <w:pPr>
              <w:pStyle w:val="Table"/>
              <w:spacing w:line="240" w:lineRule="auto"/>
              <w:rPr>
                <w:color w:val="FFFFFF" w:themeColor="background1"/>
                <w:sz w:val="20"/>
              </w:rPr>
            </w:pPr>
            <w:bookmarkStart w:id="49" w:name="OLE_LINK92"/>
            <w:bookmarkStart w:id="50" w:name="_Hlk444607362"/>
            <w:bookmarkStart w:id="51" w:name="OLE_LINK103"/>
            <m:oMathPara>
              <m:oMath>
                <m:r>
                  <m:rPr>
                    <m:sty m:val="bi"/>
                  </m:rPr>
                  <w:rPr>
                    <w:rFonts w:ascii="Cambria Math" w:eastAsiaTheme="minorEastAsia" w:hAnsi="Cambria Math"/>
                    <w:color w:val="FFFFFF" w:themeColor="background1"/>
                    <w:sz w:val="20"/>
                  </w:rPr>
                  <m:t>Π</m:t>
                </m:r>
              </m:oMath>
            </m:oMathPara>
            <w:bookmarkEnd w:id="49"/>
          </w:p>
        </w:tc>
        <w:tc>
          <w:tcPr>
            <w:tcW w:w="866" w:type="dxa"/>
            <w:vAlign w:val="center"/>
          </w:tcPr>
          <w:p w14:paraId="0CAC505C" w14:textId="77777777" w:rsidR="006060A3" w:rsidRPr="006139A4" w:rsidRDefault="006060A3" w:rsidP="006060A3">
            <w:pPr>
              <w:pStyle w:val="Table"/>
              <w:spacing w:line="240" w:lineRule="auto"/>
              <w:cnfStyle w:val="100000000000" w:firstRow="1" w:lastRow="0" w:firstColumn="0" w:lastColumn="0" w:oddVBand="0" w:evenVBand="0" w:oddHBand="0" w:evenHBand="0" w:firstRowFirstColumn="0" w:firstRowLastColumn="0" w:lastRowFirstColumn="0" w:lastRowLastColumn="0"/>
              <w:rPr>
                <w:color w:val="FFFFFF" w:themeColor="background1"/>
                <w:sz w:val="20"/>
              </w:rPr>
            </w:pPr>
            <w:r w:rsidRPr="006139A4">
              <w:rPr>
                <w:color w:val="FFFFFF" w:themeColor="background1"/>
                <w:sz w:val="20"/>
              </w:rPr>
              <w:t>0</w:t>
            </w:r>
          </w:p>
        </w:tc>
        <w:tc>
          <w:tcPr>
            <w:tcW w:w="866" w:type="dxa"/>
            <w:vAlign w:val="center"/>
          </w:tcPr>
          <w:p w14:paraId="499381F5" w14:textId="77777777" w:rsidR="006060A3" w:rsidRPr="006139A4" w:rsidRDefault="006060A3" w:rsidP="006060A3">
            <w:pPr>
              <w:pStyle w:val="Table"/>
              <w:spacing w:line="240" w:lineRule="auto"/>
              <w:cnfStyle w:val="100000000000" w:firstRow="1" w:lastRow="0" w:firstColumn="0" w:lastColumn="0" w:oddVBand="0" w:evenVBand="0" w:oddHBand="0" w:evenHBand="0" w:firstRowFirstColumn="0" w:firstRowLastColumn="0" w:lastRowFirstColumn="0" w:lastRowLastColumn="0"/>
              <w:rPr>
                <w:color w:val="FFFFFF" w:themeColor="background1"/>
                <w:sz w:val="20"/>
              </w:rPr>
            </w:pPr>
            <w:r w:rsidRPr="006139A4">
              <w:rPr>
                <w:color w:val="FFFFFF" w:themeColor="background1"/>
                <w:sz w:val="20"/>
              </w:rPr>
              <w:t>0.11</w:t>
            </w:r>
          </w:p>
        </w:tc>
        <w:tc>
          <w:tcPr>
            <w:tcW w:w="866" w:type="dxa"/>
            <w:vAlign w:val="center"/>
          </w:tcPr>
          <w:p w14:paraId="3AED781C" w14:textId="77777777" w:rsidR="006060A3" w:rsidRPr="006139A4" w:rsidRDefault="006060A3" w:rsidP="006060A3">
            <w:pPr>
              <w:pStyle w:val="Table"/>
              <w:spacing w:line="240" w:lineRule="auto"/>
              <w:cnfStyle w:val="100000000000" w:firstRow="1" w:lastRow="0" w:firstColumn="0" w:lastColumn="0" w:oddVBand="0" w:evenVBand="0" w:oddHBand="0" w:evenHBand="0" w:firstRowFirstColumn="0" w:firstRowLastColumn="0" w:lastRowFirstColumn="0" w:lastRowLastColumn="0"/>
              <w:rPr>
                <w:color w:val="FFFFFF" w:themeColor="background1"/>
                <w:sz w:val="20"/>
              </w:rPr>
            </w:pPr>
            <w:r w:rsidRPr="006139A4">
              <w:rPr>
                <w:color w:val="FFFFFF" w:themeColor="background1"/>
                <w:sz w:val="20"/>
              </w:rPr>
              <w:t>0.25</w:t>
            </w:r>
          </w:p>
        </w:tc>
      </w:tr>
      <w:bookmarkEnd w:id="50"/>
      <w:tr w:rsidR="006060A3" w14:paraId="6595177F" w14:textId="77777777" w:rsidTr="006060A3">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1843" w:type="dxa"/>
            <w:vAlign w:val="center"/>
          </w:tcPr>
          <w:p w14:paraId="142EEE7E" w14:textId="77777777" w:rsidR="006060A3" w:rsidRPr="006139A4" w:rsidRDefault="006A17F1" w:rsidP="006060A3">
            <w:pPr>
              <w:pStyle w:val="Table"/>
              <w:spacing w:line="240" w:lineRule="auto"/>
              <w:jc w:val="left"/>
              <w:rPr>
                <w:sz w:val="20"/>
              </w:rPr>
            </w:pPr>
            <m:oMath>
              <m:sSub>
                <m:sSubPr>
                  <m:ctrlPr>
                    <w:rPr>
                      <w:rFonts w:ascii="Cambria Math" w:hAnsi="Cambria Math"/>
                      <w:i/>
                      <w:sz w:val="20"/>
                    </w:rPr>
                  </m:ctrlPr>
                </m:sSubPr>
                <m:e>
                  <m:r>
                    <m:rPr>
                      <m:sty m:val="b"/>
                    </m:rPr>
                    <w:rPr>
                      <w:rStyle w:val="FormatvorlageCambriaMathKursiv"/>
                      <w:sz w:val="20"/>
                    </w:rPr>
                    <m:t>y</m:t>
                  </m:r>
                </m:e>
                <m:sub>
                  <m:sSub>
                    <m:sSubPr>
                      <m:ctrlPr>
                        <w:rPr>
                          <w:rFonts w:ascii="Cambria Math" w:hAnsi="Cambria Math"/>
                          <w:i/>
                          <w:sz w:val="20"/>
                        </w:rPr>
                      </m:ctrlPr>
                    </m:sSubPr>
                    <m:e>
                      <m:r>
                        <m:rPr>
                          <m:sty m:val="b"/>
                        </m:rPr>
                        <w:rPr>
                          <w:rStyle w:val="FormatvorlageCambriaMathKursiv"/>
                          <w:sz w:val="20"/>
                        </w:rPr>
                        <m:t>H</m:t>
                      </m:r>
                    </m:e>
                    <m:sub>
                      <m:r>
                        <m:rPr>
                          <m:sty m:val="b"/>
                        </m:rPr>
                        <w:rPr>
                          <w:rFonts w:ascii="Cambria Math" w:hAnsi="Cambria Math"/>
                          <w:sz w:val="20"/>
                        </w:rPr>
                        <m:t>2</m:t>
                      </m:r>
                    </m:sub>
                  </m:sSub>
                  <m:r>
                    <m:rPr>
                      <m:sty m:val="b"/>
                    </m:rPr>
                    <w:rPr>
                      <w:rStyle w:val="FormatvorlageCambriaMathKursiv"/>
                      <w:sz w:val="20"/>
                    </w:rPr>
                    <m:t xml:space="preserve">O, </m:t>
                  </m:r>
                  <w:bookmarkStart w:id="52" w:name="OLE_LINK67"/>
                  <w:bookmarkStart w:id="53" w:name="OLE_LINK68"/>
                  <m:r>
                    <m:rPr>
                      <m:sty m:val="b"/>
                    </m:rPr>
                    <w:rPr>
                      <w:rStyle w:val="FormatvorlageCambriaMathKursiv"/>
                      <w:sz w:val="20"/>
                    </w:rPr>
                    <m:t>in,cond.</m:t>
                  </m:r>
                  <w:bookmarkEnd w:id="52"/>
                  <w:bookmarkEnd w:id="53"/>
                </m:sub>
              </m:sSub>
            </m:oMath>
            <w:r w:rsidR="006060A3" w:rsidRPr="006139A4">
              <w:rPr>
                <w:sz w:val="20"/>
              </w:rPr>
              <w:t xml:space="preserve"> </w:t>
            </w:r>
          </w:p>
        </w:tc>
        <w:tc>
          <w:tcPr>
            <w:tcW w:w="866" w:type="dxa"/>
            <w:vAlign w:val="center"/>
          </w:tcPr>
          <w:p w14:paraId="67800C99" w14:textId="77777777" w:rsidR="006060A3" w:rsidRPr="006139A4" w:rsidRDefault="006060A3" w:rsidP="006060A3">
            <w:pPr>
              <w:pStyle w:val="Table"/>
              <w:spacing w:line="240" w:lineRule="auto"/>
              <w:cnfStyle w:val="000000100000" w:firstRow="0" w:lastRow="0" w:firstColumn="0" w:lastColumn="0" w:oddVBand="0" w:evenVBand="0" w:oddHBand="1" w:evenHBand="0" w:firstRowFirstColumn="0" w:firstRowLastColumn="0" w:lastRowFirstColumn="0" w:lastRowLastColumn="0"/>
              <w:rPr>
                <w:sz w:val="20"/>
              </w:rPr>
            </w:pPr>
            <w:r w:rsidRPr="006139A4">
              <w:rPr>
                <w:sz w:val="20"/>
              </w:rPr>
              <w:t>0.566</w:t>
            </w:r>
          </w:p>
        </w:tc>
        <w:tc>
          <w:tcPr>
            <w:tcW w:w="866" w:type="dxa"/>
            <w:vAlign w:val="center"/>
          </w:tcPr>
          <w:p w14:paraId="36702598" w14:textId="77777777" w:rsidR="006060A3" w:rsidRPr="006139A4" w:rsidRDefault="006060A3" w:rsidP="006060A3">
            <w:pPr>
              <w:pStyle w:val="Table"/>
              <w:spacing w:line="240" w:lineRule="auto"/>
              <w:cnfStyle w:val="000000100000" w:firstRow="0" w:lastRow="0" w:firstColumn="0" w:lastColumn="0" w:oddVBand="0" w:evenVBand="0" w:oddHBand="1" w:evenHBand="0" w:firstRowFirstColumn="0" w:firstRowLastColumn="0" w:lastRowFirstColumn="0" w:lastRowLastColumn="0"/>
              <w:rPr>
                <w:sz w:val="20"/>
              </w:rPr>
            </w:pPr>
            <w:r w:rsidRPr="006139A4">
              <w:rPr>
                <w:sz w:val="20"/>
              </w:rPr>
              <w:t>0.541</w:t>
            </w:r>
          </w:p>
        </w:tc>
        <w:tc>
          <w:tcPr>
            <w:tcW w:w="866" w:type="dxa"/>
            <w:vAlign w:val="center"/>
          </w:tcPr>
          <w:p w14:paraId="075F1429" w14:textId="77777777" w:rsidR="006060A3" w:rsidRPr="006139A4" w:rsidRDefault="006060A3" w:rsidP="006060A3">
            <w:pPr>
              <w:pStyle w:val="Table"/>
              <w:spacing w:line="240" w:lineRule="auto"/>
              <w:cnfStyle w:val="000000100000" w:firstRow="0" w:lastRow="0" w:firstColumn="0" w:lastColumn="0" w:oddVBand="0" w:evenVBand="0" w:oddHBand="1" w:evenHBand="0" w:firstRowFirstColumn="0" w:firstRowLastColumn="0" w:lastRowFirstColumn="0" w:lastRowLastColumn="0"/>
              <w:rPr>
                <w:sz w:val="20"/>
              </w:rPr>
            </w:pPr>
            <w:r w:rsidRPr="006139A4">
              <w:rPr>
                <w:sz w:val="20"/>
              </w:rPr>
              <w:t>0.513</w:t>
            </w:r>
          </w:p>
        </w:tc>
      </w:tr>
      <w:tr w:rsidR="006060A3" w14:paraId="6ED80008" w14:textId="77777777" w:rsidTr="006060A3">
        <w:trPr>
          <w:trHeight w:val="397"/>
          <w:jc w:val="center"/>
        </w:trPr>
        <w:tc>
          <w:tcPr>
            <w:cnfStyle w:val="001000000000" w:firstRow="0" w:lastRow="0" w:firstColumn="1" w:lastColumn="0" w:oddVBand="0" w:evenVBand="0" w:oddHBand="0" w:evenHBand="0" w:firstRowFirstColumn="0" w:firstRowLastColumn="0" w:lastRowFirstColumn="0" w:lastRowLastColumn="0"/>
            <w:tcW w:w="1843" w:type="dxa"/>
            <w:vAlign w:val="center"/>
          </w:tcPr>
          <w:p w14:paraId="23B36297" w14:textId="77777777" w:rsidR="006060A3" w:rsidRPr="006139A4" w:rsidRDefault="006A17F1" w:rsidP="006060A3">
            <w:pPr>
              <w:pStyle w:val="Table"/>
              <w:spacing w:line="240" w:lineRule="auto"/>
              <w:jc w:val="left"/>
              <w:rPr>
                <w:sz w:val="20"/>
              </w:rPr>
            </w:pPr>
            <m:oMath>
              <m:sSub>
                <m:sSubPr>
                  <m:ctrlPr>
                    <w:rPr>
                      <w:rFonts w:ascii="Cambria Math" w:hAnsi="Cambria Math"/>
                      <w:sz w:val="20"/>
                    </w:rPr>
                  </m:ctrlPr>
                </m:sSubPr>
                <m:e>
                  <m:r>
                    <m:rPr>
                      <m:sty m:val="b"/>
                    </m:rPr>
                    <w:rPr>
                      <w:rStyle w:val="FormatvorlageCambriaMathKursiv"/>
                      <w:sz w:val="20"/>
                    </w:rPr>
                    <m:t>y</m:t>
                  </m:r>
                </m:e>
                <m:sub>
                  <m:r>
                    <m:rPr>
                      <m:sty m:val="b"/>
                    </m:rPr>
                    <w:rPr>
                      <w:rStyle w:val="FormatvorlageCambriaMathKursiv"/>
                      <w:sz w:val="20"/>
                    </w:rPr>
                    <m:t>C</m:t>
                  </m:r>
                  <m:sSub>
                    <m:sSubPr>
                      <m:ctrlPr>
                        <w:rPr>
                          <w:rFonts w:ascii="Cambria Math" w:hAnsi="Cambria Math"/>
                          <w:sz w:val="20"/>
                        </w:rPr>
                      </m:ctrlPr>
                    </m:sSubPr>
                    <m:e>
                      <m:r>
                        <m:rPr>
                          <m:sty m:val="b"/>
                        </m:rPr>
                        <w:rPr>
                          <w:rStyle w:val="FormatvorlageCambriaMathKursiv"/>
                          <w:sz w:val="20"/>
                        </w:rPr>
                        <m:t>O</m:t>
                      </m:r>
                    </m:e>
                    <m:sub>
                      <m:r>
                        <m:rPr>
                          <m:sty m:val="b"/>
                        </m:rPr>
                        <w:rPr>
                          <w:rFonts w:ascii="Cambria Math" w:hAnsi="Cambria Math"/>
                          <w:sz w:val="20"/>
                        </w:rPr>
                        <m:t>2</m:t>
                      </m:r>
                    </m:sub>
                  </m:sSub>
                  <m:r>
                    <m:rPr>
                      <m:sty m:val="b"/>
                    </m:rPr>
                    <w:rPr>
                      <w:rFonts w:ascii="Cambria Math" w:hAnsi="Cambria Math"/>
                      <w:sz w:val="20"/>
                    </w:rPr>
                    <m:t>,</m:t>
                  </m:r>
                  <m:r>
                    <m:rPr>
                      <m:sty m:val="b"/>
                    </m:rPr>
                    <w:rPr>
                      <w:rStyle w:val="FormatvorlageCambriaMathKursiv"/>
                      <w:sz w:val="20"/>
                    </w:rPr>
                    <m:t xml:space="preserve"> in,cond.</m:t>
                  </m:r>
                </m:sub>
              </m:sSub>
            </m:oMath>
            <w:r w:rsidR="006060A3" w:rsidRPr="006139A4">
              <w:rPr>
                <w:sz w:val="20"/>
              </w:rPr>
              <w:t xml:space="preserve"> </w:t>
            </w:r>
          </w:p>
        </w:tc>
        <w:tc>
          <w:tcPr>
            <w:tcW w:w="866" w:type="dxa"/>
            <w:vAlign w:val="center"/>
          </w:tcPr>
          <w:p w14:paraId="33DA1392" w14:textId="77777777" w:rsidR="006060A3" w:rsidRPr="006139A4" w:rsidRDefault="006060A3" w:rsidP="006060A3">
            <w:pPr>
              <w:pStyle w:val="Table"/>
              <w:spacing w:line="240" w:lineRule="auto"/>
              <w:cnfStyle w:val="000000000000" w:firstRow="0" w:lastRow="0" w:firstColumn="0" w:lastColumn="0" w:oddVBand="0" w:evenVBand="0" w:oddHBand="0" w:evenHBand="0" w:firstRowFirstColumn="0" w:firstRowLastColumn="0" w:lastRowFirstColumn="0" w:lastRowLastColumn="0"/>
              <w:rPr>
                <w:sz w:val="20"/>
              </w:rPr>
            </w:pPr>
            <w:r w:rsidRPr="006139A4">
              <w:rPr>
                <w:sz w:val="20"/>
              </w:rPr>
              <w:t>0.434</w:t>
            </w:r>
          </w:p>
        </w:tc>
        <w:tc>
          <w:tcPr>
            <w:tcW w:w="866" w:type="dxa"/>
            <w:vAlign w:val="center"/>
          </w:tcPr>
          <w:p w14:paraId="502DA446" w14:textId="77777777" w:rsidR="006060A3" w:rsidRPr="006139A4" w:rsidRDefault="006060A3" w:rsidP="006060A3">
            <w:pPr>
              <w:pStyle w:val="Table"/>
              <w:spacing w:line="240" w:lineRule="auto"/>
              <w:cnfStyle w:val="000000000000" w:firstRow="0" w:lastRow="0" w:firstColumn="0" w:lastColumn="0" w:oddVBand="0" w:evenVBand="0" w:oddHBand="0" w:evenHBand="0" w:firstRowFirstColumn="0" w:firstRowLastColumn="0" w:lastRowFirstColumn="0" w:lastRowLastColumn="0"/>
              <w:rPr>
                <w:sz w:val="20"/>
              </w:rPr>
            </w:pPr>
            <w:r w:rsidRPr="006139A4">
              <w:rPr>
                <w:sz w:val="20"/>
              </w:rPr>
              <w:t>0.459</w:t>
            </w:r>
          </w:p>
        </w:tc>
        <w:tc>
          <w:tcPr>
            <w:tcW w:w="866" w:type="dxa"/>
            <w:vAlign w:val="center"/>
          </w:tcPr>
          <w:p w14:paraId="02040247" w14:textId="77777777" w:rsidR="006060A3" w:rsidRPr="006139A4" w:rsidRDefault="006060A3" w:rsidP="006060A3">
            <w:pPr>
              <w:pStyle w:val="Table"/>
              <w:spacing w:line="240" w:lineRule="auto"/>
              <w:cnfStyle w:val="000000000000" w:firstRow="0" w:lastRow="0" w:firstColumn="0" w:lastColumn="0" w:oddVBand="0" w:evenVBand="0" w:oddHBand="0" w:evenHBand="0" w:firstRowFirstColumn="0" w:firstRowLastColumn="0" w:lastRowFirstColumn="0" w:lastRowLastColumn="0"/>
              <w:rPr>
                <w:sz w:val="20"/>
              </w:rPr>
            </w:pPr>
            <w:r w:rsidRPr="006139A4">
              <w:rPr>
                <w:sz w:val="20"/>
              </w:rPr>
              <w:t>0.487</w:t>
            </w:r>
          </w:p>
        </w:tc>
      </w:tr>
      <w:tr w:rsidR="006060A3" w14:paraId="442F69BF" w14:textId="77777777" w:rsidTr="006060A3">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1843" w:type="dxa"/>
            <w:vAlign w:val="center"/>
          </w:tcPr>
          <w:p w14:paraId="6F86337C" w14:textId="77777777" w:rsidR="006060A3" w:rsidRPr="006139A4" w:rsidRDefault="006A17F1" w:rsidP="006060A3">
            <w:pPr>
              <w:pStyle w:val="Table"/>
              <w:spacing w:line="240" w:lineRule="auto"/>
              <w:jc w:val="left"/>
              <w:rPr>
                <w:sz w:val="20"/>
              </w:rPr>
            </w:pPr>
            <m:oMath>
              <m:sSub>
                <m:sSubPr>
                  <m:ctrlPr>
                    <w:rPr>
                      <w:rFonts w:ascii="Cambria Math" w:hAnsi="Cambria Math"/>
                      <w:sz w:val="20"/>
                    </w:rPr>
                  </m:ctrlPr>
                </m:sSubPr>
                <m:e>
                  <m:r>
                    <m:rPr>
                      <m:sty m:val="b"/>
                    </m:rPr>
                    <w:rPr>
                      <w:rFonts w:ascii="Cambria Math" w:hAnsi="Cambria Math"/>
                      <w:sz w:val="20"/>
                    </w:rPr>
                    <m:t xml:space="preserve"> </m:t>
                  </m:r>
                  <m:limUpp>
                    <m:limUppPr>
                      <m:ctrlPr>
                        <w:rPr>
                          <w:rFonts w:ascii="Cambria Math" w:hAnsi="Cambria Math"/>
                          <w:sz w:val="20"/>
                        </w:rPr>
                      </m:ctrlPr>
                    </m:limUppPr>
                    <m:e>
                      <m:r>
                        <m:rPr>
                          <m:sty m:val="b"/>
                        </m:rPr>
                        <w:rPr>
                          <w:rStyle w:val="FormatvorlageCambriaMathKursiv"/>
                          <w:sz w:val="20"/>
                        </w:rPr>
                        <m:t>V</m:t>
                      </m:r>
                    </m:e>
                    <m:lim>
                      <m:r>
                        <m:rPr>
                          <m:sty m:val="b"/>
                        </m:rPr>
                        <w:rPr>
                          <w:rFonts w:ascii="Cambria Math" w:hAnsi="Cambria Math"/>
                          <w:sz w:val="20"/>
                        </w:rPr>
                        <m:t>.</m:t>
                      </m:r>
                    </m:lim>
                  </m:limUpp>
                </m:e>
                <m:sub>
                  <m:r>
                    <m:rPr>
                      <m:sty m:val="b"/>
                    </m:rPr>
                    <w:rPr>
                      <w:rStyle w:val="FormatvorlageCambriaMathKursiv"/>
                      <w:sz w:val="20"/>
                    </w:rPr>
                    <m:t>Rec</m:t>
                  </m:r>
                </m:sub>
              </m:sSub>
              <m:r>
                <m:rPr>
                  <m:sty m:val="b"/>
                </m:rPr>
                <w:rPr>
                  <w:rFonts w:ascii="Cambria Math" w:hAnsi="Cambria Math"/>
                  <w:sz w:val="20"/>
                </w:rPr>
                <m:t xml:space="preserve"> </m:t>
              </m:r>
            </m:oMath>
            <w:bookmarkStart w:id="54" w:name="OLE_LINK119"/>
            <w:bookmarkStart w:id="55" w:name="OLE_LINK120"/>
            <w:bookmarkStart w:id="56" w:name="OLE_LINK121"/>
            <w:r w:rsidR="006060A3" w:rsidRPr="006139A4">
              <w:rPr>
                <w:i/>
                <w:sz w:val="20"/>
              </w:rPr>
              <w:t>[ln/min]</w:t>
            </w:r>
            <w:bookmarkEnd w:id="54"/>
            <w:bookmarkEnd w:id="55"/>
            <w:bookmarkEnd w:id="56"/>
          </w:p>
        </w:tc>
        <w:tc>
          <w:tcPr>
            <w:tcW w:w="866" w:type="dxa"/>
            <w:vAlign w:val="center"/>
          </w:tcPr>
          <w:p w14:paraId="0A720147" w14:textId="77777777" w:rsidR="006060A3" w:rsidRPr="006139A4" w:rsidRDefault="006060A3" w:rsidP="006060A3">
            <w:pPr>
              <w:pStyle w:val="Table"/>
              <w:spacing w:line="240" w:lineRule="auto"/>
              <w:cnfStyle w:val="000000100000" w:firstRow="0" w:lastRow="0" w:firstColumn="0" w:lastColumn="0" w:oddVBand="0" w:evenVBand="0" w:oddHBand="1" w:evenHBand="0" w:firstRowFirstColumn="0" w:firstRowLastColumn="0" w:lastRowFirstColumn="0" w:lastRowLastColumn="0"/>
              <w:rPr>
                <w:sz w:val="20"/>
              </w:rPr>
            </w:pPr>
            <w:r w:rsidRPr="006139A4">
              <w:rPr>
                <w:sz w:val="20"/>
              </w:rPr>
              <w:t>0</w:t>
            </w:r>
          </w:p>
        </w:tc>
        <w:tc>
          <w:tcPr>
            <w:tcW w:w="866" w:type="dxa"/>
            <w:vAlign w:val="center"/>
          </w:tcPr>
          <w:p w14:paraId="52A7C38E" w14:textId="77777777" w:rsidR="006060A3" w:rsidRPr="006139A4" w:rsidRDefault="006060A3" w:rsidP="006060A3">
            <w:pPr>
              <w:pStyle w:val="Table"/>
              <w:spacing w:line="240" w:lineRule="auto"/>
              <w:cnfStyle w:val="000000100000" w:firstRow="0" w:lastRow="0" w:firstColumn="0" w:lastColumn="0" w:oddVBand="0" w:evenVBand="0" w:oddHBand="1" w:evenHBand="0" w:firstRowFirstColumn="0" w:firstRowLastColumn="0" w:lastRowFirstColumn="0" w:lastRowLastColumn="0"/>
              <w:rPr>
                <w:sz w:val="20"/>
              </w:rPr>
            </w:pPr>
            <w:r w:rsidRPr="006139A4">
              <w:rPr>
                <w:sz w:val="20"/>
              </w:rPr>
              <w:t>2.49</w:t>
            </w:r>
          </w:p>
        </w:tc>
        <w:tc>
          <w:tcPr>
            <w:tcW w:w="866" w:type="dxa"/>
            <w:vAlign w:val="center"/>
          </w:tcPr>
          <w:p w14:paraId="0905F25C" w14:textId="77777777" w:rsidR="006060A3" w:rsidRPr="006139A4" w:rsidRDefault="006060A3" w:rsidP="006060A3">
            <w:pPr>
              <w:pStyle w:val="Table"/>
              <w:spacing w:line="240" w:lineRule="auto"/>
              <w:cnfStyle w:val="000000100000" w:firstRow="0" w:lastRow="0" w:firstColumn="0" w:lastColumn="0" w:oddVBand="0" w:evenVBand="0" w:oddHBand="1" w:evenHBand="0" w:firstRowFirstColumn="0" w:firstRowLastColumn="0" w:lastRowFirstColumn="0" w:lastRowLastColumn="0"/>
              <w:rPr>
                <w:sz w:val="20"/>
              </w:rPr>
            </w:pPr>
            <w:r w:rsidRPr="006139A4">
              <w:rPr>
                <w:sz w:val="20"/>
              </w:rPr>
              <w:t>5.61</w:t>
            </w:r>
          </w:p>
        </w:tc>
      </w:tr>
      <w:tr w:rsidR="006060A3" w14:paraId="62511C04" w14:textId="77777777" w:rsidTr="006060A3">
        <w:trPr>
          <w:trHeight w:val="397"/>
          <w:jc w:val="center"/>
        </w:trPr>
        <w:tc>
          <w:tcPr>
            <w:cnfStyle w:val="001000000000" w:firstRow="0" w:lastRow="0" w:firstColumn="1" w:lastColumn="0" w:oddVBand="0" w:evenVBand="0" w:oddHBand="0" w:evenHBand="0" w:firstRowFirstColumn="0" w:firstRowLastColumn="0" w:lastRowFirstColumn="0" w:lastRowLastColumn="0"/>
            <w:tcW w:w="1843" w:type="dxa"/>
            <w:vAlign w:val="center"/>
          </w:tcPr>
          <w:p w14:paraId="69F8924F" w14:textId="77777777" w:rsidR="006060A3" w:rsidRPr="006139A4" w:rsidRDefault="006A17F1" w:rsidP="006060A3">
            <w:pPr>
              <w:pStyle w:val="Table"/>
              <w:spacing w:line="240" w:lineRule="auto"/>
              <w:jc w:val="left"/>
              <w:rPr>
                <w:sz w:val="20"/>
              </w:rPr>
            </w:pPr>
            <m:oMath>
              <m:sSub>
                <m:sSubPr>
                  <m:ctrlPr>
                    <w:rPr>
                      <w:rFonts w:ascii="Cambria Math" w:hAnsi="Cambria Math"/>
                      <w:sz w:val="20"/>
                    </w:rPr>
                  </m:ctrlPr>
                </m:sSubPr>
                <m:e>
                  <m:r>
                    <m:rPr>
                      <m:sty m:val="b"/>
                    </m:rPr>
                    <w:rPr>
                      <w:rFonts w:ascii="Cambria Math" w:hAnsi="Cambria Math"/>
                      <w:sz w:val="20"/>
                    </w:rPr>
                    <m:t xml:space="preserve"> </m:t>
                  </m:r>
                  <m:limUpp>
                    <m:limUppPr>
                      <m:ctrlPr>
                        <w:rPr>
                          <w:rFonts w:ascii="Cambria Math" w:hAnsi="Cambria Math"/>
                          <w:sz w:val="20"/>
                        </w:rPr>
                      </m:ctrlPr>
                    </m:limUppPr>
                    <m:e>
                      <m:r>
                        <m:rPr>
                          <m:sty m:val="b"/>
                        </m:rPr>
                        <w:rPr>
                          <w:rStyle w:val="FormatvorlageCambriaMathKursiv"/>
                          <w:sz w:val="20"/>
                        </w:rPr>
                        <m:t>V</m:t>
                      </m:r>
                    </m:e>
                    <m:lim>
                      <m:r>
                        <m:rPr>
                          <m:sty m:val="b"/>
                        </m:rPr>
                        <w:rPr>
                          <w:rFonts w:ascii="Cambria Math" w:hAnsi="Cambria Math"/>
                          <w:sz w:val="20"/>
                        </w:rPr>
                        <m:t>.</m:t>
                      </m:r>
                    </m:lim>
                  </m:limUpp>
                </m:e>
                <m:sub>
                  <m:r>
                    <m:rPr>
                      <m:sty m:val="bi"/>
                    </m:rPr>
                    <w:rPr>
                      <w:rFonts w:ascii="Cambria Math" w:hAnsi="Cambria Math"/>
                      <w:sz w:val="20"/>
                    </w:rPr>
                    <m:t>in</m:t>
                  </m:r>
                  <m:r>
                    <m:rPr>
                      <m:sty m:val="b"/>
                    </m:rPr>
                    <w:rPr>
                      <w:rFonts w:ascii="Cambria Math" w:hAnsi="Cambria Math"/>
                      <w:sz w:val="20"/>
                    </w:rPr>
                    <m:t xml:space="preserve">, </m:t>
                  </m:r>
                  <m:r>
                    <m:rPr>
                      <m:sty m:val="bi"/>
                    </m:rPr>
                    <w:rPr>
                      <w:rFonts w:ascii="Cambria Math" w:hAnsi="Cambria Math"/>
                      <w:sz w:val="20"/>
                    </w:rPr>
                    <m:t>cond</m:t>
                  </m:r>
                  <m:r>
                    <m:rPr>
                      <m:sty m:val="b"/>
                    </m:rPr>
                    <w:rPr>
                      <w:rFonts w:ascii="Cambria Math" w:hAnsi="Cambria Math"/>
                      <w:sz w:val="20"/>
                    </w:rPr>
                    <m:t>.</m:t>
                  </m:r>
                </m:sub>
              </m:sSub>
            </m:oMath>
            <w:r w:rsidR="006060A3" w:rsidRPr="006139A4">
              <w:rPr>
                <w:i/>
                <w:sz w:val="20"/>
              </w:rPr>
              <w:t>[ln/min]</w:t>
            </w:r>
          </w:p>
        </w:tc>
        <w:tc>
          <w:tcPr>
            <w:tcW w:w="866" w:type="dxa"/>
            <w:vAlign w:val="center"/>
          </w:tcPr>
          <w:p w14:paraId="0011DD4F" w14:textId="77777777" w:rsidR="006060A3" w:rsidRPr="006139A4" w:rsidRDefault="006060A3" w:rsidP="006060A3">
            <w:pPr>
              <w:pStyle w:val="Table"/>
              <w:spacing w:line="240" w:lineRule="auto"/>
              <w:cnfStyle w:val="000000000000" w:firstRow="0" w:lastRow="0" w:firstColumn="0" w:lastColumn="0" w:oddVBand="0" w:evenVBand="0" w:oddHBand="0" w:evenHBand="0" w:firstRowFirstColumn="0" w:firstRowLastColumn="0" w:lastRowFirstColumn="0" w:lastRowLastColumn="0"/>
              <w:rPr>
                <w:sz w:val="20"/>
              </w:rPr>
            </w:pPr>
            <w:r w:rsidRPr="006139A4">
              <w:rPr>
                <w:sz w:val="20"/>
              </w:rPr>
              <w:t>49.8</w:t>
            </w:r>
          </w:p>
        </w:tc>
        <w:tc>
          <w:tcPr>
            <w:tcW w:w="866" w:type="dxa"/>
            <w:vAlign w:val="center"/>
          </w:tcPr>
          <w:p w14:paraId="4863D5CC" w14:textId="77777777" w:rsidR="006060A3" w:rsidRPr="006139A4" w:rsidRDefault="006060A3" w:rsidP="006060A3">
            <w:pPr>
              <w:pStyle w:val="Table"/>
              <w:spacing w:line="240" w:lineRule="auto"/>
              <w:cnfStyle w:val="000000000000" w:firstRow="0" w:lastRow="0" w:firstColumn="0" w:lastColumn="0" w:oddVBand="0" w:evenVBand="0" w:oddHBand="0" w:evenHBand="0" w:firstRowFirstColumn="0" w:firstRowLastColumn="0" w:lastRowFirstColumn="0" w:lastRowLastColumn="0"/>
              <w:rPr>
                <w:sz w:val="20"/>
              </w:rPr>
            </w:pPr>
            <w:r w:rsidRPr="006139A4">
              <w:rPr>
                <w:sz w:val="20"/>
              </w:rPr>
              <w:t>52.3</w:t>
            </w:r>
          </w:p>
        </w:tc>
        <w:tc>
          <w:tcPr>
            <w:tcW w:w="866" w:type="dxa"/>
            <w:vAlign w:val="center"/>
          </w:tcPr>
          <w:p w14:paraId="390DD27F" w14:textId="77777777" w:rsidR="006060A3" w:rsidRPr="006139A4" w:rsidRDefault="006060A3" w:rsidP="006060A3">
            <w:pPr>
              <w:pStyle w:val="Table"/>
              <w:spacing w:line="240" w:lineRule="auto"/>
              <w:cnfStyle w:val="000000000000" w:firstRow="0" w:lastRow="0" w:firstColumn="0" w:lastColumn="0" w:oddVBand="0" w:evenVBand="0" w:oddHBand="0" w:evenHBand="0" w:firstRowFirstColumn="0" w:firstRowLastColumn="0" w:lastRowFirstColumn="0" w:lastRowLastColumn="0"/>
              <w:rPr>
                <w:sz w:val="20"/>
              </w:rPr>
            </w:pPr>
            <w:r w:rsidRPr="006139A4">
              <w:rPr>
                <w:sz w:val="20"/>
              </w:rPr>
              <w:t>55.41</w:t>
            </w:r>
          </w:p>
        </w:tc>
      </w:tr>
      <w:bookmarkEnd w:id="51"/>
    </w:tbl>
    <w:p w14:paraId="5CACA30A" w14:textId="77777777" w:rsidR="006060A3" w:rsidRDefault="006060A3" w:rsidP="006060A3">
      <w:pPr>
        <w:ind w:firstLine="0"/>
        <w:rPr>
          <w:rFonts w:eastAsiaTheme="minorEastAsia"/>
          <w:lang w:val="en-US"/>
        </w:rPr>
      </w:pPr>
    </w:p>
    <w:p w14:paraId="65F78B73" w14:textId="1D7BE252" w:rsidR="006060A3" w:rsidRPr="00DD6BC9" w:rsidRDefault="006060A3" w:rsidP="006060A3">
      <w:pPr>
        <w:rPr>
          <w:rFonts w:eastAsiaTheme="minorEastAsia"/>
          <w:lang w:val="en-US"/>
        </w:rPr>
      </w:pPr>
      <w:r>
        <w:rPr>
          <w:rFonts w:eastAsiaTheme="minorEastAsia"/>
          <w:lang w:val="en-US"/>
        </w:rPr>
        <w:t xml:space="preserve">The design of the condenser unit </w:t>
      </w:r>
      <w:r w:rsidRPr="004B4F48">
        <w:rPr>
          <w:rFonts w:eastAsiaTheme="minorEastAsia"/>
          <w:noProof/>
          <w:lang w:val="en-US"/>
        </w:rPr>
        <w:t>is based</w:t>
      </w:r>
      <w:r>
        <w:rPr>
          <w:rFonts w:eastAsiaTheme="minorEastAsia"/>
          <w:lang w:val="en-US"/>
        </w:rPr>
        <w:t xml:space="preserve"> on the heat and mass transfer calculations described in </w:t>
      </w:r>
      <w:r w:rsidR="0067025F">
        <w:rPr>
          <w:rFonts w:eastAsiaTheme="minorEastAsia"/>
          <w:lang w:val="en-US"/>
        </w:rPr>
        <w:fldChar w:fldCharType="begin" w:fldLock="1"/>
      </w:r>
      <w:r w:rsidR="00844B4D">
        <w:rPr>
          <w:rFonts w:eastAsiaTheme="minorEastAsia"/>
          <w:lang w:val="en-US"/>
        </w:rPr>
        <w:instrText>ADDIN CSL_CITATION { "citationItems" : [ { "id" : "ITEM-1", "itemData" : { "author" : [ { "dropping-particle" : "", "family" : "VDI", "given" : "", "non-dropping-particle" : "", "parse-names" : false, "suffix" : "" } ], "id" : "ITEM-1", "issued" : { "date-parts" : [ [ "2006" ] ] }, "title" : "LV Software for Pressure Vessel Design and Heat Exchanger Design - 10th Edition - System Version 8.3", "type" : "webpage" }, "uris" : [ "http://www.mendeley.com/documents/?uuid=5f9bac39-6303-46a1-9d24-046f38dbe66f" ] } ], "mendeley" : { "formattedCitation" : "[38]", "plainTextFormattedCitation" : "[38]", "previouslyFormattedCitation" : "[38]" }, "properties" : { "noteIndex" : 0 }, "schema" : "https://github.com/citation-style-language/schema/raw/master/csl-citation.json" }</w:instrText>
      </w:r>
      <w:r w:rsidR="0067025F">
        <w:rPr>
          <w:rFonts w:eastAsiaTheme="minorEastAsia"/>
          <w:lang w:val="en-US"/>
        </w:rPr>
        <w:fldChar w:fldCharType="separate"/>
      </w:r>
      <w:r w:rsidR="009829B8" w:rsidRPr="009829B8">
        <w:rPr>
          <w:rFonts w:eastAsiaTheme="minorEastAsia"/>
          <w:noProof/>
          <w:lang w:val="en-US"/>
        </w:rPr>
        <w:t>[38]</w:t>
      </w:r>
      <w:r w:rsidR="0067025F">
        <w:rPr>
          <w:rFonts w:eastAsiaTheme="minorEastAsia"/>
          <w:lang w:val="en-US"/>
        </w:rPr>
        <w:fldChar w:fldCharType="end"/>
      </w:r>
      <w:r>
        <w:t xml:space="preserve"> considering the partial condensation of water in the presence of an inert gas. A bundle of heat exchanger tubes </w:t>
      </w:r>
      <w:r w:rsidRPr="004B4F48">
        <w:rPr>
          <w:noProof/>
        </w:rPr>
        <w:t>is defined</w:t>
      </w:r>
      <w:r>
        <w:t xml:space="preserve"> with given dimensions. Cooling water is fed to the inside of the tubes, while the CO</w:t>
      </w:r>
      <w:r w:rsidRPr="007F1BF5">
        <w:rPr>
          <w:vertAlign w:val="subscript"/>
        </w:rPr>
        <w:t>2</w:t>
      </w:r>
      <w:r>
        <w:t>/H</w:t>
      </w:r>
      <w:r w:rsidRPr="007F1BF5">
        <w:rPr>
          <w:vertAlign w:val="subscript"/>
        </w:rPr>
        <w:t>2</w:t>
      </w:r>
      <w:r>
        <w:t xml:space="preserve">O mixture </w:t>
      </w:r>
      <w:r w:rsidRPr="004B4F48">
        <w:rPr>
          <w:noProof/>
        </w:rPr>
        <w:t>is directed</w:t>
      </w:r>
      <w:r>
        <w:t xml:space="preserve"> </w:t>
      </w:r>
      <w:r w:rsidRPr="004B4F48">
        <w:rPr>
          <w:noProof/>
        </w:rPr>
        <w:t>along</w:t>
      </w:r>
      <w:r>
        <w:t xml:space="preserve"> the outside of the tubes. For each </w:t>
      </w:r>
      <w:r w:rsidRPr="003A17BC">
        <w:rPr>
          <w:noProof/>
        </w:rPr>
        <w:t>row</w:t>
      </w:r>
      <w:r w:rsidR="003A17BC">
        <w:rPr>
          <w:noProof/>
        </w:rPr>
        <w:t>,</w:t>
      </w:r>
      <w:r>
        <w:t xml:space="preserve"> the gas temperature and the locally </w:t>
      </w:r>
      <w:r>
        <w:lastRenderedPageBreak/>
        <w:t xml:space="preserve">condensing water is calculated. Results from the previous row </w:t>
      </w:r>
      <w:r w:rsidRPr="00680ECD">
        <w:rPr>
          <w:noProof/>
        </w:rPr>
        <w:t>are used</w:t>
      </w:r>
      <w:r>
        <w:t xml:space="preserve"> as inlet conditions for the next one. A schematic representation of </w:t>
      </w:r>
      <w:r w:rsidRPr="00802745">
        <w:t xml:space="preserve">the model </w:t>
      </w:r>
      <w:r w:rsidRPr="004B4F48">
        <w:rPr>
          <w:noProof/>
        </w:rPr>
        <w:t>is shown</w:t>
      </w:r>
      <w:r w:rsidRPr="00802745">
        <w:t xml:space="preserve"> in </w:t>
      </w:r>
      <w:r w:rsidR="00052D77">
        <w:t>Figure A7</w:t>
      </w:r>
      <w:r w:rsidRPr="00802745">
        <w:t>.</w:t>
      </w:r>
    </w:p>
    <w:p w14:paraId="64ADAC4B" w14:textId="77777777" w:rsidR="006060A3" w:rsidRDefault="006060A3" w:rsidP="006060A3">
      <w:pPr>
        <w:pStyle w:val="Table"/>
      </w:pPr>
      <w:r w:rsidRPr="001D7919">
        <w:rPr>
          <w:noProof/>
          <w:lang w:val="it-IT"/>
        </w:rPr>
        <w:drawing>
          <wp:inline distT="0" distB="0" distL="0" distR="0" wp14:anchorId="69D59456" wp14:editId="41A8995C">
            <wp:extent cx="3064492" cy="1775012"/>
            <wp:effectExtent l="0" t="0" r="3175" b="0"/>
            <wp:docPr id="12296" name="Grafik 12296" descr="K:\Herrmann\CO2-Entwässerung Paper\Abbildungen_Paper\Condensator_Modeling.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K:\Herrmann\CO2-Entwässerung Paper\Abbildungen_Paper\Condensator_Modeling.emf"/>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065326" cy="1775495"/>
                    </a:xfrm>
                    <a:prstGeom prst="rect">
                      <a:avLst/>
                    </a:prstGeom>
                    <a:noFill/>
                    <a:ln>
                      <a:noFill/>
                    </a:ln>
                  </pic:spPr>
                </pic:pic>
              </a:graphicData>
            </a:graphic>
          </wp:inline>
        </w:drawing>
      </w:r>
    </w:p>
    <w:p w14:paraId="75B79A33" w14:textId="039CAA05" w:rsidR="006060A3" w:rsidRPr="008B493F" w:rsidRDefault="001564E2" w:rsidP="006060A3">
      <w:pPr>
        <w:pStyle w:val="Didascalia"/>
        <w:rPr>
          <w:lang w:val="en-US"/>
        </w:rPr>
      </w:pPr>
      <w:r>
        <w:t>Figure A7</w:t>
      </w:r>
      <w:r w:rsidR="006060A3" w:rsidRPr="008B493F">
        <w:t xml:space="preserve">. </w:t>
      </w:r>
      <w:proofErr w:type="spellStart"/>
      <w:r w:rsidR="003A17BC">
        <w:t>Scheamtic</w:t>
      </w:r>
      <w:proofErr w:type="spellEnd"/>
      <w:r w:rsidR="003A17BC">
        <w:t xml:space="preserve"> on </w:t>
      </w:r>
      <w:r w:rsidR="003A17BC">
        <w:rPr>
          <w:noProof/>
        </w:rPr>
        <w:t>the n</w:t>
      </w:r>
      <w:r w:rsidR="006060A3" w:rsidRPr="003A17BC">
        <w:rPr>
          <w:noProof/>
        </w:rPr>
        <w:t>umerical</w:t>
      </w:r>
      <w:r w:rsidR="006060A3" w:rsidRPr="008B493F">
        <w:t xml:space="preserve"> model </w:t>
      </w:r>
      <w:r w:rsidR="003A17BC">
        <w:t xml:space="preserve">used </w:t>
      </w:r>
      <w:r w:rsidR="006060A3" w:rsidRPr="008B493F">
        <w:t>of the cooler-condenser unit</w:t>
      </w:r>
      <w:r w:rsidR="006060A3">
        <w:t>.</w:t>
      </w:r>
    </w:p>
    <w:p w14:paraId="1FA39861" w14:textId="5E4AA429" w:rsidR="006060A3" w:rsidRPr="00802745" w:rsidRDefault="006060A3" w:rsidP="006060A3">
      <w:pPr>
        <w:spacing w:after="120"/>
        <w:rPr>
          <w:rFonts w:eastAsiaTheme="minorEastAsia"/>
          <w:lang w:val="en-US"/>
        </w:rPr>
      </w:pPr>
      <w:r w:rsidRPr="00802745">
        <w:rPr>
          <w:rFonts w:eastAsiaTheme="minorEastAsia"/>
          <w:lang w:val="en-US"/>
        </w:rPr>
        <w:t xml:space="preserve">The temperature of the gas-steam mixture </w:t>
      </w:r>
      <m:oMath>
        <m:sSub>
          <m:sSubPr>
            <m:ctrlPr>
              <w:rPr>
                <w:rFonts w:ascii="Cambria Math" w:hAnsi="Cambria Math"/>
              </w:rPr>
            </m:ctrlPr>
          </m:sSubPr>
          <m:e>
            <m:r>
              <m:rPr>
                <m:sty m:val="p"/>
              </m:rPr>
              <w:rPr>
                <w:rStyle w:val="FormatvorlageCambriaMathKursiv"/>
              </w:rPr>
              <m:t>T</m:t>
            </m:r>
          </m:e>
          <m:sub>
            <m:r>
              <m:rPr>
                <m:sty m:val="p"/>
              </m:rPr>
              <w:rPr>
                <w:rStyle w:val="FormatvorlageCambriaMathKursiv"/>
              </w:rPr>
              <m:t>G</m:t>
            </m:r>
            <m:r>
              <m:rPr>
                <m:sty m:val="p"/>
              </m:rPr>
              <w:rPr>
                <w:rFonts w:ascii="Cambria Math" w:hAnsi="Cambria Math"/>
              </w:rPr>
              <m:t>,</m:t>
            </m:r>
            <m:r>
              <m:rPr>
                <m:sty m:val="p"/>
              </m:rPr>
              <w:rPr>
                <w:rStyle w:val="FormatvorlageCambriaMathKursiv"/>
              </w:rPr>
              <m:t>i</m:t>
            </m:r>
            <m:r>
              <m:rPr>
                <m:sty m:val="p"/>
              </m:rPr>
              <w:rPr>
                <w:rFonts w:ascii="Cambria Math" w:hAnsi="Cambria Math"/>
              </w:rPr>
              <m:t>+1</m:t>
            </m:r>
          </m:sub>
        </m:sSub>
      </m:oMath>
      <w:r w:rsidRPr="00802745">
        <w:rPr>
          <w:rFonts w:eastAsiaTheme="minorEastAsia"/>
        </w:rPr>
        <w:t xml:space="preserve"> </w:t>
      </w:r>
      <w:r w:rsidRPr="00802745">
        <w:rPr>
          <w:rFonts w:eastAsiaTheme="minorEastAsia"/>
          <w:lang w:val="en-US"/>
        </w:rPr>
        <w:t xml:space="preserve">after each row is calculated with Eq. 27 using the </w:t>
      </w:r>
      <w:r w:rsidR="004B4F48">
        <w:rPr>
          <w:rFonts w:eastAsiaTheme="minorEastAsia"/>
          <w:noProof/>
          <w:lang w:val="en-US"/>
        </w:rPr>
        <w:t>whole</w:t>
      </w:r>
      <w:r w:rsidRPr="00802745">
        <w:rPr>
          <w:rFonts w:eastAsiaTheme="minorEastAsia"/>
          <w:lang w:val="en-US"/>
        </w:rPr>
        <w:t xml:space="preserve"> tube surface </w:t>
      </w:r>
      <m:oMath>
        <m:r>
          <w:rPr>
            <w:rFonts w:ascii="Cambria Math" w:hAnsi="Cambria Math"/>
          </w:rPr>
          <m:t>Δ</m:t>
        </m:r>
        <m:r>
          <m:rPr>
            <m:sty m:val="p"/>
          </m:rPr>
          <w:rPr>
            <w:rStyle w:val="FormatvorlageCambriaMathKursiv"/>
          </w:rPr>
          <m:t>A</m:t>
        </m:r>
      </m:oMath>
      <w:r w:rsidRPr="00802745">
        <w:rPr>
          <w:rFonts w:eastAsiaTheme="minorEastAsia"/>
          <w:lang w:val="en-US"/>
        </w:rPr>
        <w:t>.</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7"/>
        <w:gridCol w:w="907"/>
      </w:tblGrid>
      <w:tr w:rsidR="00052D77" w:rsidRPr="00802745" w14:paraId="7917939A" w14:textId="77777777" w:rsidTr="0045084A">
        <w:trPr>
          <w:trHeight w:val="680"/>
          <w:jc w:val="center"/>
        </w:trPr>
        <w:tc>
          <w:tcPr>
            <w:tcW w:w="7937" w:type="dxa"/>
            <w:vAlign w:val="center"/>
          </w:tcPr>
          <w:bookmarkStart w:id="57" w:name="OLE_LINK79"/>
          <w:bookmarkStart w:id="58" w:name="OLE_LINK80"/>
          <w:bookmarkStart w:id="59" w:name="OLE_LINK71"/>
          <w:p w14:paraId="621992D5" w14:textId="020D15D0" w:rsidR="00052D77" w:rsidRPr="006A7007" w:rsidRDefault="006A17F1" w:rsidP="006060A3">
            <w:pPr>
              <w:jc w:val="center"/>
              <w:rPr>
                <w:lang w:val="en-US"/>
              </w:rPr>
            </w:pPr>
            <m:oMathPara>
              <m:oMath>
                <m:sSub>
                  <m:sSubPr>
                    <m:ctrlPr>
                      <w:rPr>
                        <w:rFonts w:ascii="Cambria Math" w:hAnsi="Cambria Math"/>
                      </w:rPr>
                    </m:ctrlPr>
                  </m:sSubPr>
                  <m:e>
                    <m:r>
                      <m:rPr>
                        <m:sty m:val="p"/>
                      </m:rPr>
                      <w:rPr>
                        <w:rStyle w:val="FormatvorlageCambriaMathKursiv"/>
                      </w:rPr>
                      <m:t>T</m:t>
                    </m:r>
                  </m:e>
                  <m:sub>
                    <m:r>
                      <m:rPr>
                        <m:sty m:val="p"/>
                      </m:rPr>
                      <w:rPr>
                        <w:rStyle w:val="FormatvorlageCambriaMathKursiv"/>
                      </w:rPr>
                      <m:t>G</m:t>
                    </m:r>
                    <m:r>
                      <m:rPr>
                        <m:sty m:val="p"/>
                      </m:rPr>
                      <w:rPr>
                        <w:rFonts w:ascii="Cambria Math" w:hAnsi="Cambria Math"/>
                      </w:rPr>
                      <m:t>,</m:t>
                    </m:r>
                    <m:r>
                      <m:rPr>
                        <m:sty m:val="p"/>
                      </m:rPr>
                      <w:rPr>
                        <w:rStyle w:val="FormatvorlageCambriaMathKursiv"/>
                      </w:rPr>
                      <m:t>i</m:t>
                    </m:r>
                    <m:r>
                      <m:rPr>
                        <m:sty m:val="p"/>
                      </m:rPr>
                      <w:rPr>
                        <w:rFonts w:ascii="Cambria Math" w:hAnsi="Cambria Math"/>
                      </w:rPr>
                      <m:t>+1</m:t>
                    </m:r>
                  </m:sub>
                </m:sSub>
                <w:bookmarkEnd w:id="57"/>
                <w:bookmarkEnd w:id="58"/>
                <m:r>
                  <m:rPr>
                    <m:sty m:val="p"/>
                  </m:rPr>
                  <w:rPr>
                    <w:rFonts w:ascii="Cambria Math" w:hAnsi="Cambria Math"/>
                  </w:rPr>
                  <m:t>=</m:t>
                </m:r>
                <m:sSub>
                  <m:sSubPr>
                    <m:ctrlPr>
                      <w:rPr>
                        <w:rFonts w:ascii="Cambria Math" w:hAnsi="Cambria Math"/>
                      </w:rPr>
                    </m:ctrlPr>
                  </m:sSubPr>
                  <m:e>
                    <m:r>
                      <m:rPr>
                        <m:sty m:val="p"/>
                      </m:rPr>
                      <w:rPr>
                        <w:rStyle w:val="FormatvorlageCambriaMathKursiv"/>
                      </w:rPr>
                      <m:t>T</m:t>
                    </m:r>
                  </m:e>
                  <m:sub>
                    <m:r>
                      <m:rPr>
                        <m:sty m:val="p"/>
                      </m:rPr>
                      <w:rPr>
                        <w:rStyle w:val="FormatvorlageCambriaMathKursiv"/>
                      </w:rPr>
                      <m:t>G</m:t>
                    </m:r>
                    <m:r>
                      <m:rPr>
                        <m:sty m:val="p"/>
                      </m:rPr>
                      <w:rPr>
                        <w:rFonts w:ascii="Cambria Math" w:hAnsi="Cambria Math"/>
                      </w:rPr>
                      <m:t>,</m:t>
                    </m:r>
                    <m:r>
                      <m:rPr>
                        <m:sty m:val="p"/>
                      </m:rPr>
                      <w:rPr>
                        <w:rStyle w:val="FormatvorlageCambriaMathKursiv"/>
                      </w:rPr>
                      <m:t>i</m:t>
                    </m:r>
                  </m:sub>
                </m:sSub>
                <m:r>
                  <m:rPr>
                    <m:sty m:val="p"/>
                  </m:rPr>
                  <w:rPr>
                    <w:rFonts w:ascii="Cambria Math" w:hAnsi="Cambria Math"/>
                  </w:rPr>
                  <m:t>-</m:t>
                </m:r>
                <m:f>
                  <m:fPr>
                    <m:ctrlPr>
                      <w:rPr>
                        <w:rFonts w:ascii="Cambria Math" w:hAnsi="Cambria Math"/>
                      </w:rPr>
                    </m:ctrlPr>
                  </m:fPr>
                  <m:num>
                    <m:f>
                      <m:fPr>
                        <m:type m:val="lin"/>
                        <m:ctrlPr>
                          <w:rPr>
                            <w:rFonts w:ascii="Cambria Math" w:hAnsi="Cambria Math"/>
                          </w:rPr>
                        </m:ctrlPr>
                      </m:fPr>
                      <m:num>
                        <w:bookmarkStart w:id="60" w:name="OLE_LINK83"/>
                        <w:bookmarkStart w:id="61" w:name="OLE_LINK84"/>
                        <m:sSub>
                          <m:sSubPr>
                            <m:ctrlPr>
                              <w:rPr>
                                <w:rFonts w:ascii="Cambria Math" w:hAnsi="Cambria Math"/>
                              </w:rPr>
                            </m:ctrlPr>
                          </m:sSubPr>
                          <m:e>
                            <m:acc>
                              <m:accPr>
                                <m:chr m:val="̇"/>
                                <m:ctrlPr>
                                  <w:rPr>
                                    <w:rFonts w:ascii="Cambria Math" w:hAnsi="Cambria Math"/>
                                  </w:rPr>
                                </m:ctrlPr>
                              </m:accPr>
                              <m:e>
                                <m:r>
                                  <m:rPr>
                                    <m:sty m:val="p"/>
                                  </m:rPr>
                                  <w:rPr>
                                    <w:rStyle w:val="FormatvorlageCambriaMathKursiv"/>
                                  </w:rPr>
                                  <m:t>n</m:t>
                                </m:r>
                              </m:e>
                            </m:acc>
                          </m:e>
                          <m:sub>
                            <m:r>
                              <m:rPr>
                                <m:sty m:val="p"/>
                              </m:rPr>
                              <w:rPr>
                                <w:rStyle w:val="FormatvorlageCambriaMathKursiv"/>
                              </w:rPr>
                              <m:t>i</m:t>
                            </m:r>
                          </m:sub>
                        </m:sSub>
                        <w:bookmarkEnd w:id="60"/>
                        <w:bookmarkEnd w:id="61"/>
                      </m:num>
                      <m:den>
                        <w:bookmarkStart w:id="62" w:name="OLE_LINK85"/>
                        <m:sSub>
                          <m:sSubPr>
                            <m:ctrlPr>
                              <w:rPr>
                                <w:rFonts w:ascii="Cambria Math" w:hAnsi="Cambria Math"/>
                              </w:rPr>
                            </m:ctrlPr>
                          </m:sSubPr>
                          <m:e>
                            <m:acc>
                              <m:accPr>
                                <m:chr m:val="̇"/>
                                <m:ctrlPr>
                                  <w:rPr>
                                    <w:rFonts w:ascii="Cambria Math" w:hAnsi="Cambria Math"/>
                                  </w:rPr>
                                </m:ctrlPr>
                              </m:accPr>
                              <m:e>
                                <m:r>
                                  <m:rPr>
                                    <m:sty m:val="p"/>
                                  </m:rPr>
                                  <w:rPr>
                                    <w:rStyle w:val="FormatvorlageCambriaMathKursiv"/>
                                  </w:rPr>
                                  <m:t>N</m:t>
                                </m:r>
                              </m:e>
                            </m:acc>
                          </m:e>
                          <m:sub>
                            <m:r>
                              <m:rPr>
                                <m:sty m:val="p"/>
                              </m:rPr>
                              <w:rPr>
                                <w:rStyle w:val="FormatvorlageCambriaMathKursiv"/>
                              </w:rPr>
                              <m:t>G</m:t>
                            </m:r>
                            <m:r>
                              <m:rPr>
                                <m:sty m:val="p"/>
                              </m:rPr>
                              <w:rPr>
                                <w:rFonts w:ascii="Cambria Math" w:hAnsi="Cambria Math"/>
                              </w:rPr>
                              <m:t>,</m:t>
                            </m:r>
                            <m:r>
                              <m:rPr>
                                <m:sty m:val="p"/>
                              </m:rPr>
                              <w:rPr>
                                <w:rStyle w:val="FormatvorlageCambriaMathKursiv"/>
                              </w:rPr>
                              <m:t>i</m:t>
                            </m:r>
                          </m:sub>
                        </m:sSub>
                        <w:bookmarkEnd w:id="62"/>
                      </m:den>
                    </m:f>
                  </m:num>
                  <m:den>
                    <m:func>
                      <m:funcPr>
                        <m:ctrlPr>
                          <w:rPr>
                            <w:rFonts w:ascii="Cambria Math" w:hAnsi="Cambria Math"/>
                          </w:rPr>
                        </m:ctrlPr>
                      </m:funcPr>
                      <m:fName>
                        <m:r>
                          <m:rPr>
                            <m:sty m:val="p"/>
                          </m:rPr>
                          <w:rPr>
                            <w:rFonts w:ascii="Cambria Math" w:hAnsi="Cambria Math"/>
                          </w:rPr>
                          <m:t>exp</m:t>
                        </m:r>
                      </m:fName>
                      <m:e>
                        <m:d>
                          <m:dPr>
                            <m:ctrlPr>
                              <w:rPr>
                                <w:rFonts w:ascii="Cambria Math" w:hAnsi="Cambria Math"/>
                              </w:rPr>
                            </m:ctrlPr>
                          </m:dPr>
                          <m:e>
                            <w:bookmarkStart w:id="63" w:name="OLE_LINK86"/>
                            <m:sSub>
                              <m:sSubPr>
                                <m:ctrlPr>
                                  <w:rPr>
                                    <w:rFonts w:ascii="Cambria Math" w:hAnsi="Cambria Math"/>
                                  </w:rPr>
                                </m:ctrlPr>
                              </m:sSubPr>
                              <m:e>
                                <m:r>
                                  <m:rPr>
                                    <m:sty m:val="p"/>
                                  </m:rPr>
                                  <w:rPr>
                                    <w:rStyle w:val="FormatvorlageCambriaMathKursiv"/>
                                  </w:rPr>
                                  <m:t>ϕ</m:t>
                                </m:r>
                              </m:e>
                              <m:sub>
                                <m:r>
                                  <m:rPr>
                                    <m:sty m:val="p"/>
                                  </m:rPr>
                                  <w:rPr>
                                    <w:rStyle w:val="FormatvorlageCambriaMathKursiv"/>
                                  </w:rPr>
                                  <m:t>T</m:t>
                                </m:r>
                              </m:sub>
                            </m:sSub>
                            <w:bookmarkEnd w:id="63"/>
                          </m:e>
                        </m:d>
                      </m:e>
                    </m:func>
                    <m:r>
                      <m:rPr>
                        <m:sty m:val="p"/>
                      </m:rPr>
                      <w:rPr>
                        <w:rFonts w:ascii="Cambria Math" w:hAnsi="Cambria Math"/>
                      </w:rPr>
                      <m:t>-1</m:t>
                    </m:r>
                  </m:den>
                </m:f>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Style w:val="FormatvorlageCambriaMathKursiv"/>
                          </w:rPr>
                          <m:t>T</m:t>
                        </m:r>
                      </m:e>
                      <m:sub>
                        <m:r>
                          <m:rPr>
                            <m:sty m:val="p"/>
                          </m:rPr>
                          <w:rPr>
                            <w:rStyle w:val="FormatvorlageCambriaMathKursiv"/>
                          </w:rPr>
                          <m:t>G</m:t>
                        </m:r>
                        <m:r>
                          <m:rPr>
                            <m:sty m:val="p"/>
                          </m:rPr>
                          <w:rPr>
                            <w:rFonts w:ascii="Cambria Math" w:hAnsi="Cambria Math"/>
                          </w:rPr>
                          <m:t>,</m:t>
                        </m:r>
                        <m:r>
                          <m:rPr>
                            <m:sty m:val="p"/>
                          </m:rPr>
                          <w:rPr>
                            <w:rStyle w:val="FormatvorlageCambriaMathKursiv"/>
                          </w:rPr>
                          <m:t>i</m:t>
                        </m:r>
                      </m:sub>
                    </m:sSub>
                    <m:r>
                      <m:rPr>
                        <m:sty m:val="p"/>
                      </m:rPr>
                      <w:rPr>
                        <w:rFonts w:ascii="Cambria Math" w:hAnsi="Cambria Math"/>
                      </w:rPr>
                      <m:t>-</m:t>
                    </m:r>
                    <w:bookmarkStart w:id="64" w:name="OLE_LINK87"/>
                    <w:bookmarkStart w:id="65" w:name="OLE_LINK88"/>
                    <m:sSub>
                      <m:sSubPr>
                        <m:ctrlPr>
                          <w:rPr>
                            <w:rFonts w:ascii="Cambria Math" w:hAnsi="Cambria Math"/>
                          </w:rPr>
                        </m:ctrlPr>
                      </m:sSubPr>
                      <m:e>
                        <m:r>
                          <m:rPr>
                            <m:sty m:val="p"/>
                          </m:rPr>
                          <w:rPr>
                            <w:rStyle w:val="FormatvorlageCambriaMathKursiv"/>
                          </w:rPr>
                          <m:t>T</m:t>
                        </m:r>
                      </m:e>
                      <m:sub>
                        <m:r>
                          <m:rPr>
                            <m:sty m:val="p"/>
                          </m:rPr>
                          <w:rPr>
                            <w:rStyle w:val="FormatvorlageCambriaMathKursiv"/>
                          </w:rPr>
                          <m:t>F</m:t>
                        </m:r>
                        <m:r>
                          <m:rPr>
                            <m:sty m:val="p"/>
                          </m:rPr>
                          <w:rPr>
                            <w:rFonts w:ascii="Cambria Math" w:hAnsi="Cambria Math"/>
                          </w:rPr>
                          <m:t>,</m:t>
                        </m:r>
                        <m:r>
                          <m:rPr>
                            <m:sty m:val="p"/>
                          </m:rPr>
                          <w:rPr>
                            <w:rStyle w:val="FormatvorlageCambriaMathKursiv"/>
                          </w:rPr>
                          <m:t>i</m:t>
                        </m:r>
                      </m:sub>
                    </m:sSub>
                    <w:bookmarkEnd w:id="64"/>
                    <w:bookmarkEnd w:id="65"/>
                  </m:e>
                </m:d>
                <m:r>
                  <m:rPr>
                    <m:sty m:val="p"/>
                  </m:rPr>
                  <w:rPr>
                    <w:rFonts w:ascii="Cambria Math" w:hAnsi="Cambria Math"/>
                  </w:rPr>
                  <m:t>∙Δ</m:t>
                </m:r>
                <m:r>
                  <m:rPr>
                    <m:sty m:val="p"/>
                  </m:rPr>
                  <w:rPr>
                    <w:rStyle w:val="FormatvorlageCambriaMathKursiv"/>
                  </w:rPr>
                  <m:t>A</m:t>
                </m:r>
              </m:oMath>
            </m:oMathPara>
          </w:p>
        </w:tc>
        <w:tc>
          <w:tcPr>
            <w:tcW w:w="907" w:type="dxa"/>
            <w:vAlign w:val="center"/>
          </w:tcPr>
          <w:p w14:paraId="44536383" w14:textId="21C80530" w:rsidR="00052D77" w:rsidRDefault="00052D77" w:rsidP="00052D77">
            <w:pPr>
              <w:ind w:firstLine="0"/>
              <w:jc w:val="center"/>
            </w:pPr>
            <w:r>
              <w:t>(27)</w:t>
            </w:r>
          </w:p>
        </w:tc>
      </w:tr>
    </w:tbl>
    <w:bookmarkEnd w:id="59"/>
    <w:p w14:paraId="18866CB0" w14:textId="425AE7E7" w:rsidR="006060A3" w:rsidRPr="00802745" w:rsidRDefault="006060A3" w:rsidP="00052D77">
      <w:r w:rsidRPr="00802745">
        <w:rPr>
          <w:lang w:val="en-US"/>
        </w:rPr>
        <w:t xml:space="preserve">Here </w:t>
      </w:r>
      <m:oMath>
        <m:sSub>
          <m:sSubPr>
            <m:ctrlPr>
              <w:rPr>
                <w:rFonts w:ascii="Cambria Math" w:hAnsi="Cambria Math"/>
              </w:rPr>
            </m:ctrlPr>
          </m:sSubPr>
          <m:e>
            <m:r>
              <m:rPr>
                <m:sty m:val="p"/>
              </m:rPr>
              <w:rPr>
                <w:rStyle w:val="FormatvorlageCambriaMathKursiv"/>
              </w:rPr>
              <m:t>T</m:t>
            </m:r>
          </m:e>
          <m:sub>
            <m:r>
              <m:rPr>
                <m:sty m:val="p"/>
              </m:rPr>
              <w:rPr>
                <w:rStyle w:val="FormatvorlageCambriaMathKursiv"/>
              </w:rPr>
              <m:t>F</m:t>
            </m:r>
            <m:r>
              <m:rPr>
                <m:sty m:val="p"/>
              </m:rPr>
              <w:rPr>
                <w:rFonts w:ascii="Cambria Math" w:hAnsi="Cambria Math"/>
              </w:rPr>
              <m:t>,</m:t>
            </m:r>
            <m:r>
              <m:rPr>
                <m:sty m:val="p"/>
              </m:rPr>
              <w:rPr>
                <w:rStyle w:val="FormatvorlageCambriaMathKursiv"/>
              </w:rPr>
              <m:t>i</m:t>
            </m:r>
          </m:sub>
        </m:sSub>
      </m:oMath>
      <w:r w:rsidRPr="00802745">
        <w:t xml:space="preserve"> is the local film temperature and</w:t>
      </w:r>
      <w:r w:rsidRPr="00802745">
        <w:rPr>
          <w:lang w:val="en-US"/>
        </w:rPr>
        <w:t xml:space="preserve"> </w:t>
      </w:r>
      <m:oMath>
        <m:sSub>
          <m:sSubPr>
            <m:ctrlPr>
              <w:rPr>
                <w:rFonts w:ascii="Cambria Math" w:hAnsi="Cambria Math"/>
              </w:rPr>
            </m:ctrlPr>
          </m:sSubPr>
          <m:e>
            <m:acc>
              <m:accPr>
                <m:chr m:val="̇"/>
                <m:ctrlPr>
                  <w:rPr>
                    <w:rFonts w:ascii="Cambria Math" w:hAnsi="Cambria Math"/>
                  </w:rPr>
                </m:ctrlPr>
              </m:accPr>
              <m:e>
                <m:r>
                  <m:rPr>
                    <m:sty m:val="p"/>
                  </m:rPr>
                  <w:rPr>
                    <w:rStyle w:val="FormatvorlageCambriaMathKursiv"/>
                  </w:rPr>
                  <m:t>N</m:t>
                </m:r>
              </m:e>
            </m:acc>
          </m:e>
          <m:sub>
            <m:r>
              <m:rPr>
                <m:sty m:val="p"/>
              </m:rPr>
              <w:rPr>
                <w:rStyle w:val="FormatvorlageCambriaMathKursiv"/>
                <w:noProof/>
              </w:rPr>
              <m:t>G</m:t>
            </m:r>
            <m:r>
              <m:rPr>
                <m:sty m:val="p"/>
              </m:rPr>
              <w:rPr>
                <w:rFonts w:ascii="Cambria Math" w:hAnsi="Cambria Math"/>
                <w:noProof/>
              </w:rPr>
              <m:t>,</m:t>
            </m:r>
            <m:r>
              <m:rPr>
                <m:sty m:val="p"/>
              </m:rPr>
              <w:rPr>
                <w:rStyle w:val="FormatvorlageCambriaMathKursiv"/>
                <w:noProof/>
              </w:rPr>
              <m:t>i</m:t>
            </m:r>
          </m:sub>
        </m:sSub>
      </m:oMath>
      <w:r w:rsidRPr="00802745">
        <w:t xml:space="preserve"> </w:t>
      </w:r>
      <w:r w:rsidRPr="004B4F48">
        <w:rPr>
          <w:noProof/>
        </w:rPr>
        <w:t>is the incoming total molar stream.</w:t>
      </w:r>
      <w:r w:rsidRPr="00802745">
        <w:t xml:space="preserve"> </w:t>
      </w:r>
      <m:oMath>
        <m:sSub>
          <m:sSubPr>
            <m:ctrlPr>
              <w:rPr>
                <w:rFonts w:ascii="Cambria Math" w:hAnsi="Cambria Math"/>
              </w:rPr>
            </m:ctrlPr>
          </m:sSubPr>
          <m:e>
            <m:acc>
              <m:accPr>
                <m:chr m:val="̇"/>
                <m:ctrlPr>
                  <w:rPr>
                    <w:rFonts w:ascii="Cambria Math" w:hAnsi="Cambria Math"/>
                  </w:rPr>
                </m:ctrlPr>
              </m:accPr>
              <m:e>
                <m:r>
                  <m:rPr>
                    <m:sty m:val="p"/>
                  </m:rPr>
                  <w:rPr>
                    <w:rStyle w:val="FormatvorlageCambriaMathKursiv"/>
                  </w:rPr>
                  <m:t>n</m:t>
                </m:r>
              </m:e>
            </m:acc>
          </m:e>
          <m:sub>
            <m:r>
              <m:rPr>
                <m:sty m:val="p"/>
              </m:rPr>
              <w:rPr>
                <w:rStyle w:val="FormatvorlageCambriaMathKursiv"/>
              </w:rPr>
              <m:t>i</m:t>
            </m:r>
          </m:sub>
        </m:sSub>
      </m:oMath>
      <w:r w:rsidRPr="00802745">
        <w:t xml:space="preserve"> represents the locally condensing molar stream and </w:t>
      </w:r>
      <m:oMath>
        <m:sSub>
          <m:sSubPr>
            <m:ctrlPr>
              <w:rPr>
                <w:rFonts w:ascii="Cambria Math" w:hAnsi="Cambria Math"/>
              </w:rPr>
            </m:ctrlPr>
          </m:sSubPr>
          <m:e>
            <m:r>
              <m:rPr>
                <m:sty m:val="p"/>
              </m:rPr>
              <w:rPr>
                <w:rStyle w:val="FormatvorlageCambriaMathKursiv"/>
              </w:rPr>
              <m:t>ϕ</m:t>
            </m:r>
          </m:e>
          <m:sub>
            <m:r>
              <m:rPr>
                <m:sty m:val="p"/>
              </m:rPr>
              <w:rPr>
                <w:rStyle w:val="FormatvorlageCambriaMathKursiv"/>
              </w:rPr>
              <m:t>T</m:t>
            </m:r>
          </m:sub>
        </m:sSub>
      </m:oMath>
      <w:r w:rsidRPr="00802745">
        <w:t xml:space="preserve"> </w:t>
      </w:r>
      <w:r w:rsidRPr="004B4F48">
        <w:rPr>
          <w:noProof/>
        </w:rPr>
        <w:t>is</w:t>
      </w:r>
      <w:r w:rsidRPr="00802745">
        <w:t xml:space="preserve"> a dimensionless factor. The molar stream of H</w:t>
      </w:r>
      <w:r w:rsidRPr="00802745">
        <w:rPr>
          <w:vertAlign w:val="subscript"/>
        </w:rPr>
        <w:t>2</w:t>
      </w:r>
      <w:r w:rsidRPr="00802745">
        <w:t xml:space="preserve">O </w:t>
      </w:r>
      <w:r w:rsidRPr="004B4F48">
        <w:rPr>
          <w:noProof/>
        </w:rPr>
        <w:t>is calculated</w:t>
      </w:r>
      <w:r w:rsidRPr="00802745">
        <w:t xml:space="preserve"> with Eq. </w:t>
      </w:r>
      <w:r>
        <w:t>(</w:t>
      </w:r>
      <w:r w:rsidRPr="00802745">
        <w:t>28</w:t>
      </w:r>
      <w:r>
        <w:t>)</w:t>
      </w:r>
      <w:r w:rsidRPr="00802745">
        <w:t xml:space="preserve"> </w:t>
      </w:r>
      <w:r w:rsidRPr="00680ECD">
        <w:rPr>
          <w:noProof/>
        </w:rPr>
        <w:t>while the molar stream of CO</w:t>
      </w:r>
      <w:r w:rsidRPr="00680ECD">
        <w:rPr>
          <w:noProof/>
          <w:vertAlign w:val="subscript"/>
        </w:rPr>
        <w:t>2</w:t>
      </w:r>
      <w:r w:rsidRPr="00680ECD">
        <w:rPr>
          <w:noProof/>
        </w:rPr>
        <w:t xml:space="preserve"> stays constant.</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7"/>
        <w:gridCol w:w="907"/>
      </w:tblGrid>
      <w:tr w:rsidR="006060A3" w:rsidRPr="00802745" w14:paraId="0959B025" w14:textId="77777777" w:rsidTr="0045084A">
        <w:trPr>
          <w:trHeight w:val="510"/>
          <w:jc w:val="center"/>
        </w:trPr>
        <w:tc>
          <w:tcPr>
            <w:tcW w:w="7937" w:type="dxa"/>
            <w:vAlign w:val="center"/>
          </w:tcPr>
          <w:bookmarkStart w:id="66" w:name="OLE_LINK74"/>
          <w:p w14:paraId="78046B95" w14:textId="2DD738F2" w:rsidR="006060A3" w:rsidRPr="006A7007" w:rsidRDefault="006A17F1" w:rsidP="0045084A">
            <w:pPr>
              <w:jc w:val="center"/>
              <w:rPr>
                <w:lang w:val="en-US"/>
              </w:rPr>
            </w:pPr>
            <m:oMathPara>
              <m:oMath>
                <m:sSub>
                  <m:sSubPr>
                    <m:ctrlPr>
                      <w:rPr>
                        <w:rFonts w:ascii="Cambria Math" w:hAnsi="Cambria Math"/>
                      </w:rPr>
                    </m:ctrlPr>
                  </m:sSubPr>
                  <m:e>
                    <m:acc>
                      <m:accPr>
                        <m:chr m:val="̇"/>
                        <m:ctrlPr>
                          <w:rPr>
                            <w:rFonts w:ascii="Cambria Math" w:hAnsi="Cambria Math"/>
                          </w:rPr>
                        </m:ctrlPr>
                      </m:accPr>
                      <m:e>
                        <m:r>
                          <m:rPr>
                            <m:sty m:val="p"/>
                          </m:rPr>
                          <w:rPr>
                            <w:rStyle w:val="FormatvorlageCambriaMathKursiv"/>
                          </w:rPr>
                          <m:t>N</m:t>
                        </m:r>
                      </m:e>
                    </m:acc>
                  </m:e>
                  <m:sub>
                    <m:sSub>
                      <m:sSubPr>
                        <m:ctrlPr>
                          <w:rPr>
                            <w:rFonts w:ascii="Cambria Math" w:hAnsi="Cambria Math"/>
                          </w:rPr>
                        </m:ctrlPr>
                      </m:sSubPr>
                      <m:e>
                        <m:r>
                          <m:rPr>
                            <m:sty m:val="p"/>
                          </m:rPr>
                          <w:rPr>
                            <w:rStyle w:val="FormatvorlageCambriaMathKursiv"/>
                          </w:rPr>
                          <m:t>H</m:t>
                        </m:r>
                      </m:e>
                      <m:sub>
                        <m:r>
                          <m:rPr>
                            <m:sty m:val="p"/>
                          </m:rPr>
                          <w:rPr>
                            <w:rFonts w:ascii="Cambria Math" w:hAnsi="Cambria Math"/>
                          </w:rPr>
                          <m:t>2</m:t>
                        </m:r>
                      </m:sub>
                    </m:sSub>
                    <m:r>
                      <m:rPr>
                        <m:sty m:val="p"/>
                      </m:rPr>
                      <w:rPr>
                        <w:rStyle w:val="FormatvorlageCambriaMathKursiv"/>
                      </w:rPr>
                      <m:t>O</m:t>
                    </m:r>
                    <m:r>
                      <m:rPr>
                        <m:sty m:val="p"/>
                      </m:rPr>
                      <w:rPr>
                        <w:rFonts w:ascii="Cambria Math" w:hAnsi="Cambria Math"/>
                      </w:rPr>
                      <m:t>,</m:t>
                    </m:r>
                    <m:r>
                      <m:rPr>
                        <m:sty m:val="p"/>
                      </m:rPr>
                      <w:rPr>
                        <w:rStyle w:val="FormatvorlageCambriaMathKursiv"/>
                      </w:rPr>
                      <m:t>i</m:t>
                    </m:r>
                    <m:r>
                      <m:rPr>
                        <m:sty m:val="p"/>
                      </m:rPr>
                      <w:rPr>
                        <w:rFonts w:ascii="Cambria Math" w:hAnsi="Cambria Math"/>
                      </w:rPr>
                      <m:t>+1</m:t>
                    </m:r>
                  </m:sub>
                </m:sSub>
                <m:r>
                  <m:rPr>
                    <m:sty m:val="p"/>
                  </m:rPr>
                  <w:rPr>
                    <w:rFonts w:ascii="Cambria Math" w:hAnsi="Cambria Math"/>
                  </w:rPr>
                  <m:t>=</m:t>
                </m:r>
                <m:sSub>
                  <m:sSubPr>
                    <m:ctrlPr>
                      <w:rPr>
                        <w:rFonts w:ascii="Cambria Math" w:hAnsi="Cambria Math"/>
                      </w:rPr>
                    </m:ctrlPr>
                  </m:sSubPr>
                  <m:e>
                    <m:acc>
                      <m:accPr>
                        <m:chr m:val="̇"/>
                        <m:ctrlPr>
                          <w:rPr>
                            <w:rFonts w:ascii="Cambria Math" w:hAnsi="Cambria Math"/>
                          </w:rPr>
                        </m:ctrlPr>
                      </m:accPr>
                      <m:e>
                        <m:r>
                          <m:rPr>
                            <m:sty m:val="p"/>
                          </m:rPr>
                          <w:rPr>
                            <w:rStyle w:val="FormatvorlageCambriaMathKursiv"/>
                          </w:rPr>
                          <m:t>N</m:t>
                        </m:r>
                      </m:e>
                    </m:acc>
                  </m:e>
                  <m:sub>
                    <m:sSub>
                      <m:sSubPr>
                        <m:ctrlPr>
                          <w:rPr>
                            <w:rFonts w:ascii="Cambria Math" w:hAnsi="Cambria Math"/>
                          </w:rPr>
                        </m:ctrlPr>
                      </m:sSubPr>
                      <m:e>
                        <m:r>
                          <m:rPr>
                            <m:sty m:val="p"/>
                          </m:rPr>
                          <w:rPr>
                            <w:rStyle w:val="FormatvorlageCambriaMathKursiv"/>
                          </w:rPr>
                          <m:t>H</m:t>
                        </m:r>
                      </m:e>
                      <m:sub>
                        <m:r>
                          <m:rPr>
                            <m:sty m:val="p"/>
                          </m:rPr>
                          <w:rPr>
                            <w:rFonts w:ascii="Cambria Math" w:hAnsi="Cambria Math"/>
                          </w:rPr>
                          <m:t>2</m:t>
                        </m:r>
                      </m:sub>
                    </m:sSub>
                    <m:r>
                      <m:rPr>
                        <m:sty m:val="p"/>
                      </m:rPr>
                      <w:rPr>
                        <w:rStyle w:val="FormatvorlageCambriaMathKursiv"/>
                      </w:rPr>
                      <m:t>O</m:t>
                    </m:r>
                    <m:r>
                      <m:rPr>
                        <m:sty m:val="p"/>
                      </m:rPr>
                      <w:rPr>
                        <w:rFonts w:ascii="Cambria Math" w:hAnsi="Cambria Math"/>
                      </w:rPr>
                      <m:t>,</m:t>
                    </m:r>
                    <m:r>
                      <m:rPr>
                        <m:sty m:val="p"/>
                      </m:rPr>
                      <w:rPr>
                        <w:rStyle w:val="FormatvorlageCambriaMathKursiv"/>
                      </w:rPr>
                      <m:t>i</m:t>
                    </m:r>
                  </m:sub>
                </m:sSub>
                <m:r>
                  <m:rPr>
                    <m:sty m:val="p"/>
                  </m:rPr>
                  <w:rPr>
                    <w:rFonts w:ascii="Cambria Math" w:hAnsi="Cambria Math"/>
                  </w:rPr>
                  <m:t>-</m:t>
                </m:r>
                <m:sSub>
                  <m:sSubPr>
                    <m:ctrlPr>
                      <w:rPr>
                        <w:rFonts w:ascii="Cambria Math" w:hAnsi="Cambria Math"/>
                      </w:rPr>
                    </m:ctrlPr>
                  </m:sSubPr>
                  <m:e>
                    <m:acc>
                      <m:accPr>
                        <m:chr m:val="̇"/>
                        <m:ctrlPr>
                          <w:rPr>
                            <w:rFonts w:ascii="Cambria Math" w:hAnsi="Cambria Math"/>
                          </w:rPr>
                        </m:ctrlPr>
                      </m:accPr>
                      <m:e>
                        <m:r>
                          <m:rPr>
                            <m:sty m:val="p"/>
                          </m:rPr>
                          <w:rPr>
                            <w:rStyle w:val="FormatvorlageCambriaMathKursiv"/>
                          </w:rPr>
                          <m:t>n</m:t>
                        </m:r>
                      </m:e>
                    </m:acc>
                  </m:e>
                  <m:sub>
                    <m:sSub>
                      <m:sSubPr>
                        <m:ctrlPr>
                          <w:rPr>
                            <w:rFonts w:ascii="Cambria Math" w:hAnsi="Cambria Math"/>
                          </w:rPr>
                        </m:ctrlPr>
                      </m:sSubPr>
                      <m:e>
                        <m:r>
                          <m:rPr>
                            <m:sty m:val="p"/>
                          </m:rPr>
                          <w:rPr>
                            <w:rStyle w:val="FormatvorlageCambriaMathKursiv"/>
                          </w:rPr>
                          <m:t>H</m:t>
                        </m:r>
                      </m:e>
                      <m:sub>
                        <m:r>
                          <m:rPr>
                            <m:sty m:val="p"/>
                          </m:rPr>
                          <w:rPr>
                            <w:rFonts w:ascii="Cambria Math" w:hAnsi="Cambria Math"/>
                          </w:rPr>
                          <m:t>2</m:t>
                        </m:r>
                      </m:sub>
                    </m:sSub>
                    <m:r>
                      <m:rPr>
                        <m:sty m:val="p"/>
                      </m:rPr>
                      <w:rPr>
                        <w:rStyle w:val="FormatvorlageCambriaMathKursiv"/>
                      </w:rPr>
                      <m:t>O</m:t>
                    </m:r>
                    <m:r>
                      <m:rPr>
                        <m:sty m:val="p"/>
                      </m:rPr>
                      <w:rPr>
                        <w:rFonts w:ascii="Cambria Math" w:hAnsi="Cambria Math"/>
                      </w:rPr>
                      <m:t>,</m:t>
                    </m:r>
                    <m:r>
                      <m:rPr>
                        <m:sty m:val="p"/>
                      </m:rPr>
                      <w:rPr>
                        <w:rStyle w:val="FormatvorlageCambriaMathKursiv"/>
                      </w:rPr>
                      <m:t>cond</m:t>
                    </m:r>
                    <m:r>
                      <m:rPr>
                        <m:sty m:val="p"/>
                      </m:rPr>
                      <w:rPr>
                        <w:rFonts w:ascii="Cambria Math" w:hAnsi="Cambria Math"/>
                      </w:rPr>
                      <m:t>.</m:t>
                    </m:r>
                  </m:sub>
                </m:sSub>
                <m:r>
                  <m:rPr>
                    <m:sty m:val="p"/>
                  </m:rPr>
                  <w:rPr>
                    <w:rFonts w:ascii="Cambria Math" w:hAnsi="Cambria Math"/>
                  </w:rPr>
                  <m:t>∙Δ</m:t>
                </m:r>
                <m:r>
                  <m:rPr>
                    <m:sty m:val="p"/>
                  </m:rPr>
                  <w:rPr>
                    <w:rStyle w:val="FormatvorlageCambriaMathKursiv"/>
                  </w:rPr>
                  <m:t>A</m:t>
                </m:r>
              </m:oMath>
            </m:oMathPara>
          </w:p>
        </w:tc>
        <w:tc>
          <w:tcPr>
            <w:tcW w:w="907" w:type="dxa"/>
            <w:vAlign w:val="center"/>
          </w:tcPr>
          <w:p w14:paraId="5CA0368D" w14:textId="77777777" w:rsidR="006060A3" w:rsidRPr="00802745" w:rsidRDefault="006060A3" w:rsidP="00052D77">
            <w:pPr>
              <w:ind w:left="-433"/>
              <w:jc w:val="center"/>
            </w:pPr>
            <w:r w:rsidRPr="00802745">
              <w:t>(28)</w:t>
            </w:r>
          </w:p>
        </w:tc>
      </w:tr>
    </w:tbl>
    <w:bookmarkEnd w:id="66"/>
    <w:p w14:paraId="50C724A7" w14:textId="77777777" w:rsidR="006060A3" w:rsidRPr="00802745" w:rsidRDefault="006060A3" w:rsidP="006060A3">
      <w:pPr>
        <w:spacing w:before="120"/>
        <w:rPr>
          <w:rFonts w:eastAsiaTheme="minorEastAsia"/>
        </w:rPr>
      </w:pPr>
      <w:r w:rsidRPr="00802745">
        <w:rPr>
          <w:rFonts w:eastAsiaTheme="minorEastAsia"/>
        </w:rPr>
        <w:t>Eq</w:t>
      </w:r>
      <w:r>
        <w:rPr>
          <w:rFonts w:eastAsiaTheme="minorEastAsia"/>
        </w:rPr>
        <w:t>.</w:t>
      </w:r>
      <w:r w:rsidRPr="00802745">
        <w:rPr>
          <w:rFonts w:eastAsiaTheme="minorEastAsia"/>
        </w:rPr>
        <w:t xml:space="preserve"> </w:t>
      </w:r>
      <w:r>
        <w:rPr>
          <w:rFonts w:eastAsiaTheme="minorEastAsia"/>
        </w:rPr>
        <w:t>(</w:t>
      </w:r>
      <w:r w:rsidRPr="00802745">
        <w:rPr>
          <w:rFonts w:eastAsiaTheme="minorEastAsia"/>
        </w:rPr>
        <w:t>27</w:t>
      </w:r>
      <w:r>
        <w:rPr>
          <w:rFonts w:eastAsiaTheme="minorEastAsia"/>
        </w:rPr>
        <w:t>)</w:t>
      </w:r>
      <w:r w:rsidRPr="00802745">
        <w:rPr>
          <w:rFonts w:eastAsiaTheme="minorEastAsia"/>
        </w:rPr>
        <w:t xml:space="preserve"> </w:t>
      </w:r>
      <w:r w:rsidRPr="00680ECD">
        <w:rPr>
          <w:rFonts w:eastAsiaTheme="minorEastAsia"/>
          <w:noProof/>
        </w:rPr>
        <w:t>is</w:t>
      </w:r>
      <w:r w:rsidRPr="00802745">
        <w:rPr>
          <w:rFonts w:eastAsiaTheme="minorEastAsia"/>
        </w:rPr>
        <w:t xml:space="preserve"> valid for cooling of superheated gas mixtures. If </w:t>
      </w:r>
      <w:bookmarkStart w:id="67" w:name="OLE_LINK95"/>
      <m:oMath>
        <m:sSub>
          <m:sSubPr>
            <m:ctrlPr>
              <w:rPr>
                <w:rFonts w:ascii="Cambria Math" w:hAnsi="Cambria Math"/>
              </w:rPr>
            </m:ctrlPr>
          </m:sSubPr>
          <m:e>
            <m:r>
              <m:rPr>
                <m:sty m:val="p"/>
              </m:rPr>
              <w:rPr>
                <w:rStyle w:val="FormatvorlageCambriaMathKursiv"/>
              </w:rPr>
              <m:t>T</m:t>
            </m:r>
          </m:e>
          <m:sub>
            <m:r>
              <m:rPr>
                <m:sty m:val="p"/>
              </m:rPr>
              <w:rPr>
                <w:rStyle w:val="FormatvorlageCambriaMathKursiv"/>
              </w:rPr>
              <m:t>G</m:t>
            </m:r>
            <m:r>
              <m:rPr>
                <m:sty m:val="p"/>
              </m:rPr>
              <w:rPr>
                <w:rFonts w:ascii="Cambria Math" w:hAnsi="Cambria Math"/>
              </w:rPr>
              <m:t>,</m:t>
            </m:r>
            <m:r>
              <m:rPr>
                <m:sty m:val="p"/>
              </m:rPr>
              <w:rPr>
                <w:rStyle w:val="FormatvorlageCambriaMathKursiv"/>
              </w:rPr>
              <m:t>i</m:t>
            </m:r>
            <m:r>
              <m:rPr>
                <m:sty m:val="p"/>
              </m:rPr>
              <w:rPr>
                <w:rFonts w:ascii="Cambria Math" w:hAnsi="Cambria Math"/>
              </w:rPr>
              <m:t>+1</m:t>
            </m:r>
          </m:sub>
        </m:sSub>
      </m:oMath>
      <w:bookmarkEnd w:id="67"/>
      <w:r w:rsidRPr="00802745">
        <w:rPr>
          <w:rFonts w:eastAsiaTheme="minorEastAsia"/>
        </w:rPr>
        <w:t xml:space="preserve"> falls below the saturation temperature further on </w:t>
      </w:r>
      <w:r w:rsidRPr="00680ECD">
        <w:rPr>
          <w:rFonts w:eastAsiaTheme="minorEastAsia"/>
          <w:noProof/>
        </w:rPr>
        <w:t>a saturated</w:t>
      </w:r>
      <w:r w:rsidRPr="00802745">
        <w:rPr>
          <w:rFonts w:eastAsiaTheme="minorEastAsia"/>
        </w:rPr>
        <w:t xml:space="preserve"> gas mixtures is assumed.</w:t>
      </w:r>
    </w:p>
    <w:p w14:paraId="02D5F0C4" w14:textId="730CB09B" w:rsidR="006060A3" w:rsidRPr="00955611" w:rsidRDefault="006060A3" w:rsidP="006060A3">
      <w:pPr>
        <w:rPr>
          <w:lang w:val="en-US"/>
        </w:rPr>
      </w:pPr>
      <w:r w:rsidRPr="00802745">
        <w:rPr>
          <w:rFonts w:eastAsiaTheme="minorEastAsia"/>
        </w:rPr>
        <w:t xml:space="preserve">Simulation </w:t>
      </w:r>
      <w:r w:rsidRPr="00802745">
        <w:rPr>
          <w:lang w:val="en-US"/>
        </w:rPr>
        <w:t xml:space="preserve">results </w:t>
      </w:r>
      <w:r w:rsidRPr="00680ECD">
        <w:rPr>
          <w:noProof/>
          <w:lang w:val="en-US"/>
        </w:rPr>
        <w:t>are represented</w:t>
      </w:r>
      <w:r w:rsidRPr="00802745">
        <w:rPr>
          <w:lang w:val="en-US"/>
        </w:rPr>
        <w:t xml:space="preserve"> in </w:t>
      </w:r>
      <w:r w:rsidR="00052D77">
        <w:rPr>
          <w:lang w:val="en-US"/>
        </w:rPr>
        <w:t>Figure A8</w:t>
      </w:r>
      <w:r w:rsidRPr="00802745">
        <w:rPr>
          <w:lang w:val="en-US"/>
        </w:rPr>
        <w:t xml:space="preserve">. At the </w:t>
      </w:r>
      <w:r w:rsidRPr="004B4F48">
        <w:rPr>
          <w:noProof/>
          <w:lang w:val="en-US"/>
        </w:rPr>
        <w:t>inlet</w:t>
      </w:r>
      <w:r w:rsidR="004B4F48">
        <w:rPr>
          <w:noProof/>
          <w:lang w:val="en-US"/>
        </w:rPr>
        <w:t>,</w:t>
      </w:r>
      <w:r w:rsidRPr="00802745">
        <w:rPr>
          <w:lang w:val="en-US"/>
        </w:rPr>
        <w:t xml:space="preserve"> a hot gas temperature of 400°C is assumed as a</w:t>
      </w:r>
      <w:r>
        <w:rPr>
          <w:lang w:val="en-US"/>
        </w:rPr>
        <w:t xml:space="preserve"> worst case scenario. The influence of the change in gas composition resulting from the recirculation can </w:t>
      </w:r>
      <w:r w:rsidRPr="00680ECD">
        <w:rPr>
          <w:noProof/>
          <w:lang w:val="en-US"/>
        </w:rPr>
        <w:t>be seen</w:t>
      </w:r>
      <w:r>
        <w:rPr>
          <w:lang w:val="en-US"/>
        </w:rPr>
        <w:t>. Entering hot gas is cooled down quickly and reaches saturation at the 3</w:t>
      </w:r>
      <w:r w:rsidRPr="00D14562">
        <w:rPr>
          <w:vertAlign w:val="superscript"/>
          <w:lang w:val="en-US"/>
        </w:rPr>
        <w:t>rd</w:t>
      </w:r>
      <w:r>
        <w:rPr>
          <w:lang w:val="en-US"/>
        </w:rPr>
        <w:t xml:space="preserve"> tube row. As expected, higher CO</w:t>
      </w:r>
      <w:r w:rsidRPr="00D14562">
        <w:rPr>
          <w:vertAlign w:val="subscript"/>
          <w:lang w:val="en-US"/>
        </w:rPr>
        <w:t>2</w:t>
      </w:r>
      <w:r>
        <w:rPr>
          <w:lang w:val="en-US"/>
        </w:rPr>
        <w:t xml:space="preserve"> fractions, resulting from the recirculation, inhibit the condensation. With the chosen design an outlet water fraction ranging from 6 vol. % (</w:t>
      </w:r>
      <w:r w:rsidRPr="007C76F6">
        <w:rPr>
          <w:i/>
          <w:lang w:val="en-US"/>
        </w:rPr>
        <w:t>Π</w:t>
      </w:r>
      <w:r>
        <w:rPr>
          <w:lang w:val="en-US"/>
        </w:rPr>
        <w:t xml:space="preserve"> = 0; </w:t>
      </w:r>
      <m:oMath>
        <m:sSub>
          <m:sSubPr>
            <m:ctrlPr>
              <w:rPr>
                <w:rFonts w:ascii="Cambria Math" w:hAnsi="Cambria Math"/>
              </w:rPr>
            </m:ctrlPr>
          </m:sSubPr>
          <m:e>
            <m:r>
              <m:rPr>
                <m:sty m:val="p"/>
              </m:rPr>
              <w:rPr>
                <w:rStyle w:val="FormatvorlageCambriaMathKursiv"/>
              </w:rPr>
              <m:t>T</m:t>
            </m:r>
          </m:e>
          <m:sub>
            <m:r>
              <m:rPr>
                <m:sty m:val="p"/>
              </m:rPr>
              <w:rPr>
                <w:rStyle w:val="FormatvorlageCambriaMathKursiv"/>
              </w:rPr>
              <m:t>G</m:t>
            </m:r>
            <m:r>
              <w:rPr>
                <w:rFonts w:ascii="Cambria Math" w:hAnsi="Cambria Math"/>
              </w:rPr>
              <m:t>,10</m:t>
            </m:r>
          </m:sub>
        </m:sSub>
      </m:oMath>
      <w:r>
        <w:rPr>
          <w:rFonts w:eastAsiaTheme="minorEastAsia"/>
        </w:rPr>
        <w:t xml:space="preserve"> = 32°C</w:t>
      </w:r>
      <w:r>
        <w:rPr>
          <w:lang w:val="en-US"/>
        </w:rPr>
        <w:t xml:space="preserve">) up to </w:t>
      </w:r>
      <w:bookmarkStart w:id="68" w:name="OLE_LINK96"/>
      <w:r>
        <w:rPr>
          <w:lang w:val="en-US"/>
        </w:rPr>
        <w:t>10 vol. % (</w:t>
      </w:r>
      <w:r w:rsidRPr="007C76F6">
        <w:rPr>
          <w:i/>
          <w:lang w:val="en-US"/>
        </w:rPr>
        <w:t>Π</w:t>
      </w:r>
      <w:r>
        <w:rPr>
          <w:lang w:val="en-US"/>
        </w:rPr>
        <w:t xml:space="preserve"> = 0.25; </w:t>
      </w:r>
      <m:oMath>
        <m:sSub>
          <m:sSubPr>
            <m:ctrlPr>
              <w:rPr>
                <w:rFonts w:ascii="Cambria Math" w:hAnsi="Cambria Math"/>
              </w:rPr>
            </m:ctrlPr>
          </m:sSubPr>
          <m:e>
            <m:r>
              <m:rPr>
                <m:sty m:val="p"/>
              </m:rPr>
              <w:rPr>
                <w:rStyle w:val="FormatvorlageCambriaMathKursiv"/>
              </w:rPr>
              <m:t>T</m:t>
            </m:r>
          </m:e>
          <m:sub>
            <m:r>
              <m:rPr>
                <m:sty m:val="p"/>
              </m:rPr>
              <w:rPr>
                <w:rStyle w:val="FormatvorlageCambriaMathKursiv"/>
              </w:rPr>
              <m:t>G</m:t>
            </m:r>
            <m:r>
              <w:rPr>
                <w:rFonts w:ascii="Cambria Math" w:hAnsi="Cambria Math"/>
              </w:rPr>
              <m:t>,10</m:t>
            </m:r>
          </m:sub>
        </m:sSub>
      </m:oMath>
      <w:r>
        <w:rPr>
          <w:rFonts w:eastAsiaTheme="minorEastAsia"/>
        </w:rPr>
        <w:t xml:space="preserve"> = 45°C</w:t>
      </w:r>
      <w:r>
        <w:rPr>
          <w:lang w:val="en-US"/>
        </w:rPr>
        <w:t>)</w:t>
      </w:r>
      <w:bookmarkEnd w:id="68"/>
      <w:r>
        <w:rPr>
          <w:lang w:val="en-US"/>
        </w:rPr>
        <w:t xml:space="preserve"> can be reached.</w:t>
      </w:r>
    </w:p>
    <w:p w14:paraId="6482375D" w14:textId="77777777" w:rsidR="006060A3" w:rsidRDefault="006060A3" w:rsidP="006060A3">
      <w:pPr>
        <w:pStyle w:val="Table"/>
      </w:pPr>
      <w:r>
        <w:rPr>
          <w:noProof/>
          <w:lang w:val="it-IT"/>
        </w:rPr>
        <w:lastRenderedPageBreak/>
        <w:drawing>
          <wp:inline distT="0" distB="0" distL="0" distR="0" wp14:anchorId="7C102A65" wp14:editId="13376BF1">
            <wp:extent cx="3875284" cy="2831218"/>
            <wp:effectExtent l="0" t="0" r="0" b="7620"/>
            <wp:docPr id="12317" name="Grafik 12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882905" cy="2836786"/>
                    </a:xfrm>
                    <a:prstGeom prst="rect">
                      <a:avLst/>
                    </a:prstGeom>
                    <a:noFill/>
                  </pic:spPr>
                </pic:pic>
              </a:graphicData>
            </a:graphic>
          </wp:inline>
        </w:drawing>
      </w:r>
    </w:p>
    <w:p w14:paraId="7292D269" w14:textId="0E3C68E5" w:rsidR="006060A3" w:rsidRDefault="006060A3" w:rsidP="006060A3">
      <w:pPr>
        <w:pStyle w:val="Didascalia"/>
      </w:pPr>
      <w:r w:rsidRPr="00160526">
        <w:t xml:space="preserve">Figure </w:t>
      </w:r>
      <w:r w:rsidR="001564E2">
        <w:t>A8</w:t>
      </w:r>
      <w:r w:rsidRPr="00160526">
        <w:t>: Results from the cooler-condenser simulation model considering nominal gas inlet (</w:t>
      </w:r>
      <w:bookmarkStart w:id="69" w:name="OLE_LINK93"/>
      <m:oMath>
        <m:r>
          <w:rPr>
            <w:rFonts w:ascii="Cambria Math" w:eastAsiaTheme="minorEastAsia" w:hAnsi="Cambria Math"/>
          </w:rPr>
          <m:t>Π</m:t>
        </m:r>
      </m:oMath>
      <w:r w:rsidRPr="00160526">
        <w:t>=0,</w:t>
      </w:r>
      <w:bookmarkEnd w:id="69"/>
      <w:r w:rsidRPr="00160526">
        <w:t xml:space="preserve"> solid lines), as well as the gas composition with recirculation (</w:t>
      </w:r>
      <w:bookmarkStart w:id="70" w:name="OLE_LINK110"/>
      <w:bookmarkStart w:id="71" w:name="OLE_LINK111"/>
      <m:oMath>
        <m:r>
          <w:rPr>
            <w:rFonts w:ascii="Cambria Math" w:eastAsiaTheme="minorEastAsia" w:hAnsi="Cambria Math"/>
          </w:rPr>
          <m:t>Π</m:t>
        </m:r>
      </m:oMath>
      <w:r w:rsidRPr="00160526">
        <w:t>=0.25</w:t>
      </w:r>
      <w:bookmarkEnd w:id="70"/>
      <w:bookmarkEnd w:id="71"/>
      <w:r w:rsidRPr="00160526">
        <w:t>, dashed lines). Every row consists of 8 tubes with a length of 0.4 m and an outer diameter of 0.018 m.</w:t>
      </w:r>
    </w:p>
    <w:p w14:paraId="3E90CC5E" w14:textId="77777777" w:rsidR="00052D77" w:rsidRPr="00052D77" w:rsidRDefault="00052D77" w:rsidP="00052D77"/>
    <w:p w14:paraId="0700EBC1" w14:textId="5F738EAE" w:rsidR="006060A3" w:rsidRPr="006922B2" w:rsidRDefault="006923B5" w:rsidP="008551E9">
      <w:pPr>
        <w:pStyle w:val="Titolo3"/>
        <w:numPr>
          <w:ilvl w:val="0"/>
          <w:numId w:val="0"/>
        </w:numPr>
        <w:ind w:left="720" w:hanging="360"/>
        <w:rPr>
          <w:color w:val="4F81BD" w:themeColor="accent1"/>
          <w:lang w:val="en-US"/>
        </w:rPr>
      </w:pPr>
      <w:r>
        <w:rPr>
          <w:color w:val="4F81BD" w:themeColor="accent1"/>
          <w:lang w:val="en-US"/>
        </w:rPr>
        <w:t xml:space="preserve">Section 3: </w:t>
      </w:r>
      <w:proofErr w:type="spellStart"/>
      <w:r w:rsidR="006060A3">
        <w:rPr>
          <w:color w:val="4F81BD" w:themeColor="accent1"/>
          <w:lang w:val="en-US"/>
        </w:rPr>
        <w:t>Photobioreactor</w:t>
      </w:r>
      <w:proofErr w:type="spellEnd"/>
      <w:r w:rsidR="006060A3">
        <w:rPr>
          <w:color w:val="4F81BD" w:themeColor="accent1"/>
          <w:lang w:val="en-US"/>
        </w:rPr>
        <w:t xml:space="preserve"> </w:t>
      </w:r>
    </w:p>
    <w:p w14:paraId="4960F812" w14:textId="3B540BB7" w:rsidR="006060A3" w:rsidRPr="001B76A8" w:rsidRDefault="006060A3" w:rsidP="006060A3">
      <w:pPr>
        <w:rPr>
          <w:lang w:val="en-US"/>
        </w:rPr>
      </w:pPr>
      <w:r w:rsidRPr="006922B2">
        <w:rPr>
          <w:lang w:val="en-US"/>
        </w:rPr>
        <w:t>CFD simulations of the CO</w:t>
      </w:r>
      <w:r w:rsidRPr="006922B2">
        <w:rPr>
          <w:vertAlign w:val="subscript"/>
          <w:lang w:val="en-US"/>
        </w:rPr>
        <w:t>2</w:t>
      </w:r>
      <w:r w:rsidRPr="006922B2">
        <w:rPr>
          <w:lang w:val="en-US"/>
        </w:rPr>
        <w:t xml:space="preserve"> injection into a tubular </w:t>
      </w:r>
      <w:r w:rsidRPr="00680ECD">
        <w:rPr>
          <w:noProof/>
          <w:lang w:val="en-US"/>
        </w:rPr>
        <w:t>photo-bioreactor</w:t>
      </w:r>
      <w:r w:rsidRPr="006922B2">
        <w:rPr>
          <w:lang w:val="en-US"/>
        </w:rPr>
        <w:t xml:space="preserve"> (PBR) were carried out to optimize</w:t>
      </w:r>
      <w:r w:rsidRPr="00B9669A">
        <w:rPr>
          <w:lang w:val="en-US"/>
        </w:rPr>
        <w:t xml:space="preserve"> the geometry of the system and evaluate the efficiency of the dissolution of CO</w:t>
      </w:r>
      <w:r w:rsidRPr="00B9669A">
        <w:rPr>
          <w:vertAlign w:val="subscript"/>
          <w:lang w:val="en-US"/>
        </w:rPr>
        <w:t>2</w:t>
      </w:r>
      <w:r w:rsidRPr="00B9669A">
        <w:rPr>
          <w:lang w:val="en-US"/>
        </w:rPr>
        <w:t xml:space="preserve"> in water. </w:t>
      </w:r>
      <w:r>
        <w:rPr>
          <w:lang w:val="en-US"/>
        </w:rPr>
        <w:t>T</w:t>
      </w:r>
      <w:r w:rsidRPr="00B9669A">
        <w:rPr>
          <w:lang w:val="en-US"/>
        </w:rPr>
        <w:t xml:space="preserve">he </w:t>
      </w:r>
      <w:r w:rsidRPr="00680ECD">
        <w:rPr>
          <w:noProof/>
          <w:lang w:val="en-US"/>
        </w:rPr>
        <w:t>commercial</w:t>
      </w:r>
      <w:r w:rsidRPr="00B9669A">
        <w:rPr>
          <w:lang w:val="en-US"/>
        </w:rPr>
        <w:t xml:space="preserve"> program ANSYS Fluent v.14.5 was used</w:t>
      </w:r>
      <w:r>
        <w:rPr>
          <w:lang w:val="en-US"/>
        </w:rPr>
        <w:t xml:space="preserve"> for the simulations</w:t>
      </w:r>
      <w:r w:rsidRPr="00B9669A">
        <w:rPr>
          <w:lang w:val="en-US"/>
        </w:rPr>
        <w:t>. Several transient 3D simulations were done using the pressure-based solver and gravitational acceleration set to -9.81 m/s</w:t>
      </w:r>
      <w:r w:rsidRPr="00E30721">
        <w:rPr>
          <w:vertAlign w:val="superscript"/>
          <w:lang w:val="en-US"/>
        </w:rPr>
        <w:t>2</w:t>
      </w:r>
      <w:r w:rsidRPr="00B9669A">
        <w:rPr>
          <w:lang w:val="en-US"/>
        </w:rPr>
        <w:t xml:space="preserve">. </w:t>
      </w:r>
      <w:r w:rsidRPr="00680ECD">
        <w:rPr>
          <w:noProof/>
          <w:lang w:val="en-US"/>
        </w:rPr>
        <w:t>The "</w:t>
      </w:r>
      <w:r w:rsidR="00654770" w:rsidRPr="00654770">
        <w:rPr>
          <w:noProof/>
          <w:lang w:val="en-US"/>
        </w:rPr>
        <w:t>Discrete Phase Model</w:t>
      </w:r>
      <w:r w:rsidRPr="00B9669A">
        <w:rPr>
          <w:lang w:val="en-US"/>
        </w:rPr>
        <w:t xml:space="preserve">" (DPM) was used to describe the gas and algae distribution along the pipe. The primary phase was set to liquid water, although dissolved carbon dioxide </w:t>
      </w:r>
      <w:r w:rsidRPr="00680ECD">
        <w:rPr>
          <w:noProof/>
          <w:lang w:val="en-US"/>
        </w:rPr>
        <w:t>was also defined</w:t>
      </w:r>
      <w:r w:rsidRPr="00B9669A">
        <w:rPr>
          <w:lang w:val="en-US"/>
        </w:rPr>
        <w:t xml:space="preserve"> as a pseudo-material </w:t>
      </w:r>
      <w:r w:rsidRPr="004B4F48">
        <w:rPr>
          <w:noProof/>
          <w:lang w:val="en-US"/>
        </w:rPr>
        <w:t>to</w:t>
      </w:r>
      <w:r w:rsidRPr="00B9669A">
        <w:rPr>
          <w:lang w:val="en-US"/>
        </w:rPr>
        <w:t xml:space="preserve"> allow mass transfer between phases. The discrete phase </w:t>
      </w:r>
      <w:r w:rsidRPr="00680ECD">
        <w:rPr>
          <w:noProof/>
          <w:lang w:val="en-US"/>
        </w:rPr>
        <w:t>was set</w:t>
      </w:r>
      <w:r w:rsidRPr="00B9669A">
        <w:rPr>
          <w:lang w:val="en-US"/>
        </w:rPr>
        <w:t xml:space="preserve"> to pure carbon dioxide. The </w:t>
      </w:r>
      <w:proofErr w:type="spellStart"/>
      <w:r w:rsidRPr="00B9669A">
        <w:rPr>
          <w:lang w:val="en-US"/>
        </w:rPr>
        <w:t>Nostoc</w:t>
      </w:r>
      <w:proofErr w:type="spellEnd"/>
      <w:r w:rsidRPr="00B9669A">
        <w:rPr>
          <w:lang w:val="en-US"/>
        </w:rPr>
        <w:t xml:space="preserve"> algae </w:t>
      </w:r>
      <w:r w:rsidRPr="00680ECD">
        <w:rPr>
          <w:noProof/>
          <w:lang w:val="en-US"/>
        </w:rPr>
        <w:t>were defined</w:t>
      </w:r>
      <w:r w:rsidRPr="00B9669A">
        <w:rPr>
          <w:lang w:val="en-US"/>
        </w:rPr>
        <w:t xml:space="preserve"> in the Fluent Database as a new compound. They were considered to be solid particles. </w:t>
      </w:r>
      <w:r w:rsidRPr="0024425F">
        <w:rPr>
          <w:lang w:val="en-US"/>
        </w:rPr>
        <w:t xml:space="preserve">The water mass flow was set to 0.45 kg/s, ensuring that, in both cases, the turbulent regime </w:t>
      </w:r>
      <w:r w:rsidRPr="00680ECD">
        <w:rPr>
          <w:noProof/>
          <w:lang w:val="en-US"/>
        </w:rPr>
        <w:t>was achieved</w:t>
      </w:r>
      <w:r w:rsidRPr="0024425F">
        <w:rPr>
          <w:lang w:val="en-US"/>
        </w:rPr>
        <w:t xml:space="preserve">. </w:t>
      </w:r>
      <w:r w:rsidRPr="00680ECD">
        <w:rPr>
          <w:noProof/>
          <w:lang w:val="en-US"/>
        </w:rPr>
        <w:t>The injection of the CO</w:t>
      </w:r>
      <w:r w:rsidRPr="00680ECD">
        <w:rPr>
          <w:noProof/>
          <w:vertAlign w:val="subscript"/>
          <w:lang w:val="en-US"/>
        </w:rPr>
        <w:t>2</w:t>
      </w:r>
      <w:r w:rsidRPr="00680ECD">
        <w:rPr>
          <w:noProof/>
          <w:lang w:val="en-US"/>
        </w:rPr>
        <w:t xml:space="preserve"> in water was numerically calculated by the simulation of CO</w:t>
      </w:r>
      <w:r w:rsidRPr="00680ECD">
        <w:rPr>
          <w:noProof/>
          <w:vertAlign w:val="subscript"/>
          <w:lang w:val="en-US"/>
        </w:rPr>
        <w:t>2</w:t>
      </w:r>
      <w:r w:rsidRPr="00B9669A">
        <w:rPr>
          <w:lang w:val="en-US"/>
        </w:rPr>
        <w:t xml:space="preserve"> through a </w:t>
      </w:r>
      <w:proofErr w:type="spellStart"/>
      <w:r w:rsidRPr="00B9669A">
        <w:rPr>
          <w:lang w:val="en-US"/>
        </w:rPr>
        <w:t>Venturi</w:t>
      </w:r>
      <w:proofErr w:type="spellEnd"/>
      <w:r w:rsidRPr="00B9669A">
        <w:rPr>
          <w:lang w:val="en-US"/>
        </w:rPr>
        <w:t xml:space="preserve"> injector in a 0.6 m length pipe</w:t>
      </w:r>
      <w:r>
        <w:rPr>
          <w:lang w:val="en-US"/>
        </w:rPr>
        <w:t>.</w:t>
      </w:r>
      <w:r w:rsidRPr="001B76A8">
        <w:rPr>
          <w:lang w:val="en-US"/>
        </w:rPr>
        <w:t xml:space="preserve"> </w:t>
      </w:r>
    </w:p>
    <w:p w14:paraId="2819A3C8" w14:textId="3193E697" w:rsidR="006060A3" w:rsidRDefault="006060A3" w:rsidP="006060A3">
      <w:pPr>
        <w:rPr>
          <w:lang w:val="en-US"/>
        </w:rPr>
      </w:pPr>
      <w:r w:rsidRPr="001B76A8">
        <w:rPr>
          <w:lang w:val="en-US"/>
        </w:rPr>
        <w:t>One of the variable</w:t>
      </w:r>
      <w:r>
        <w:rPr>
          <w:lang w:val="en-US"/>
        </w:rPr>
        <w:t>s</w:t>
      </w:r>
      <w:r w:rsidRPr="001B76A8">
        <w:rPr>
          <w:lang w:val="en-US"/>
        </w:rPr>
        <w:t xml:space="preserve"> studied using CFD was the influence of the diameter</w:t>
      </w:r>
      <w:r>
        <w:rPr>
          <w:lang w:val="en-US"/>
        </w:rPr>
        <w:t xml:space="preserve"> of the tubular </w:t>
      </w:r>
      <w:proofErr w:type="spellStart"/>
      <w:r>
        <w:rPr>
          <w:lang w:val="en-US"/>
        </w:rPr>
        <w:t>photobioreactor</w:t>
      </w:r>
      <w:proofErr w:type="spellEnd"/>
      <w:r w:rsidRPr="001B76A8">
        <w:rPr>
          <w:lang w:val="en-US"/>
        </w:rPr>
        <w:t xml:space="preserve"> </w:t>
      </w:r>
      <w:r>
        <w:rPr>
          <w:lang w:val="en-US"/>
        </w:rPr>
        <w:t>on</w:t>
      </w:r>
      <w:r w:rsidRPr="001B76A8">
        <w:rPr>
          <w:lang w:val="en-US"/>
        </w:rPr>
        <w:t xml:space="preserve"> the CO</w:t>
      </w:r>
      <w:r w:rsidRPr="001B76A8">
        <w:rPr>
          <w:vertAlign w:val="subscript"/>
          <w:lang w:val="en-US"/>
        </w:rPr>
        <w:t>2</w:t>
      </w:r>
      <w:r w:rsidRPr="001B76A8">
        <w:rPr>
          <w:lang w:val="en-US"/>
        </w:rPr>
        <w:t xml:space="preserve"> distribution in water. In this calculation, no interaction between the </w:t>
      </w:r>
      <w:r w:rsidRPr="00680ECD">
        <w:rPr>
          <w:noProof/>
          <w:lang w:val="en-US"/>
        </w:rPr>
        <w:t>CO</w:t>
      </w:r>
      <w:r w:rsidRPr="00680ECD">
        <w:rPr>
          <w:noProof/>
          <w:vertAlign w:val="subscript"/>
          <w:lang w:val="en-US"/>
        </w:rPr>
        <w:t>2</w:t>
      </w:r>
      <w:r w:rsidRPr="00680ECD">
        <w:rPr>
          <w:noProof/>
          <w:lang w:val="en-US"/>
        </w:rPr>
        <w:t xml:space="preserve"> and the</w:t>
      </w:r>
      <w:r w:rsidRPr="001B76A8">
        <w:rPr>
          <w:lang w:val="en-US"/>
        </w:rPr>
        <w:t xml:space="preserve"> algae </w:t>
      </w:r>
      <w:r w:rsidRPr="00680ECD">
        <w:rPr>
          <w:noProof/>
          <w:lang w:val="en-US"/>
        </w:rPr>
        <w:t>was considered</w:t>
      </w:r>
      <w:r w:rsidRPr="001B76A8">
        <w:rPr>
          <w:lang w:val="en-US"/>
        </w:rPr>
        <w:t xml:space="preserve"> </w:t>
      </w:r>
      <w:r w:rsidRPr="004B4F48">
        <w:rPr>
          <w:noProof/>
          <w:lang w:val="en-US"/>
        </w:rPr>
        <w:t>to</w:t>
      </w:r>
      <w:r w:rsidRPr="001B76A8">
        <w:rPr>
          <w:lang w:val="en-US"/>
        </w:rPr>
        <w:t xml:space="preserve"> </w:t>
      </w:r>
      <w:r>
        <w:rPr>
          <w:lang w:val="en-US"/>
        </w:rPr>
        <w:t>speed up</w:t>
      </w:r>
      <w:r w:rsidRPr="001B76A8">
        <w:rPr>
          <w:lang w:val="en-US"/>
        </w:rPr>
        <w:t xml:space="preserve"> the calculations. A 30 seconds simulation was carried out for </w:t>
      </w:r>
      <w:r>
        <w:rPr>
          <w:lang w:val="en-US"/>
        </w:rPr>
        <w:t>two</w:t>
      </w:r>
      <w:r w:rsidRPr="001B76A8">
        <w:rPr>
          <w:lang w:val="en-US"/>
        </w:rPr>
        <w:t xml:space="preserve"> cases (50 </w:t>
      </w:r>
      <w:r w:rsidRPr="00CB5721">
        <w:rPr>
          <w:lang w:val="en-US"/>
        </w:rPr>
        <w:t xml:space="preserve">mm and 100 mm). Results for the 50mm diameter </w:t>
      </w:r>
      <w:r w:rsidRPr="00680ECD">
        <w:rPr>
          <w:noProof/>
          <w:lang w:val="en-US"/>
        </w:rPr>
        <w:t>are shown</w:t>
      </w:r>
      <w:r w:rsidRPr="00CB5721">
        <w:rPr>
          <w:lang w:val="en-US"/>
        </w:rPr>
        <w:t xml:space="preserve"> in Figure </w:t>
      </w:r>
      <w:r w:rsidR="00052D77">
        <w:rPr>
          <w:lang w:val="en-US"/>
        </w:rPr>
        <w:t>A9</w:t>
      </w:r>
      <w:r w:rsidRPr="00CB5721">
        <w:rPr>
          <w:lang w:val="en-US"/>
        </w:rPr>
        <w:t>.</w:t>
      </w:r>
    </w:p>
    <w:p w14:paraId="7AACEFF1" w14:textId="77777777" w:rsidR="006060A3" w:rsidRDefault="006060A3" w:rsidP="006060A3">
      <w:pPr>
        <w:pStyle w:val="Table"/>
        <w:rPr>
          <w:lang w:val="en-US"/>
        </w:rPr>
      </w:pPr>
      <w:r w:rsidRPr="00D2699D">
        <w:rPr>
          <w:noProof/>
          <w:lang w:val="it-IT"/>
        </w:rPr>
        <w:lastRenderedPageBreak/>
        <w:drawing>
          <wp:inline distT="0" distB="0" distL="0" distR="0" wp14:anchorId="5CF2E309" wp14:editId="6CFCBBF0">
            <wp:extent cx="3990975" cy="2390140"/>
            <wp:effectExtent l="0" t="0" r="9525" b="0"/>
            <wp:docPr id="2" name="Imagen 2" descr="C:\ICMAB_2009-2012\SOFCOM\Images Simulations\FLU5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CMAB_2009-2012\SOFCOM\Images Simulations\FLU50-1.png"/>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t="16394" r="17670" b="2673"/>
                    <a:stretch/>
                  </pic:blipFill>
                  <pic:spPr bwMode="auto">
                    <a:xfrm>
                      <a:off x="0" y="0"/>
                      <a:ext cx="3990975" cy="2390140"/>
                    </a:xfrm>
                    <a:prstGeom prst="rect">
                      <a:avLst/>
                    </a:prstGeom>
                    <a:noFill/>
                    <a:ln>
                      <a:noFill/>
                    </a:ln>
                    <a:extLst>
                      <a:ext uri="{53640926-AAD7-44D8-BBD7-CCE9431645EC}">
                        <a14:shadowObscured xmlns:a14="http://schemas.microsoft.com/office/drawing/2010/main"/>
                      </a:ext>
                    </a:extLst>
                  </pic:spPr>
                </pic:pic>
              </a:graphicData>
            </a:graphic>
          </wp:inline>
        </w:drawing>
      </w:r>
    </w:p>
    <w:p w14:paraId="577DEAE8" w14:textId="77777777" w:rsidR="006060A3" w:rsidRDefault="006060A3" w:rsidP="006060A3">
      <w:pPr>
        <w:rPr>
          <w:lang w:val="en-US"/>
        </w:rPr>
      </w:pPr>
    </w:p>
    <w:p w14:paraId="14A9B7F3" w14:textId="1252146D" w:rsidR="006060A3" w:rsidRPr="00974C98" w:rsidRDefault="006060A3" w:rsidP="006060A3">
      <w:pPr>
        <w:pStyle w:val="Table"/>
        <w:rPr>
          <w:i/>
        </w:rPr>
      </w:pPr>
      <w:r w:rsidRPr="00974C98">
        <w:rPr>
          <w:i/>
        </w:rPr>
        <w:t xml:space="preserve">Figure </w:t>
      </w:r>
      <w:r w:rsidR="001564E2">
        <w:rPr>
          <w:i/>
        </w:rPr>
        <w:t>A9.</w:t>
      </w:r>
      <w:r w:rsidRPr="00974C98">
        <w:rPr>
          <w:i/>
        </w:rPr>
        <w:t xml:space="preserve"> CFD simulation of a CO</w:t>
      </w:r>
      <w:r w:rsidRPr="00974C98">
        <w:rPr>
          <w:i/>
          <w:vertAlign w:val="subscript"/>
        </w:rPr>
        <w:t>2</w:t>
      </w:r>
      <w:r w:rsidRPr="00974C98">
        <w:rPr>
          <w:i/>
        </w:rPr>
        <w:t xml:space="preserve"> injection into a water pipe with a diameter of 50 mm. Blue particles represent the CO</w:t>
      </w:r>
      <w:r w:rsidRPr="00974C98">
        <w:rPr>
          <w:i/>
          <w:vertAlign w:val="subscript"/>
        </w:rPr>
        <w:t>2</w:t>
      </w:r>
      <w:r w:rsidRPr="00974C98">
        <w:rPr>
          <w:i/>
        </w:rPr>
        <w:t xml:space="preserve"> </w:t>
      </w:r>
      <w:r w:rsidRPr="004B4F48">
        <w:rPr>
          <w:i/>
          <w:noProof/>
        </w:rPr>
        <w:t>bubbles</w:t>
      </w:r>
      <w:r w:rsidR="004B4F48">
        <w:rPr>
          <w:i/>
          <w:noProof/>
        </w:rPr>
        <w:t>;</w:t>
      </w:r>
      <w:r w:rsidRPr="004B4F48">
        <w:rPr>
          <w:i/>
          <w:noProof/>
        </w:rPr>
        <w:t xml:space="preserve"> green</w:t>
      </w:r>
      <w:r w:rsidRPr="00974C98">
        <w:rPr>
          <w:i/>
        </w:rPr>
        <w:t xml:space="preserve"> particles are the algae. </w:t>
      </w:r>
    </w:p>
    <w:p w14:paraId="3421015A" w14:textId="77777777" w:rsidR="00052D77" w:rsidRDefault="00052D77" w:rsidP="006060A3">
      <w:pPr>
        <w:rPr>
          <w:lang w:val="en-US"/>
        </w:rPr>
      </w:pPr>
    </w:p>
    <w:p w14:paraId="57D2B172" w14:textId="317D6F3B" w:rsidR="006060A3" w:rsidRDefault="006060A3" w:rsidP="006060A3">
      <w:pPr>
        <w:rPr>
          <w:lang w:val="en-US"/>
        </w:rPr>
      </w:pPr>
      <w:r>
        <w:rPr>
          <w:lang w:val="en-US"/>
        </w:rPr>
        <w:t xml:space="preserve">The analysis of the results obtained revealed </w:t>
      </w:r>
      <w:r w:rsidRPr="005A176B">
        <w:rPr>
          <w:lang w:val="en-US"/>
        </w:rPr>
        <w:t>that</w:t>
      </w:r>
      <w:r>
        <w:rPr>
          <w:lang w:val="en-US"/>
        </w:rPr>
        <w:t xml:space="preserve"> the 50 mm pipe diameter allows</w:t>
      </w:r>
      <w:r w:rsidRPr="005A176B">
        <w:rPr>
          <w:lang w:val="en-US"/>
        </w:rPr>
        <w:t xml:space="preserve"> a better distribution of the </w:t>
      </w:r>
      <w:r w:rsidRPr="00680ECD">
        <w:rPr>
          <w:noProof/>
          <w:lang w:val="en-US"/>
        </w:rPr>
        <w:t>CO</w:t>
      </w:r>
      <w:r w:rsidRPr="00680ECD">
        <w:rPr>
          <w:noProof/>
          <w:vertAlign w:val="subscript"/>
          <w:lang w:val="en-US"/>
        </w:rPr>
        <w:t>2</w:t>
      </w:r>
      <w:r w:rsidRPr="00680ECD">
        <w:rPr>
          <w:noProof/>
          <w:lang w:val="en-US"/>
        </w:rPr>
        <w:t xml:space="preserve"> and the</w:t>
      </w:r>
      <w:r w:rsidRPr="005A176B">
        <w:rPr>
          <w:lang w:val="en-US"/>
        </w:rPr>
        <w:t xml:space="preserve"> algae, maximizing the contact along the pipe</w:t>
      </w:r>
      <w:r>
        <w:rPr>
          <w:lang w:val="en-US"/>
        </w:rPr>
        <w:t>line</w:t>
      </w:r>
      <w:r w:rsidRPr="005A176B">
        <w:rPr>
          <w:lang w:val="en-US"/>
        </w:rPr>
        <w:t xml:space="preserve">. The larger diameter had a poorer distribution due to a lower turbulence and required increasing the flow velocity, which might cause algae destruction. </w:t>
      </w:r>
    </w:p>
    <w:p w14:paraId="48EE34AF" w14:textId="0F486E96" w:rsidR="006060A3" w:rsidRDefault="006060A3" w:rsidP="006060A3">
      <w:pPr>
        <w:rPr>
          <w:b/>
          <w:lang w:val="en-US"/>
        </w:rPr>
      </w:pPr>
      <w:r>
        <w:rPr>
          <w:lang w:val="en-US"/>
        </w:rPr>
        <w:t>T</w:t>
      </w:r>
      <w:r w:rsidRPr="005A176B">
        <w:rPr>
          <w:lang w:val="en-US"/>
        </w:rPr>
        <w:t>he determination of the mass transfer coefficient of CO</w:t>
      </w:r>
      <w:r w:rsidRPr="005A176B">
        <w:rPr>
          <w:vertAlign w:val="subscript"/>
          <w:lang w:val="en-US"/>
        </w:rPr>
        <w:t>2</w:t>
      </w:r>
      <w:r w:rsidRPr="005A176B">
        <w:rPr>
          <w:lang w:val="en-US"/>
        </w:rPr>
        <w:t xml:space="preserve"> into</w:t>
      </w:r>
      <w:r w:rsidR="004B4F48">
        <w:rPr>
          <w:lang w:val="en-US"/>
        </w:rPr>
        <w:t xml:space="preserve"> the</w:t>
      </w:r>
      <w:r w:rsidRPr="005A176B">
        <w:rPr>
          <w:lang w:val="en-US"/>
        </w:rPr>
        <w:t xml:space="preserve"> </w:t>
      </w:r>
      <w:r w:rsidRPr="004B4F48">
        <w:rPr>
          <w:noProof/>
          <w:lang w:val="en-US"/>
        </w:rPr>
        <w:t>water</w:t>
      </w:r>
      <w:r>
        <w:rPr>
          <w:lang w:val="en-US"/>
        </w:rPr>
        <w:t xml:space="preserve"> was evaluated next, as this step is essential for the </w:t>
      </w:r>
      <w:r w:rsidRPr="00680ECD">
        <w:rPr>
          <w:noProof/>
          <w:lang w:val="en-US"/>
        </w:rPr>
        <w:t>biofixation</w:t>
      </w:r>
      <w:r>
        <w:rPr>
          <w:lang w:val="en-US"/>
        </w:rPr>
        <w:t xml:space="preserve"> process</w:t>
      </w:r>
      <w:r w:rsidRPr="005A176B">
        <w:rPr>
          <w:lang w:val="en-US"/>
        </w:rPr>
        <w:t>. To simplify the simulations, only CO</w:t>
      </w:r>
      <w:r w:rsidRPr="005A176B">
        <w:rPr>
          <w:vertAlign w:val="subscript"/>
          <w:lang w:val="en-US"/>
        </w:rPr>
        <w:t>2</w:t>
      </w:r>
      <w:r>
        <w:rPr>
          <w:lang w:val="en-US"/>
        </w:rPr>
        <w:t xml:space="preserve"> </w:t>
      </w:r>
      <w:r w:rsidRPr="00680ECD">
        <w:rPr>
          <w:noProof/>
          <w:lang w:val="en-US"/>
        </w:rPr>
        <w:t>was considered</w:t>
      </w:r>
      <w:r w:rsidRPr="005A176B">
        <w:rPr>
          <w:lang w:val="en-US"/>
        </w:rPr>
        <w:t xml:space="preserve"> in the calculations (neglecting the effect of nitrates and phosphates), and not evaluating the formation of carbonic acid (H</w:t>
      </w:r>
      <w:r w:rsidRPr="005A176B">
        <w:rPr>
          <w:vertAlign w:val="subscript"/>
          <w:lang w:val="en-US"/>
        </w:rPr>
        <w:t>2</w:t>
      </w:r>
      <w:r w:rsidRPr="005A176B">
        <w:rPr>
          <w:lang w:val="en-US"/>
        </w:rPr>
        <w:t>CO</w:t>
      </w:r>
      <w:r w:rsidRPr="005A176B">
        <w:rPr>
          <w:vertAlign w:val="subscript"/>
          <w:lang w:val="en-US"/>
        </w:rPr>
        <w:t>3</w:t>
      </w:r>
      <w:r w:rsidRPr="005A176B">
        <w:rPr>
          <w:lang w:val="en-US"/>
        </w:rPr>
        <w:t xml:space="preserve">), whose equilibrium constant at the current </w:t>
      </w:r>
      <w:r w:rsidRPr="008B0B6C">
        <w:rPr>
          <w:lang w:val="en-US"/>
        </w:rPr>
        <w:t>conditions is around 0.002</w:t>
      </w:r>
      <w:r w:rsidR="0067025F">
        <w:rPr>
          <w:lang w:val="en-US"/>
        </w:rPr>
        <w:t xml:space="preserve"> </w:t>
      </w:r>
      <w:r w:rsidR="0067025F">
        <w:rPr>
          <w:lang w:val="en-US"/>
        </w:rPr>
        <w:fldChar w:fldCharType="begin" w:fldLock="1"/>
      </w:r>
      <w:r w:rsidR="00844B4D">
        <w:rPr>
          <w:lang w:val="en-US"/>
        </w:rPr>
        <w:instrText>ADDIN CSL_CITATION { "citationItems" : [ { "id" : "ITEM-1", "itemData" : { "DOI" : "10.1021/ie302478d", "abstract" : "Algae show great potential as an energy feedstock, but its production costs must be reduced to be competitive with traditional energy sources. To this end, CFD-based (computational fluid dynamics-based) optimization studies provide a robust method of determining the maximum algae production. This study presents a framework for maximizing algae production in a packed bioreactor using an artificial neural network as the reduced order model of a reactive computational fluid dynamics simulation of algae growth. The optimized reactor with the kinetic properties of Chlorella species is presented and discussed. It is concluded that convection vortices centered on the packed region, caused by low column aspect ratios (height-to-diameter) and high ratios of gas to liquid Reynolds numbers, produce higher algae growth rates.", "author" : [ { "dropping-particle" : "", "family" : "Smith", "given" : "Justin D", "non-dropping-particle" : "", "parse-names" : false, "suffix" : "" }, { "dropping-particle" : "", "family" : "Neto", "given" : "Amadeu A", "non-dropping-particle" : "", "parse-names" : false, "suffix" : "" }, { "dropping-particle" : "", "family" : "Cremaschi", "given" : "Selen", "non-dropping-particle" : "", "parse-names" : false, "suffix" : "" }, { "dropping-particle" : "", "family" : "Crunkleton", "given" : "Daniel W", "non-dropping-particle" : "", "parse-names" : false, "suffix" : "" } ], "container-title" : "Industrial &amp; Engineering Chemistry Research", "id" : "ITEM-1", "issued" : { "date-parts" : [ [ "2013" ] ] }, "page" : "7181-7188", "title" : "CFD-Based Optimization of a Flooded Bed Algae Bioreactor", "type" : "article-journal", "volume" : "52" }, "uris" : [ "http://www.mendeley.com/documents/?uuid=6bdc9efb-f0e5-351f-ba82-56c4b7a589aa" ] } ], "mendeley" : { "formattedCitation" : "[39]", "plainTextFormattedCitation" : "[39]", "previouslyFormattedCitation" : "[39]" }, "properties" : { "noteIndex" : 0 }, "schema" : "https://github.com/citation-style-language/schema/raw/master/csl-citation.json" }</w:instrText>
      </w:r>
      <w:r w:rsidR="0067025F">
        <w:rPr>
          <w:lang w:val="en-US"/>
        </w:rPr>
        <w:fldChar w:fldCharType="separate"/>
      </w:r>
      <w:r w:rsidR="009829B8" w:rsidRPr="009829B8">
        <w:rPr>
          <w:noProof/>
          <w:lang w:val="en-US"/>
        </w:rPr>
        <w:t>[39]</w:t>
      </w:r>
      <w:r w:rsidR="0067025F">
        <w:rPr>
          <w:lang w:val="en-US"/>
        </w:rPr>
        <w:fldChar w:fldCharType="end"/>
      </w:r>
      <w:r w:rsidR="00052D77">
        <w:rPr>
          <w:lang w:val="en-US"/>
        </w:rPr>
        <w:t>.</w:t>
      </w:r>
      <w:r w:rsidRPr="008B0B6C">
        <w:rPr>
          <w:lang w:val="en-US"/>
        </w:rPr>
        <w:t xml:space="preserve"> The mass</w:t>
      </w:r>
      <w:r w:rsidRPr="005A176B">
        <w:rPr>
          <w:lang w:val="en-US"/>
        </w:rPr>
        <w:t xml:space="preserve"> transfer coefficient</w:t>
      </w:r>
      <w:r>
        <w:rPr>
          <w:lang w:val="en-US"/>
        </w:rPr>
        <w:t>,</w:t>
      </w:r>
      <w:r w:rsidRPr="005A176B">
        <w:rPr>
          <w:lang w:val="en-US"/>
        </w:rPr>
        <w:t xml:space="preserve"> </w:t>
      </w:r>
      <w:proofErr w:type="spellStart"/>
      <w:r w:rsidRPr="00E30721">
        <w:rPr>
          <w:lang w:val="en-US"/>
        </w:rPr>
        <w:t>k</w:t>
      </w:r>
      <w:r w:rsidRPr="00E30721">
        <w:rPr>
          <w:vertAlign w:val="subscript"/>
          <w:lang w:val="en-US"/>
        </w:rPr>
        <w:t>L</w:t>
      </w:r>
      <w:proofErr w:type="spellEnd"/>
      <w:r w:rsidRPr="005A176B">
        <w:rPr>
          <w:lang w:val="en-US"/>
        </w:rPr>
        <w:t>, was evaluated using a correlation</w:t>
      </w:r>
      <w:r>
        <w:rPr>
          <w:lang w:val="en-US"/>
        </w:rPr>
        <w:t xml:space="preserve"> relating the Reynolds, </w:t>
      </w:r>
      <w:r w:rsidRPr="004B4F48">
        <w:rPr>
          <w:noProof/>
          <w:lang w:val="en-US"/>
        </w:rPr>
        <w:t>Schmidt</w:t>
      </w:r>
      <w:r w:rsidR="004B4F48">
        <w:rPr>
          <w:noProof/>
          <w:lang w:val="en-US"/>
        </w:rPr>
        <w:t>,</w:t>
      </w:r>
      <w:r>
        <w:rPr>
          <w:lang w:val="en-US"/>
        </w:rPr>
        <w:t xml:space="preserve"> and Sherwood </w:t>
      </w:r>
      <w:r w:rsidRPr="00304434">
        <w:rPr>
          <w:lang w:val="en-US"/>
        </w:rPr>
        <w:t xml:space="preserve">numbers, which had </w:t>
      </w:r>
      <w:r w:rsidRPr="00680ECD">
        <w:rPr>
          <w:noProof/>
          <w:lang w:val="en-US"/>
        </w:rPr>
        <w:t>been successfully tested</w:t>
      </w:r>
      <w:r w:rsidRPr="00304434">
        <w:rPr>
          <w:lang w:val="en-US"/>
        </w:rPr>
        <w:t xml:space="preserve"> for an immobilized elongated bubble</w:t>
      </w:r>
      <w:r w:rsidR="0067025F">
        <w:rPr>
          <w:lang w:val="en-US"/>
        </w:rPr>
        <w:t xml:space="preserve"> </w:t>
      </w:r>
      <w:r w:rsidR="0067025F">
        <w:rPr>
          <w:lang w:val="en-US"/>
        </w:rPr>
        <w:fldChar w:fldCharType="begin" w:fldLock="1"/>
      </w:r>
      <w:r w:rsidR="00844B4D">
        <w:rPr>
          <w:lang w:val="en-US"/>
        </w:rPr>
        <w:instrText>ADDIN CSL_CITATION { "citationItems" : [ { "id" : "ITEM-1", "itemData" : { "DOI" : "10.1016/j.cep.2011.05.005", "abstract" : "a b s t r a c t Mass transfer between an elongated homogeneous gas bubble under a turbulent liquid flow in a duct is investigated experimentally. Elongated gas bubble dissolution is encountered in bioengineering tubular photobioreactors. Such reactors are interesting because they are compact, they have a low contamination risk and a low mechanical stress for a liquid phase containing fragile microalgae cells. It is demonstrated from experimental mass transfer measurements, that the interface of an immobilised elongated bubble can be approximated to a flat plane. Measured mass transfer experimental data, estimated using this simplification, appear to be well fitted by Sh L = 1.76 \u00d7 10 \u22125 \u00d7 Re 1.506 \u00d7 Sc 0.5 , a correlation from Lamourelle and Sandall [8], given for a turbulent liquid flow in wetted-wall columns. A formula drawn from this hypothesis is proposed for mass transfer prediction in photobioreactors. For different applications, it is suggested that the results obtained for the studied geometry could be used to build mass transfer feedback control systems.", "author" : [ { "dropping-particle" : "", "family" : "Valiorgue", "given" : "P", "non-dropping-particle" : "", "parse-names" : false, "suffix" : "" }, { "dropping-particle" : "El", "family" : "Hajem", "given" : "M", "non-dropping-particle" : "", "parse-names" : false, "suffix" : "" }, { "dropping-particle" : "", "family" : "Vassilev", "given" : "A", "non-dropping-particle" : "", "parse-names" : false, "suffix" : "" }, { "dropping-particle" : "", "family" : "Botton", "given" : "V", "non-dropping-particle" : "", "parse-names" : false, "suffix" : "" }, { "dropping-particle" : "Ben", "family" : "Hadid", "given" : "H", "non-dropping-particle" : "", "parse-names" : false, "suffix" : "" } ], "container-title" : "Chemical Engineering and Processing", "id" : "ITEM-1", "issued" : { "date-parts" : [ [ "2011" ] ] }, "page" : "854-858", "title" : "Elongated gas bubble dissolution under a turbulent liquid flow", "type" : "article-journal", "volume" : "50" }, "uris" : [ "http://www.mendeley.com/documents/?uuid=fc70203e-c221-3028-8d0f-82c78fc6a551" ] } ], "mendeley" : { "formattedCitation" : "[40]", "plainTextFormattedCitation" : "[40]", "previouslyFormattedCitation" : "[40]" }, "properties" : { "noteIndex" : 0 }, "schema" : "https://github.com/citation-style-language/schema/raw/master/csl-citation.json" }</w:instrText>
      </w:r>
      <w:r w:rsidR="0067025F">
        <w:rPr>
          <w:lang w:val="en-US"/>
        </w:rPr>
        <w:fldChar w:fldCharType="separate"/>
      </w:r>
      <w:r w:rsidR="009829B8" w:rsidRPr="009829B8">
        <w:rPr>
          <w:noProof/>
          <w:lang w:val="en-US"/>
        </w:rPr>
        <w:t>[40]</w:t>
      </w:r>
      <w:r w:rsidR="0067025F">
        <w:rPr>
          <w:lang w:val="en-US"/>
        </w:rPr>
        <w:fldChar w:fldCharType="end"/>
      </w:r>
      <w:r w:rsidR="00052D77">
        <w:rPr>
          <w:lang w:val="en-US"/>
        </w:rPr>
        <w:t>:</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7"/>
        <w:gridCol w:w="907"/>
      </w:tblGrid>
      <w:tr w:rsidR="006060A3" w:rsidRPr="00802745" w14:paraId="4A5E8C64" w14:textId="77777777" w:rsidTr="0045084A">
        <w:trPr>
          <w:trHeight w:val="510"/>
          <w:jc w:val="center"/>
        </w:trPr>
        <w:tc>
          <w:tcPr>
            <w:tcW w:w="7937" w:type="dxa"/>
            <w:vAlign w:val="center"/>
          </w:tcPr>
          <w:p w14:paraId="75680858" w14:textId="113DFF6B" w:rsidR="006060A3" w:rsidRPr="00E94452" w:rsidRDefault="00E94452" w:rsidP="00052D77">
            <w:pPr>
              <w:jc w:val="center"/>
              <w:rPr>
                <w:rFonts w:eastAsiaTheme="minorHAnsi" w:cstheme="minorBidi"/>
                <w:szCs w:val="22"/>
                <w:lang w:eastAsia="en-US"/>
              </w:rPr>
            </w:pPr>
            <m:oMathPara>
              <m:oMath>
                <m:r>
                  <w:rPr>
                    <w:rFonts w:ascii="Cambria Math" w:eastAsiaTheme="minorHAnsi" w:hAnsi="Cambria Math" w:cstheme="minorBidi"/>
                    <w:szCs w:val="22"/>
                    <w:lang w:eastAsia="en-US"/>
                  </w:rPr>
                  <m:t>Sh=1.76</m:t>
                </m:r>
                <m:r>
                  <w:rPr>
                    <w:rFonts w:ascii="Cambria Math" w:eastAsiaTheme="minorEastAsia" w:hAnsi="Cambria Math" w:cstheme="minorBidi"/>
                    <w:szCs w:val="22"/>
                    <w:lang w:eastAsia="en-US"/>
                  </w:rPr>
                  <m:t>∙</m:t>
                </m:r>
                <m:sSup>
                  <m:sSupPr>
                    <m:ctrlPr>
                      <w:rPr>
                        <w:rFonts w:ascii="Cambria Math" w:eastAsiaTheme="minorEastAsia" w:hAnsi="Cambria Math" w:cstheme="minorBidi"/>
                        <w:i/>
                        <w:szCs w:val="22"/>
                        <w:lang w:eastAsia="en-US"/>
                      </w:rPr>
                    </m:ctrlPr>
                  </m:sSupPr>
                  <m:e>
                    <m:r>
                      <w:rPr>
                        <w:rFonts w:ascii="Cambria Math" w:eastAsiaTheme="minorEastAsia" w:hAnsi="Cambria Math" w:cstheme="minorBidi"/>
                        <w:szCs w:val="22"/>
                        <w:lang w:eastAsia="en-US"/>
                      </w:rPr>
                      <m:t>10</m:t>
                    </m:r>
                  </m:e>
                  <m:sup>
                    <m:r>
                      <w:rPr>
                        <w:rFonts w:ascii="Cambria Math" w:eastAsiaTheme="minorEastAsia" w:hAnsi="Cambria Math" w:cstheme="minorBidi"/>
                        <w:szCs w:val="22"/>
                        <w:lang w:eastAsia="en-US"/>
                      </w:rPr>
                      <m:t>-5</m:t>
                    </m:r>
                  </m:sup>
                </m:sSup>
                <m:sSup>
                  <m:sSupPr>
                    <m:ctrlPr>
                      <w:rPr>
                        <w:rFonts w:ascii="Cambria Math" w:eastAsiaTheme="minorEastAsia" w:hAnsi="Cambria Math" w:cstheme="minorBidi"/>
                        <w:i/>
                        <w:szCs w:val="22"/>
                        <w:lang w:eastAsia="en-US"/>
                      </w:rPr>
                    </m:ctrlPr>
                  </m:sSupPr>
                  <m:e>
                    <m:r>
                      <w:rPr>
                        <w:rFonts w:ascii="Cambria Math" w:eastAsiaTheme="minorEastAsia" w:hAnsi="Cambria Math" w:cstheme="minorBidi"/>
                        <w:szCs w:val="22"/>
                        <w:lang w:eastAsia="en-US"/>
                      </w:rPr>
                      <m:t>Re</m:t>
                    </m:r>
                  </m:e>
                  <m:sup>
                    <m:r>
                      <w:rPr>
                        <w:rFonts w:ascii="Cambria Math" w:eastAsiaTheme="minorEastAsia" w:hAnsi="Cambria Math" w:cstheme="minorBidi"/>
                        <w:szCs w:val="22"/>
                        <w:lang w:eastAsia="en-US"/>
                      </w:rPr>
                      <m:t>1.506</m:t>
                    </m:r>
                  </m:sup>
                </m:sSup>
                <m:sSup>
                  <m:sSupPr>
                    <m:ctrlPr>
                      <w:rPr>
                        <w:rFonts w:ascii="Cambria Math" w:eastAsiaTheme="minorEastAsia" w:hAnsi="Cambria Math" w:cstheme="minorBidi"/>
                        <w:i/>
                        <w:szCs w:val="22"/>
                        <w:lang w:eastAsia="en-US"/>
                      </w:rPr>
                    </m:ctrlPr>
                  </m:sSupPr>
                  <m:e>
                    <m:r>
                      <w:rPr>
                        <w:rFonts w:ascii="Cambria Math" w:eastAsiaTheme="minorEastAsia" w:hAnsi="Cambria Math" w:cstheme="minorBidi"/>
                        <w:szCs w:val="22"/>
                        <w:lang w:eastAsia="en-US"/>
                      </w:rPr>
                      <m:t>Sc</m:t>
                    </m:r>
                  </m:e>
                  <m:sup>
                    <m:r>
                      <w:rPr>
                        <w:rFonts w:ascii="Cambria Math" w:eastAsiaTheme="minorEastAsia" w:hAnsi="Cambria Math" w:cstheme="minorBidi"/>
                        <w:szCs w:val="22"/>
                        <w:lang w:eastAsia="en-US"/>
                      </w:rPr>
                      <m:t>0.5</m:t>
                    </m:r>
                  </m:sup>
                </m:sSup>
              </m:oMath>
            </m:oMathPara>
          </w:p>
        </w:tc>
        <w:tc>
          <w:tcPr>
            <w:tcW w:w="907" w:type="dxa"/>
            <w:vAlign w:val="center"/>
          </w:tcPr>
          <w:p w14:paraId="331511F4" w14:textId="77777777" w:rsidR="006060A3" w:rsidRPr="00802745" w:rsidRDefault="006060A3" w:rsidP="00052D77">
            <w:pPr>
              <w:ind w:firstLine="50"/>
              <w:jc w:val="center"/>
            </w:pPr>
            <w:r w:rsidRPr="00802745">
              <w:t>(</w:t>
            </w:r>
            <w:r>
              <w:t>29</w:t>
            </w:r>
            <w:r w:rsidRPr="00802745">
              <w:t>)</w:t>
            </w:r>
          </w:p>
        </w:tc>
      </w:tr>
    </w:tbl>
    <w:p w14:paraId="3AFF13A1" w14:textId="270327F0" w:rsidR="006060A3" w:rsidRDefault="006060A3" w:rsidP="006060A3">
      <w:r w:rsidRPr="00713F44">
        <w:rPr>
          <w:lang w:val="en-US"/>
        </w:rPr>
        <w:t xml:space="preserve">Simulations carried out </w:t>
      </w:r>
      <w:r>
        <w:rPr>
          <w:lang w:val="en-US"/>
        </w:rPr>
        <w:t>with</w:t>
      </w:r>
      <w:r w:rsidRPr="00713F44">
        <w:rPr>
          <w:lang w:val="en-US"/>
        </w:rPr>
        <w:t xml:space="preserve"> CFD also showed a superior mass transfer rate </w:t>
      </w:r>
      <w:r w:rsidRPr="00251F4C">
        <w:rPr>
          <w:lang w:val="en-US"/>
        </w:rPr>
        <w:t>(</w:t>
      </w:r>
      <w:proofErr w:type="spellStart"/>
      <w:r w:rsidRPr="00251F4C">
        <w:rPr>
          <w:lang w:val="en-US"/>
        </w:rPr>
        <w:t>k</w:t>
      </w:r>
      <w:r w:rsidRPr="00251F4C">
        <w:rPr>
          <w:vertAlign w:val="subscript"/>
          <w:lang w:val="en-US"/>
        </w:rPr>
        <w:t>L</w:t>
      </w:r>
      <w:proofErr w:type="spellEnd"/>
      <w:r w:rsidRPr="00251F4C">
        <w:rPr>
          <w:lang w:val="en-US"/>
        </w:rPr>
        <w:t>=2.36·10-5 m/s)</w:t>
      </w:r>
      <w:r>
        <w:rPr>
          <w:lang w:val="en-US"/>
        </w:rPr>
        <w:t xml:space="preserve"> when using a 50</w:t>
      </w:r>
      <w:r w:rsidRPr="00713F44">
        <w:rPr>
          <w:lang w:val="en-US"/>
        </w:rPr>
        <w:t>mm pipe, which results in a higher amount of CO</w:t>
      </w:r>
      <w:r w:rsidRPr="00630CC4">
        <w:rPr>
          <w:vertAlign w:val="subscript"/>
          <w:lang w:val="en-US"/>
        </w:rPr>
        <w:t>2</w:t>
      </w:r>
      <w:r w:rsidRPr="00713F44">
        <w:rPr>
          <w:lang w:val="en-US"/>
        </w:rPr>
        <w:t xml:space="preserve"> dissolved in water. </w:t>
      </w:r>
      <w:r>
        <w:rPr>
          <w:lang w:val="en-US"/>
        </w:rPr>
        <w:t xml:space="preserve">Additionally, </w:t>
      </w:r>
      <w:r w:rsidRPr="00251F4C">
        <w:rPr>
          <w:lang w:val="en-US"/>
        </w:rPr>
        <w:t>the gradient concentration of CO</w:t>
      </w:r>
      <w:r w:rsidRPr="00251F4C">
        <w:rPr>
          <w:vertAlign w:val="subscript"/>
          <w:lang w:val="en-US"/>
        </w:rPr>
        <w:t>2</w:t>
      </w:r>
      <w:r w:rsidRPr="00251F4C">
        <w:rPr>
          <w:lang w:val="en-US"/>
        </w:rPr>
        <w:t xml:space="preserve"> in water </w:t>
      </w:r>
      <w:r w:rsidRPr="00680ECD">
        <w:rPr>
          <w:noProof/>
          <w:lang w:val="en-US"/>
        </w:rPr>
        <w:t>was checked</w:t>
      </w:r>
      <w:r w:rsidRPr="00251F4C">
        <w:rPr>
          <w:lang w:val="en-US"/>
        </w:rPr>
        <w:t xml:space="preserve"> by running a 10 seconds simulation f</w:t>
      </w:r>
      <w:r>
        <w:rPr>
          <w:lang w:val="en-US"/>
        </w:rPr>
        <w:t xml:space="preserve">or the </w:t>
      </w:r>
      <w:r w:rsidRPr="004B4F48">
        <w:rPr>
          <w:noProof/>
          <w:lang w:val="en-US"/>
        </w:rPr>
        <w:t>best</w:t>
      </w:r>
      <w:r w:rsidR="004B4F48">
        <w:rPr>
          <w:noProof/>
          <w:lang w:val="en-US"/>
        </w:rPr>
        <w:t>-</w:t>
      </w:r>
      <w:r w:rsidRPr="004B4F48">
        <w:rPr>
          <w:noProof/>
          <w:lang w:val="en-US"/>
        </w:rPr>
        <w:t>tested</w:t>
      </w:r>
      <w:r>
        <w:rPr>
          <w:lang w:val="en-US"/>
        </w:rPr>
        <w:t xml:space="preserve"> geometry (50</w:t>
      </w:r>
      <w:r w:rsidRPr="00251F4C">
        <w:rPr>
          <w:lang w:val="en-US"/>
        </w:rPr>
        <w:t xml:space="preserve">mm pipe). The mass transfer coefficient </w:t>
      </w:r>
      <w:r w:rsidRPr="00680ECD">
        <w:rPr>
          <w:noProof/>
          <w:lang w:val="en-US"/>
        </w:rPr>
        <w:t>was included</w:t>
      </w:r>
      <w:r w:rsidRPr="00251F4C">
        <w:rPr>
          <w:lang w:val="en-US"/>
        </w:rPr>
        <w:t xml:space="preserve"> </w:t>
      </w:r>
      <w:r w:rsidRPr="004B4F48">
        <w:rPr>
          <w:noProof/>
          <w:lang w:val="en-US"/>
        </w:rPr>
        <w:t>to</w:t>
      </w:r>
      <w:r w:rsidRPr="00251F4C">
        <w:rPr>
          <w:lang w:val="en-US"/>
        </w:rPr>
        <w:t xml:space="preserve"> determine the amount of CO</w:t>
      </w:r>
      <w:r w:rsidRPr="0017289F">
        <w:rPr>
          <w:vertAlign w:val="subscript"/>
          <w:lang w:val="en-US"/>
        </w:rPr>
        <w:t>2</w:t>
      </w:r>
      <w:r w:rsidRPr="00251F4C">
        <w:rPr>
          <w:lang w:val="en-US"/>
        </w:rPr>
        <w:t xml:space="preserve"> dissolved in water. Also, the interfacial mass transfer between both phases </w:t>
      </w:r>
      <w:r w:rsidRPr="00680ECD">
        <w:rPr>
          <w:noProof/>
          <w:lang w:val="en-US"/>
        </w:rPr>
        <w:t>was accounted</w:t>
      </w:r>
      <w:r w:rsidRPr="00251F4C">
        <w:rPr>
          <w:lang w:val="en-US"/>
        </w:rPr>
        <w:t xml:space="preserve"> for by including the experimental interfacial tension of CO</w:t>
      </w:r>
      <w:r w:rsidRPr="0017289F">
        <w:rPr>
          <w:vertAlign w:val="subscript"/>
          <w:lang w:val="en-US"/>
        </w:rPr>
        <w:t>2</w:t>
      </w:r>
      <w:r w:rsidRPr="00251F4C">
        <w:rPr>
          <w:lang w:val="en-US"/>
        </w:rPr>
        <w:t xml:space="preserve"> and water at the operating temperature (0.072 N/m). </w:t>
      </w:r>
      <w:r w:rsidRPr="00CB5721">
        <w:rPr>
          <w:lang w:val="en-US"/>
        </w:rPr>
        <w:t>Results of the simulation (</w:t>
      </w:r>
      <w:r w:rsidR="000A5880">
        <w:rPr>
          <w:lang w:val="en-US"/>
        </w:rPr>
        <w:t>Figure A10</w:t>
      </w:r>
      <w:r w:rsidRPr="00CB5721">
        <w:rPr>
          <w:lang w:val="en-US"/>
        </w:rPr>
        <w:t>) indicate that the higher mass transfer rates of CO</w:t>
      </w:r>
      <w:r w:rsidRPr="00CB5721">
        <w:rPr>
          <w:vertAlign w:val="subscript"/>
          <w:lang w:val="en-US"/>
        </w:rPr>
        <w:t>2</w:t>
      </w:r>
      <w:r w:rsidRPr="00CB5721">
        <w:rPr>
          <w:lang w:val="en-US"/>
        </w:rPr>
        <w:t xml:space="preserve"> dissolution </w:t>
      </w:r>
      <w:r w:rsidRPr="00680ECD">
        <w:rPr>
          <w:noProof/>
          <w:lang w:val="en-US"/>
        </w:rPr>
        <w:t>are achieved</w:t>
      </w:r>
      <w:r w:rsidRPr="00251F4C">
        <w:rPr>
          <w:lang w:val="en-US"/>
        </w:rPr>
        <w:t xml:space="preserve"> at the center and upper part of the pipe, </w:t>
      </w:r>
      <w:r>
        <w:rPr>
          <w:lang w:val="en-US"/>
        </w:rPr>
        <w:t>(</w:t>
      </w:r>
      <w:r w:rsidRPr="00251F4C">
        <w:rPr>
          <w:lang w:val="en-US"/>
        </w:rPr>
        <w:t>approximately 10</w:t>
      </w:r>
      <w:r w:rsidRPr="0017289F">
        <w:rPr>
          <w:vertAlign w:val="superscript"/>
          <w:lang w:val="en-US"/>
        </w:rPr>
        <w:t>-4</w:t>
      </w:r>
      <w:r w:rsidRPr="00251F4C">
        <w:rPr>
          <w:lang w:val="en-US"/>
        </w:rPr>
        <w:t xml:space="preserve"> kg/m</w:t>
      </w:r>
      <w:r w:rsidRPr="0017289F">
        <w:rPr>
          <w:vertAlign w:val="superscript"/>
          <w:lang w:val="en-US"/>
        </w:rPr>
        <w:t>3</w:t>
      </w:r>
      <w:r w:rsidRPr="00251F4C">
        <w:rPr>
          <w:lang w:val="en-US"/>
        </w:rPr>
        <w:t>·s</w:t>
      </w:r>
      <w:r>
        <w:rPr>
          <w:lang w:val="en-US"/>
        </w:rPr>
        <w:t>)</w:t>
      </w:r>
      <w:r w:rsidRPr="00251F4C">
        <w:rPr>
          <w:lang w:val="en-US"/>
        </w:rPr>
        <w:t>.</w:t>
      </w:r>
    </w:p>
    <w:p w14:paraId="66A0EAFE" w14:textId="77777777" w:rsidR="006060A3" w:rsidRDefault="006060A3" w:rsidP="006060A3">
      <w:pPr>
        <w:pStyle w:val="Table"/>
        <w:rPr>
          <w:rFonts w:asciiTheme="minorHAnsi" w:eastAsiaTheme="minorHAnsi" w:hAnsiTheme="minorHAnsi"/>
          <w:b/>
          <w:lang w:val="en-US"/>
        </w:rPr>
      </w:pPr>
      <w:r w:rsidRPr="00C51EC3">
        <w:rPr>
          <w:noProof/>
          <w:lang w:val="it-IT"/>
        </w:rPr>
        <w:lastRenderedPageBreak/>
        <w:drawing>
          <wp:inline distT="0" distB="0" distL="0" distR="0" wp14:anchorId="36C2E711" wp14:editId="6E273AD5">
            <wp:extent cx="3910547" cy="3047555"/>
            <wp:effectExtent l="0" t="0" r="0" b="635"/>
            <wp:docPr id="2070" name="Imagen 14" descr="Mass_transfer_rat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Mass_transfer_rate2"/>
                    <pic:cNvPicPr>
                      <a:picLocks noChangeAspect="1" noChangeArrowheads="1"/>
                    </pic:cNvPicPr>
                  </pic:nvPicPr>
                  <pic:blipFill>
                    <a:blip r:embed="rId39" cstate="print"/>
                    <a:srcRect/>
                    <a:stretch>
                      <a:fillRect/>
                    </a:stretch>
                  </pic:blipFill>
                  <pic:spPr bwMode="auto">
                    <a:xfrm>
                      <a:off x="0" y="0"/>
                      <a:ext cx="3925950" cy="3059559"/>
                    </a:xfrm>
                    <a:prstGeom prst="rect">
                      <a:avLst/>
                    </a:prstGeom>
                    <a:noFill/>
                  </pic:spPr>
                </pic:pic>
              </a:graphicData>
            </a:graphic>
          </wp:inline>
        </w:drawing>
      </w:r>
    </w:p>
    <w:p w14:paraId="4663F481" w14:textId="1DEAB8D8" w:rsidR="006060A3" w:rsidRPr="00974C98" w:rsidRDefault="006060A3" w:rsidP="006060A3">
      <w:pPr>
        <w:pStyle w:val="Table"/>
        <w:rPr>
          <w:i/>
          <w:lang w:val="en-US"/>
        </w:rPr>
      </w:pPr>
      <w:r w:rsidRPr="00974C98">
        <w:rPr>
          <w:i/>
          <w:lang w:val="en-US"/>
        </w:rPr>
        <w:t xml:space="preserve">Figure </w:t>
      </w:r>
      <w:r w:rsidR="001564E2">
        <w:rPr>
          <w:i/>
          <w:lang w:val="en-US"/>
        </w:rPr>
        <w:t>A10</w:t>
      </w:r>
      <w:r w:rsidRPr="00974C98">
        <w:rPr>
          <w:i/>
          <w:lang w:val="en-US"/>
        </w:rPr>
        <w:t>. CFD 10 seconds simulation of the injection of CO</w:t>
      </w:r>
      <w:r w:rsidRPr="00974C98">
        <w:rPr>
          <w:i/>
          <w:vertAlign w:val="subscript"/>
          <w:lang w:val="en-US"/>
        </w:rPr>
        <w:t>2</w:t>
      </w:r>
      <w:r w:rsidRPr="00974C98">
        <w:rPr>
          <w:i/>
          <w:lang w:val="en-US"/>
        </w:rPr>
        <w:t xml:space="preserve"> into a 50 mm pipe containing water and microalgae. Mass transfer rate distribution at the end of the simulation.</w:t>
      </w:r>
    </w:p>
    <w:p w14:paraId="03A7D7BA" w14:textId="77777777" w:rsidR="006060A3" w:rsidRDefault="006060A3" w:rsidP="006060A3">
      <w:pPr>
        <w:rPr>
          <w:lang w:val="en-US"/>
        </w:rPr>
      </w:pPr>
    </w:p>
    <w:p w14:paraId="590BAC65" w14:textId="2BE54309" w:rsidR="006060A3" w:rsidRPr="00D51C5A" w:rsidRDefault="006060A3" w:rsidP="006060A3">
      <w:pPr>
        <w:rPr>
          <w:lang w:val="en-US"/>
        </w:rPr>
      </w:pPr>
      <w:r w:rsidRPr="00D51C5A">
        <w:rPr>
          <w:lang w:val="en-US"/>
        </w:rPr>
        <w:t xml:space="preserve">Conversely, the lower side of the pipe seems to have a lower mass transfer rate, </w:t>
      </w:r>
      <w:r w:rsidR="00B9312A">
        <w:rPr>
          <w:noProof/>
          <w:lang w:val="en-US"/>
        </w:rPr>
        <w:t>despite</w:t>
      </w:r>
      <w:r w:rsidRPr="00D51C5A">
        <w:rPr>
          <w:lang w:val="en-US"/>
        </w:rPr>
        <w:t xml:space="preserve"> the re-circulating effect of the CO</w:t>
      </w:r>
      <w:r w:rsidRPr="00D51C5A">
        <w:rPr>
          <w:vertAlign w:val="subscript"/>
          <w:lang w:val="en-US"/>
        </w:rPr>
        <w:t>2</w:t>
      </w:r>
      <w:r w:rsidRPr="00D51C5A">
        <w:rPr>
          <w:lang w:val="en-US"/>
        </w:rPr>
        <w:t xml:space="preserve"> particles observed in</w:t>
      </w:r>
      <w:r w:rsidR="000A5880">
        <w:rPr>
          <w:lang w:val="en-US"/>
        </w:rPr>
        <w:t xml:space="preserve"> Figure A9</w:t>
      </w:r>
      <w:r w:rsidRPr="00D51C5A">
        <w:rPr>
          <w:lang w:val="en-US"/>
        </w:rPr>
        <w:t xml:space="preserve">. However, it </w:t>
      </w:r>
      <w:r w:rsidRPr="00680ECD">
        <w:rPr>
          <w:noProof/>
          <w:lang w:val="en-US"/>
        </w:rPr>
        <w:t>is believed</w:t>
      </w:r>
      <w:r w:rsidRPr="00D51C5A">
        <w:rPr>
          <w:lang w:val="en-US"/>
        </w:rPr>
        <w:t xml:space="preserve"> that an overall good mass transfer rate will be achieved at steady conditions using this geometry, </w:t>
      </w:r>
      <w:r w:rsidR="00B9312A">
        <w:rPr>
          <w:noProof/>
          <w:lang w:val="en-US"/>
        </w:rPr>
        <w:t>except</w:t>
      </w:r>
      <w:r w:rsidRPr="00D51C5A">
        <w:rPr>
          <w:lang w:val="en-US"/>
        </w:rPr>
        <w:t xml:space="preserve"> the lower part of the pipe closer to the injection point.</w:t>
      </w:r>
    </w:p>
    <w:p w14:paraId="2FE196E1" w14:textId="50C896E9" w:rsidR="006060A3" w:rsidRPr="00D51C5A" w:rsidRDefault="006060A3" w:rsidP="006060A3">
      <w:pPr>
        <w:rPr>
          <w:lang w:val="en-US"/>
        </w:rPr>
      </w:pPr>
      <w:r w:rsidRPr="00D51C5A">
        <w:rPr>
          <w:lang w:val="en-US"/>
        </w:rPr>
        <w:t>Finally, the influence of the CO</w:t>
      </w:r>
      <w:r w:rsidRPr="00D51C5A">
        <w:rPr>
          <w:vertAlign w:val="subscript"/>
          <w:lang w:val="en-US"/>
        </w:rPr>
        <w:t>2</w:t>
      </w:r>
      <w:r w:rsidRPr="00D51C5A">
        <w:rPr>
          <w:lang w:val="en-US"/>
        </w:rPr>
        <w:t xml:space="preserve"> concentration in water, including the effect of light, in the algae growth </w:t>
      </w:r>
      <w:r w:rsidRPr="00680ECD">
        <w:rPr>
          <w:noProof/>
          <w:lang w:val="en-US"/>
        </w:rPr>
        <w:t>was also investigated</w:t>
      </w:r>
      <w:r w:rsidRPr="00D51C5A">
        <w:rPr>
          <w:lang w:val="en-US"/>
        </w:rPr>
        <w:t xml:space="preserve">. Ideal growth is possible in an area of the reactor where light is plentiful, but not excessive since too </w:t>
      </w:r>
      <w:r w:rsidRPr="00680ECD">
        <w:rPr>
          <w:noProof/>
          <w:lang w:val="en-US"/>
        </w:rPr>
        <w:t>much</w:t>
      </w:r>
      <w:r w:rsidRPr="00D51C5A">
        <w:rPr>
          <w:lang w:val="en-US"/>
        </w:rPr>
        <w:t xml:space="preserve"> </w:t>
      </w:r>
      <w:r w:rsidR="00B9312A">
        <w:rPr>
          <w:lang w:val="en-US"/>
        </w:rPr>
        <w:t>solar radiation might result</w:t>
      </w:r>
      <w:r w:rsidRPr="00D51C5A">
        <w:rPr>
          <w:lang w:val="en-US"/>
        </w:rPr>
        <w:t xml:space="preserve"> in </w:t>
      </w:r>
      <w:r w:rsidRPr="00B9312A">
        <w:rPr>
          <w:noProof/>
          <w:lang w:val="en-US"/>
        </w:rPr>
        <w:t>photoinhibition</w:t>
      </w:r>
      <w:r w:rsidRPr="00D51C5A">
        <w:rPr>
          <w:lang w:val="en-US"/>
        </w:rPr>
        <w:t xml:space="preserve">, as described in the </w:t>
      </w:r>
      <w:r w:rsidR="00B9312A">
        <w:rPr>
          <w:lang w:val="en-US"/>
        </w:rPr>
        <w:t>Ref.</w:t>
      </w:r>
      <w:r w:rsidR="0067025F" w:rsidRPr="00D51C5A">
        <w:rPr>
          <w:lang w:val="en-US"/>
        </w:rPr>
        <w:t xml:space="preserve"> </w:t>
      </w:r>
      <w:r w:rsidR="0067025F">
        <w:rPr>
          <w:lang w:val="en-US"/>
        </w:rPr>
        <w:fldChar w:fldCharType="begin" w:fldLock="1"/>
      </w:r>
      <w:r w:rsidR="00844B4D">
        <w:rPr>
          <w:lang w:val="en-US"/>
        </w:rPr>
        <w:instrText>ADDIN CSL_CITATION { "citationItems" : [ { "id" : "ITEM-1", "itemData" : { "abstract" : "An industrial sized photobioreactor was modeled to find the influence of aeration rate on the growth of algae and to quantify possible mass transfer limitations. The modeling approach combines computational fluid dynamics with a compartmental model. Several phenomena, such as mass transfer, reaction kinetics, light availability and dispersed phase populations, can be modeled simultaneously. The results showed that mass transfer limitations occur in the reactor before the growth of biomass becomes light limited. The inclusion of fluid dynamics for modeling algal cultivation is shown to be necessary.", "author" : [ { "dropping-particle" : "", "family" : "Nauha", "given" : "Elina K", "non-dropping-particle" : "", "parse-names" : false, "suffix" : "" }, { "dropping-particle" : "", "family" : "Alopaeus", "given" : "Ville", "non-dropping-particle" : "", "parse-names" : false, "suffix" : "" } ], "container-title" : "14th European Conference on Mixing Warszawa, 10-13 September 2012", "id" : "ITEM-1", "issued" : { "date-parts" : [ [ "2012" ] ] }, "page" : "6", "title" : "MODELING ALGAL CULTIVATION IN A BUBBLE COLUMN PHOTOBIOREACTOR", "type" : "paper-conference" }, "uris" : [ "http://www.mendeley.com/documents/?uuid=7da244bd-b7bc-3496-8e90-aaa9fa154654" ] } ], "mendeley" : { "formattedCitation" : "[41]", "plainTextFormattedCitation" : "[41]", "previouslyFormattedCitation" : "[41]" }, "properties" : { "noteIndex" : 0 }, "schema" : "https://github.com/citation-style-language/schema/raw/master/csl-citation.json" }</w:instrText>
      </w:r>
      <w:r w:rsidR="0067025F">
        <w:rPr>
          <w:lang w:val="en-US"/>
        </w:rPr>
        <w:fldChar w:fldCharType="separate"/>
      </w:r>
      <w:r w:rsidR="009829B8" w:rsidRPr="009829B8">
        <w:rPr>
          <w:noProof/>
          <w:lang w:val="en-US"/>
        </w:rPr>
        <w:t>[41]</w:t>
      </w:r>
      <w:r w:rsidR="0067025F">
        <w:rPr>
          <w:lang w:val="en-US"/>
        </w:rPr>
        <w:fldChar w:fldCharType="end"/>
      </w:r>
      <w:r w:rsidR="0067025F">
        <w:rPr>
          <w:lang w:val="en-US"/>
        </w:rPr>
        <w:t xml:space="preserve"> a</w:t>
      </w:r>
      <w:r w:rsidRPr="00D51C5A">
        <w:rPr>
          <w:lang w:val="en-US"/>
        </w:rPr>
        <w:t>nd confirmed in the lab scale experiments (see next section).</w:t>
      </w:r>
    </w:p>
    <w:p w14:paraId="7C65F6B3" w14:textId="77777777" w:rsidR="006060A3" w:rsidRDefault="006060A3" w:rsidP="006060A3">
      <w:pPr>
        <w:rPr>
          <w:lang w:val="en-US"/>
        </w:rPr>
      </w:pPr>
      <w:r w:rsidRPr="00D51C5A">
        <w:rPr>
          <w:lang w:val="en-US"/>
        </w:rPr>
        <w:t xml:space="preserve">Algae growth in the bioreactor </w:t>
      </w:r>
      <w:r w:rsidRPr="00680ECD">
        <w:rPr>
          <w:noProof/>
          <w:lang w:val="en-US"/>
        </w:rPr>
        <w:t>was modeled</w:t>
      </w:r>
      <w:r w:rsidRPr="00D51C5A">
        <w:rPr>
          <w:lang w:val="en-US"/>
        </w:rPr>
        <w:t xml:space="preserve"> following a Monod equation-type:</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7"/>
        <w:gridCol w:w="907"/>
      </w:tblGrid>
      <w:tr w:rsidR="006060A3" w:rsidRPr="00802745" w14:paraId="0060E5FE" w14:textId="77777777" w:rsidTr="0045084A">
        <w:trPr>
          <w:trHeight w:val="680"/>
          <w:jc w:val="center"/>
        </w:trPr>
        <w:tc>
          <w:tcPr>
            <w:tcW w:w="7937" w:type="dxa"/>
            <w:vAlign w:val="center"/>
          </w:tcPr>
          <w:p w14:paraId="6EB61D5F" w14:textId="633F857F" w:rsidR="006060A3" w:rsidRPr="00802745" w:rsidRDefault="007C76F6" w:rsidP="00052D77">
            <w:pPr>
              <w:jc w:val="center"/>
              <w:rPr>
                <w:lang w:val="en-US"/>
              </w:rPr>
            </w:pPr>
            <m:oMathPara>
              <m:oMath>
                <m:r>
                  <w:rPr>
                    <w:rFonts w:ascii="Cambria Math" w:hAnsi="Cambria Math"/>
                  </w:rPr>
                  <m:t>G</m:t>
                </m:r>
                <m:r>
                  <m:rPr>
                    <m:sty m:val="p"/>
                  </m:rPr>
                  <w:rPr>
                    <w:rFonts w:ascii="Cambria Math" w:hAnsi="Cambria Math"/>
                  </w:rPr>
                  <m:t>=</m:t>
                </m:r>
                <m:sSub>
                  <m:sSubPr>
                    <m:ctrlPr>
                      <w:rPr>
                        <w:rFonts w:ascii="Cambria Math" w:hAnsi="Cambria Math"/>
                      </w:rPr>
                    </m:ctrlPr>
                  </m:sSubPr>
                  <m:e>
                    <m:r>
                      <w:rPr>
                        <w:rFonts w:ascii="Cambria Math" w:hAnsi="Cambria Math"/>
                      </w:rPr>
                      <m:t>G</m:t>
                    </m:r>
                  </m:e>
                  <m:sub>
                    <m:r>
                      <w:rPr>
                        <w:rFonts w:ascii="Cambria Math" w:hAnsi="Cambria Math"/>
                      </w:rPr>
                      <m:t>max</m:t>
                    </m:r>
                  </m:sub>
                </m:sSub>
                <m:d>
                  <m:dPr>
                    <m:ctrlPr>
                      <w:rPr>
                        <w:rFonts w:ascii="Cambria Math" w:hAnsi="Cambria Math"/>
                      </w:rPr>
                    </m:ctrlPr>
                  </m:dPr>
                  <m:e>
                    <m:f>
                      <m:fPr>
                        <m:ctrlPr>
                          <w:rPr>
                            <w:rFonts w:ascii="Cambria Math" w:hAnsi="Cambria Math"/>
                          </w:rPr>
                        </m:ctrlPr>
                      </m:fPr>
                      <m:num>
                        <m:sSub>
                          <m:sSubPr>
                            <m:ctrlPr>
                              <w:rPr>
                                <w:rFonts w:ascii="Cambria Math" w:hAnsi="Cambria Math"/>
                              </w:rPr>
                            </m:ctrlPr>
                          </m:sSubPr>
                          <m:e>
                            <m:d>
                              <m:dPr>
                                <m:begChr m:val="["/>
                                <m:endChr m:val="]"/>
                                <m:ctrlPr>
                                  <w:rPr>
                                    <w:rFonts w:ascii="Cambria Math" w:hAnsi="Cambria Math"/>
                                  </w:rPr>
                                </m:ctrlPr>
                              </m:dPr>
                              <m:e>
                                <m:sSub>
                                  <m:sSubPr>
                                    <m:ctrlPr>
                                      <w:rPr>
                                        <w:rFonts w:ascii="Cambria Math" w:hAnsi="Cambria Math"/>
                                      </w:rPr>
                                    </m:ctrlPr>
                                  </m:sSubPr>
                                  <m:e>
                                    <m:r>
                                      <w:rPr>
                                        <w:rFonts w:ascii="Cambria Math" w:hAnsi="Cambria Math"/>
                                      </w:rPr>
                                      <m:t>CO</m:t>
                                    </m:r>
                                  </m:e>
                                  <m:sub>
                                    <m:r>
                                      <m:rPr>
                                        <m:sty m:val="p"/>
                                      </m:rPr>
                                      <w:rPr>
                                        <w:rFonts w:ascii="Cambria Math" w:hAnsi="Cambria Math"/>
                                      </w:rPr>
                                      <m:t>2</m:t>
                                    </m:r>
                                  </m:sub>
                                </m:sSub>
                              </m:e>
                            </m:d>
                          </m:e>
                          <m:sub>
                            <m:r>
                              <w:rPr>
                                <w:rFonts w:ascii="Cambria Math" w:hAnsi="Cambria Math"/>
                              </w:rPr>
                              <m:t>liq</m:t>
                            </m:r>
                          </m:sub>
                        </m:sSub>
                      </m:num>
                      <m:den>
                        <m:sSub>
                          <m:sSubPr>
                            <m:ctrlPr>
                              <w:rPr>
                                <w:rFonts w:ascii="Cambria Math" w:hAnsi="Cambria Math"/>
                              </w:rPr>
                            </m:ctrlPr>
                          </m:sSubPr>
                          <m:e>
                            <m:d>
                              <m:dPr>
                                <m:begChr m:val="["/>
                                <m:endChr m:val="]"/>
                                <m:ctrlPr>
                                  <w:rPr>
                                    <w:rFonts w:ascii="Cambria Math" w:hAnsi="Cambria Math"/>
                                  </w:rPr>
                                </m:ctrlPr>
                              </m:dPr>
                              <m:e>
                                <m:sSub>
                                  <m:sSubPr>
                                    <m:ctrlPr>
                                      <w:rPr>
                                        <w:rFonts w:ascii="Cambria Math" w:hAnsi="Cambria Math"/>
                                      </w:rPr>
                                    </m:ctrlPr>
                                  </m:sSubPr>
                                  <m:e>
                                    <m:r>
                                      <w:rPr>
                                        <w:rFonts w:ascii="Cambria Math" w:hAnsi="Cambria Math"/>
                                      </w:rPr>
                                      <m:t>CO</m:t>
                                    </m:r>
                                  </m:e>
                                  <m:sub>
                                    <m:r>
                                      <m:rPr>
                                        <m:sty m:val="p"/>
                                      </m:rPr>
                                      <w:rPr>
                                        <w:rFonts w:ascii="Cambria Math" w:hAnsi="Cambria Math"/>
                                      </w:rPr>
                                      <m:t>2</m:t>
                                    </m:r>
                                  </m:sub>
                                </m:sSub>
                              </m:e>
                            </m:d>
                          </m:e>
                          <m:sub>
                            <m:r>
                              <w:rPr>
                                <w:rFonts w:ascii="Cambria Math" w:hAnsi="Cambria Math"/>
                              </w:rPr>
                              <m:t>liq</m:t>
                            </m:r>
                          </m:sub>
                        </m:sSub>
                        <m:r>
                          <m:rPr>
                            <m:sty m:val="p"/>
                          </m:rPr>
                          <w:rPr>
                            <w:rFonts w:ascii="Cambria Math" w:hAnsi="Cambria Math"/>
                          </w:rPr>
                          <m:t>+</m:t>
                        </m:r>
                        <m:sSub>
                          <m:sSubPr>
                            <m:ctrlPr>
                              <w:rPr>
                                <w:rFonts w:ascii="Cambria Math" w:hAnsi="Cambria Math"/>
                              </w:rPr>
                            </m:ctrlPr>
                          </m:sSubPr>
                          <m:e>
                            <m:r>
                              <w:rPr>
                                <w:rFonts w:ascii="Cambria Math" w:hAnsi="Cambria Math"/>
                              </w:rPr>
                              <m:t>k</m:t>
                            </m:r>
                          </m:e>
                          <m:sub>
                            <m:r>
                              <w:rPr>
                                <w:rFonts w:ascii="Cambria Math" w:hAnsi="Cambria Math"/>
                              </w:rPr>
                              <m:t>s</m:t>
                            </m:r>
                          </m:sub>
                        </m:sSub>
                      </m:den>
                    </m:f>
                  </m:e>
                </m:d>
              </m:oMath>
            </m:oMathPara>
          </w:p>
        </w:tc>
        <w:tc>
          <w:tcPr>
            <w:tcW w:w="907" w:type="dxa"/>
            <w:vAlign w:val="center"/>
          </w:tcPr>
          <w:p w14:paraId="5B91B886" w14:textId="77777777" w:rsidR="006060A3" w:rsidRPr="00802745" w:rsidRDefault="006060A3" w:rsidP="00052D77">
            <w:pPr>
              <w:ind w:firstLine="50"/>
              <w:jc w:val="center"/>
            </w:pPr>
            <w:r w:rsidRPr="00802745">
              <w:t>(</w:t>
            </w:r>
            <w:r>
              <w:t>30</w:t>
            </w:r>
            <w:r w:rsidRPr="00802745">
              <w:t>)</w:t>
            </w:r>
          </w:p>
        </w:tc>
      </w:tr>
    </w:tbl>
    <w:p w14:paraId="2063F7AC" w14:textId="4709D869" w:rsidR="006060A3" w:rsidRDefault="006060A3" w:rsidP="006060A3">
      <w:pPr>
        <w:rPr>
          <w:lang w:val="en-US"/>
        </w:rPr>
      </w:pPr>
      <w:r w:rsidRPr="005A303E">
        <w:rPr>
          <w:lang w:val="en-US"/>
        </w:rPr>
        <w:t xml:space="preserve">This equation has been used to model the growth of </w:t>
      </w:r>
      <w:r w:rsidRPr="00B9312A">
        <w:rPr>
          <w:noProof/>
          <w:lang w:val="en-US"/>
        </w:rPr>
        <w:t>single</w:t>
      </w:r>
      <w:r w:rsidR="003A17BC">
        <w:rPr>
          <w:noProof/>
          <w:lang w:val="en-US"/>
        </w:rPr>
        <w:t>-</w:t>
      </w:r>
      <w:r w:rsidRPr="00B9312A">
        <w:rPr>
          <w:noProof/>
          <w:lang w:val="en-US"/>
        </w:rPr>
        <w:t>celled</w:t>
      </w:r>
      <w:r w:rsidRPr="005A303E">
        <w:rPr>
          <w:lang w:val="en-US"/>
        </w:rPr>
        <w:t xml:space="preserve"> microorgan</w:t>
      </w:r>
      <w:r>
        <w:rPr>
          <w:lang w:val="en-US"/>
        </w:rPr>
        <w:t xml:space="preserve">isms, including algae </w:t>
      </w:r>
      <w:r w:rsidR="000A5880">
        <w:rPr>
          <w:lang w:val="en-US"/>
        </w:rPr>
        <w:fldChar w:fldCharType="begin"/>
      </w:r>
      <w:r w:rsidR="000A5880">
        <w:rPr>
          <w:lang w:val="en-US"/>
        </w:rPr>
        <w:instrText xml:space="preserve"> REF _Ref469582032 \r \h </w:instrText>
      </w:r>
      <w:r w:rsidR="000A5880">
        <w:rPr>
          <w:lang w:val="en-US"/>
        </w:rPr>
      </w:r>
      <w:r w:rsidR="000A5880">
        <w:rPr>
          <w:lang w:val="en-US"/>
        </w:rPr>
        <w:fldChar w:fldCharType="separate"/>
      </w:r>
      <w:r w:rsidR="000A5880">
        <w:rPr>
          <w:lang w:val="en-US"/>
        </w:rPr>
        <w:t>[35]</w:t>
      </w:r>
      <w:r w:rsidR="000A5880">
        <w:rPr>
          <w:lang w:val="en-US"/>
        </w:rPr>
        <w:fldChar w:fldCharType="end"/>
      </w:r>
      <w:r w:rsidR="000A5880">
        <w:rPr>
          <w:lang w:val="en-US"/>
        </w:rPr>
        <w:t>.</w:t>
      </w:r>
      <w:r>
        <w:rPr>
          <w:lang w:val="en-US"/>
        </w:rPr>
        <w:t xml:space="preserve"> In </w:t>
      </w:r>
      <w:r w:rsidRPr="00CB5721">
        <w:rPr>
          <w:lang w:val="en-US"/>
        </w:rPr>
        <w:t>Eq. (30)</w:t>
      </w:r>
      <w:r w:rsidRPr="005A303E">
        <w:rPr>
          <w:lang w:val="en-US"/>
        </w:rPr>
        <w:t xml:space="preserve">, </w:t>
      </w:r>
      <w:r w:rsidR="007C76F6">
        <w:rPr>
          <w:lang w:val="en-US"/>
        </w:rPr>
        <w:t>G</w:t>
      </w:r>
      <w:r w:rsidRPr="005A303E">
        <w:rPr>
          <w:lang w:val="en-US"/>
        </w:rPr>
        <w:t xml:space="preserve"> is the algae growth rate, </w:t>
      </w:r>
      <w:proofErr w:type="spellStart"/>
      <w:r w:rsidR="007C76F6">
        <w:rPr>
          <w:lang w:val="en-US"/>
        </w:rPr>
        <w:t>G</w:t>
      </w:r>
      <w:r w:rsidRPr="005A303E">
        <w:rPr>
          <w:vertAlign w:val="subscript"/>
          <w:lang w:val="en-US"/>
        </w:rPr>
        <w:t>max</w:t>
      </w:r>
      <w:proofErr w:type="spellEnd"/>
      <w:r w:rsidRPr="005A303E">
        <w:rPr>
          <w:lang w:val="en-US"/>
        </w:rPr>
        <w:t xml:space="preserve"> is a species dependent maximum growth rate, [CO</w:t>
      </w:r>
      <w:r w:rsidRPr="005A303E">
        <w:rPr>
          <w:vertAlign w:val="subscript"/>
          <w:lang w:val="en-US"/>
        </w:rPr>
        <w:t>2</w:t>
      </w:r>
      <w:r w:rsidRPr="005A303E">
        <w:rPr>
          <w:lang w:val="en-US"/>
        </w:rPr>
        <w:t xml:space="preserve">] is the substrate concentration, and </w:t>
      </w:r>
      <w:r w:rsidRPr="00680ECD">
        <w:rPr>
          <w:noProof/>
          <w:lang w:val="en-US"/>
        </w:rPr>
        <w:t>k</w:t>
      </w:r>
      <w:r w:rsidRPr="00680ECD">
        <w:rPr>
          <w:noProof/>
          <w:vertAlign w:val="subscript"/>
          <w:lang w:val="en-US"/>
        </w:rPr>
        <w:t>s</w:t>
      </w:r>
      <w:r w:rsidRPr="005A303E">
        <w:rPr>
          <w:lang w:val="en-US"/>
        </w:rPr>
        <w:t xml:space="preserve"> is a species dependent half saturation coefficient. In this study, the values for </w:t>
      </w:r>
      <w:proofErr w:type="spellStart"/>
      <w:r w:rsidR="007C76F6">
        <w:rPr>
          <w:lang w:val="en-US"/>
        </w:rPr>
        <w:t>G</w:t>
      </w:r>
      <w:r w:rsidRPr="005A303E">
        <w:rPr>
          <w:vertAlign w:val="subscript"/>
          <w:lang w:val="en-US"/>
        </w:rPr>
        <w:t>max</w:t>
      </w:r>
      <w:proofErr w:type="spellEnd"/>
      <w:r w:rsidRPr="005A303E">
        <w:rPr>
          <w:lang w:val="en-US"/>
        </w:rPr>
        <w:t xml:space="preserve"> (0.07 h</w:t>
      </w:r>
      <w:r w:rsidRPr="005A303E">
        <w:rPr>
          <w:vertAlign w:val="superscript"/>
          <w:lang w:val="en-US"/>
        </w:rPr>
        <w:t>−1</w:t>
      </w:r>
      <w:r w:rsidRPr="005A303E">
        <w:rPr>
          <w:lang w:val="en-US"/>
        </w:rPr>
        <w:t xml:space="preserve">) and </w:t>
      </w:r>
      <w:r w:rsidRPr="00680ECD">
        <w:rPr>
          <w:noProof/>
          <w:lang w:val="en-US"/>
        </w:rPr>
        <w:t>k</w:t>
      </w:r>
      <w:r w:rsidRPr="00680ECD">
        <w:rPr>
          <w:noProof/>
          <w:vertAlign w:val="subscript"/>
          <w:lang w:val="en-US"/>
        </w:rPr>
        <w:t>s</w:t>
      </w:r>
      <w:r w:rsidRPr="005A303E">
        <w:rPr>
          <w:lang w:val="en-US"/>
        </w:rPr>
        <w:t xml:space="preserve"> (2.3 × 10</w:t>
      </w:r>
      <w:r w:rsidRPr="005A303E">
        <w:rPr>
          <w:vertAlign w:val="superscript"/>
          <w:lang w:val="en-US"/>
        </w:rPr>
        <w:t>−6</w:t>
      </w:r>
      <w:r w:rsidRPr="005A303E">
        <w:rPr>
          <w:lang w:val="en-US"/>
        </w:rPr>
        <w:t xml:space="preserve"> </w:t>
      </w:r>
      <w:proofErr w:type="spellStart"/>
      <w:r w:rsidRPr="005A303E">
        <w:rPr>
          <w:lang w:val="en-US"/>
        </w:rPr>
        <w:t>mol</w:t>
      </w:r>
      <w:proofErr w:type="spellEnd"/>
      <w:r w:rsidRPr="005A303E">
        <w:rPr>
          <w:lang w:val="en-US"/>
        </w:rPr>
        <w:t xml:space="preserve">/L) </w:t>
      </w:r>
      <w:r w:rsidRPr="00680ECD">
        <w:rPr>
          <w:noProof/>
          <w:lang w:val="en-US"/>
        </w:rPr>
        <w:t>were chosen</w:t>
      </w:r>
      <w:r>
        <w:rPr>
          <w:lang w:val="en-US"/>
        </w:rPr>
        <w:t xml:space="preserve"> for </w:t>
      </w:r>
      <w:proofErr w:type="spellStart"/>
      <w:r>
        <w:rPr>
          <w:lang w:val="en-US"/>
        </w:rPr>
        <w:t>Nostoc</w:t>
      </w:r>
      <w:proofErr w:type="spellEnd"/>
      <w:r>
        <w:rPr>
          <w:lang w:val="en-US"/>
        </w:rPr>
        <w:t xml:space="preserve"> species at 27</w:t>
      </w:r>
      <w:r w:rsidRPr="005A303E">
        <w:rPr>
          <w:lang w:val="en-US"/>
        </w:rPr>
        <w:t>°C and 600 foot-c</w:t>
      </w:r>
      <w:r>
        <w:rPr>
          <w:lang w:val="en-US"/>
        </w:rPr>
        <w:t xml:space="preserve">andles of light (6.50 </w:t>
      </w:r>
      <w:r w:rsidRPr="00680ECD">
        <w:rPr>
          <w:noProof/>
          <w:lang w:val="en-US"/>
        </w:rPr>
        <w:t>kLux</w:t>
      </w:r>
      <w:r>
        <w:rPr>
          <w:lang w:val="en-US"/>
        </w:rPr>
        <w:t xml:space="preserve">) </w:t>
      </w:r>
      <w:r w:rsidR="000A5880">
        <w:rPr>
          <w:lang w:val="en-US"/>
        </w:rPr>
        <w:fldChar w:fldCharType="begin"/>
      </w:r>
      <w:r w:rsidR="000A5880">
        <w:rPr>
          <w:lang w:val="en-US"/>
        </w:rPr>
        <w:instrText xml:space="preserve"> REF _Ref469582032 \r \h </w:instrText>
      </w:r>
      <w:r w:rsidR="000A5880">
        <w:rPr>
          <w:lang w:val="en-US"/>
        </w:rPr>
      </w:r>
      <w:r w:rsidR="000A5880">
        <w:rPr>
          <w:lang w:val="en-US"/>
        </w:rPr>
        <w:fldChar w:fldCharType="separate"/>
      </w:r>
      <w:r w:rsidR="000A5880">
        <w:rPr>
          <w:lang w:val="en-US"/>
        </w:rPr>
        <w:t>[35]</w:t>
      </w:r>
      <w:r w:rsidR="000A5880">
        <w:rPr>
          <w:lang w:val="en-US"/>
        </w:rPr>
        <w:fldChar w:fldCharType="end"/>
      </w:r>
      <w:r w:rsidRPr="00304434">
        <w:rPr>
          <w:lang w:val="en-US"/>
        </w:rPr>
        <w:t>.</w:t>
      </w:r>
      <w:r w:rsidRPr="005A303E">
        <w:rPr>
          <w:lang w:val="en-US"/>
        </w:rPr>
        <w:t xml:space="preserve"> Here, it is important to note that this simple model does not consider the light variation as a function of the radius of the pipe. The choice of this equation was </w:t>
      </w:r>
      <w:r w:rsidRPr="00680ECD">
        <w:rPr>
          <w:noProof/>
          <w:lang w:val="en-US"/>
        </w:rPr>
        <w:t>done</w:t>
      </w:r>
      <w:r w:rsidRPr="005A303E">
        <w:rPr>
          <w:lang w:val="en-US"/>
        </w:rPr>
        <w:t xml:space="preserve"> based on the possibility of providing qualitative knowledge in a relatively simple manner without the need of performing long-time simulations. </w:t>
      </w:r>
    </w:p>
    <w:p w14:paraId="36215661" w14:textId="03728416" w:rsidR="006060A3" w:rsidRPr="00B774EC" w:rsidRDefault="006060A3" w:rsidP="006060A3">
      <w:pPr>
        <w:rPr>
          <w:lang w:val="en-US"/>
        </w:rPr>
      </w:pPr>
      <w:r w:rsidRPr="00CB5721">
        <w:rPr>
          <w:lang w:val="en-US"/>
        </w:rPr>
        <w:lastRenderedPageBreak/>
        <w:t xml:space="preserve">From Figure </w:t>
      </w:r>
      <w:r w:rsidR="002566DD">
        <w:rPr>
          <w:lang w:val="en-US"/>
        </w:rPr>
        <w:t>A10</w:t>
      </w:r>
      <w:r w:rsidRPr="00CB5721">
        <w:rPr>
          <w:lang w:val="en-US"/>
        </w:rPr>
        <w:t>, the average molar concentration of CO</w:t>
      </w:r>
      <w:r w:rsidRPr="00CB5721">
        <w:rPr>
          <w:vertAlign w:val="subscript"/>
          <w:lang w:val="en-US"/>
        </w:rPr>
        <w:t>2</w:t>
      </w:r>
      <w:r w:rsidRPr="00CB5721">
        <w:rPr>
          <w:lang w:val="en-US"/>
        </w:rPr>
        <w:t xml:space="preserve"> in water can </w:t>
      </w:r>
      <w:r w:rsidRPr="00680ECD">
        <w:rPr>
          <w:noProof/>
          <w:lang w:val="en-US"/>
        </w:rPr>
        <w:t>be calculated</w:t>
      </w:r>
      <w:r w:rsidRPr="00CB5721">
        <w:rPr>
          <w:lang w:val="en-US"/>
        </w:rPr>
        <w:t xml:space="preserve"> and using Eq. (</w:t>
      </w:r>
      <w:r>
        <w:rPr>
          <w:lang w:val="en-US"/>
        </w:rPr>
        <w:t>30</w:t>
      </w:r>
      <w:r w:rsidRPr="00CB5721">
        <w:rPr>
          <w:lang w:val="en-US"/>
        </w:rPr>
        <w:t>), the algae growth rate can then be obtained. This value will change as a function of the amount of CO</w:t>
      </w:r>
      <w:r w:rsidRPr="00CB5721">
        <w:rPr>
          <w:vertAlign w:val="subscript"/>
          <w:lang w:val="en-US"/>
        </w:rPr>
        <w:t>2</w:t>
      </w:r>
      <w:r w:rsidRPr="00CB5721">
        <w:rPr>
          <w:lang w:val="en-US"/>
        </w:rPr>
        <w:t xml:space="preserve"> dissolved in water, as it </w:t>
      </w:r>
      <w:r w:rsidRPr="00680ECD">
        <w:rPr>
          <w:noProof/>
          <w:lang w:val="en-US"/>
        </w:rPr>
        <w:t>is observed</w:t>
      </w:r>
      <w:r w:rsidRPr="00CB5721">
        <w:rPr>
          <w:lang w:val="en-US"/>
        </w:rPr>
        <w:t xml:space="preserve"> in Figure </w:t>
      </w:r>
      <w:r w:rsidR="002566DD">
        <w:rPr>
          <w:lang w:val="en-US"/>
        </w:rPr>
        <w:t>A11</w:t>
      </w:r>
      <w:r w:rsidRPr="00CB5721">
        <w:rPr>
          <w:lang w:val="en-US"/>
        </w:rPr>
        <w:t>.</w:t>
      </w:r>
      <w:r w:rsidRPr="005A303E">
        <w:rPr>
          <w:lang w:val="en-US"/>
        </w:rPr>
        <w:t xml:space="preserve"> </w:t>
      </w:r>
    </w:p>
    <w:p w14:paraId="37FBA7BF" w14:textId="77777777" w:rsidR="006060A3" w:rsidRDefault="006060A3" w:rsidP="006060A3">
      <w:pPr>
        <w:jc w:val="center"/>
        <w:rPr>
          <w:lang w:val="en-US"/>
        </w:rPr>
      </w:pPr>
      <w:r>
        <w:rPr>
          <w:i/>
          <w:noProof/>
          <w:lang w:val="it-IT" w:eastAsia="it-IT"/>
        </w:rPr>
        <w:drawing>
          <wp:inline distT="0" distB="0" distL="0" distR="0" wp14:anchorId="7208FE67" wp14:editId="5E14AD87">
            <wp:extent cx="3796534" cy="2726368"/>
            <wp:effectExtent l="0" t="0" r="0" b="0"/>
            <wp:docPr id="3"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40" cstate="print"/>
                    <a:srcRect t="4427"/>
                    <a:stretch/>
                  </pic:blipFill>
                  <pic:spPr bwMode="auto">
                    <a:xfrm>
                      <a:off x="0" y="0"/>
                      <a:ext cx="3800939" cy="2729531"/>
                    </a:xfrm>
                    <a:prstGeom prst="rect">
                      <a:avLst/>
                    </a:prstGeom>
                    <a:noFill/>
                    <a:ln>
                      <a:noFill/>
                    </a:ln>
                    <a:extLst>
                      <a:ext uri="{53640926-AAD7-44D8-BBD7-CCE9431645EC}">
                        <a14:shadowObscured xmlns:a14="http://schemas.microsoft.com/office/drawing/2010/main"/>
                      </a:ext>
                    </a:extLst>
                  </pic:spPr>
                </pic:pic>
              </a:graphicData>
            </a:graphic>
          </wp:inline>
        </w:drawing>
      </w:r>
    </w:p>
    <w:p w14:paraId="4C5F226D" w14:textId="39CA0808" w:rsidR="006060A3" w:rsidRPr="00974C98" w:rsidRDefault="006060A3" w:rsidP="006060A3">
      <w:pPr>
        <w:jc w:val="center"/>
        <w:rPr>
          <w:i/>
          <w:lang w:val="en-US"/>
        </w:rPr>
      </w:pPr>
      <w:r w:rsidRPr="00974C98">
        <w:rPr>
          <w:i/>
        </w:rPr>
        <w:t xml:space="preserve">Figure </w:t>
      </w:r>
      <w:r w:rsidR="001564E2">
        <w:rPr>
          <w:i/>
        </w:rPr>
        <w:t>A</w:t>
      </w:r>
      <w:r w:rsidR="001564E2">
        <w:rPr>
          <w:i/>
          <w:caps/>
        </w:rPr>
        <w:t>11</w:t>
      </w:r>
      <w:r w:rsidRPr="00974C98">
        <w:rPr>
          <w:i/>
        </w:rPr>
        <w:t xml:space="preserve">. </w:t>
      </w:r>
      <w:r w:rsidRPr="00974C98">
        <w:rPr>
          <w:i/>
          <w:szCs w:val="24"/>
        </w:rPr>
        <w:t>Algae growth as a function of the CO</w:t>
      </w:r>
      <w:r w:rsidRPr="00974C98">
        <w:rPr>
          <w:i/>
          <w:szCs w:val="24"/>
          <w:vertAlign w:val="subscript"/>
        </w:rPr>
        <w:t>2</w:t>
      </w:r>
      <w:r w:rsidRPr="00974C98">
        <w:rPr>
          <w:i/>
          <w:szCs w:val="24"/>
        </w:rPr>
        <w:t xml:space="preserve"> concentration for a 50 mm diameter pipe.</w:t>
      </w:r>
    </w:p>
    <w:p w14:paraId="78B899D8" w14:textId="0353C9A2" w:rsidR="006060A3" w:rsidRDefault="006060A3" w:rsidP="006060A3">
      <w:pPr>
        <w:rPr>
          <w:lang w:val="en-US"/>
        </w:rPr>
      </w:pPr>
      <w:r w:rsidRPr="005A303E">
        <w:rPr>
          <w:lang w:val="en-US"/>
        </w:rPr>
        <w:t xml:space="preserve">According to the mass transfer calculations and the determination of the </w:t>
      </w:r>
      <w:proofErr w:type="spellStart"/>
      <w:r w:rsidRPr="00E30721">
        <w:rPr>
          <w:i/>
          <w:lang w:val="en-US"/>
        </w:rPr>
        <w:t>k</w:t>
      </w:r>
      <w:r w:rsidRPr="00E30721">
        <w:rPr>
          <w:i/>
          <w:vertAlign w:val="subscript"/>
          <w:lang w:val="en-US"/>
        </w:rPr>
        <w:t>s</w:t>
      </w:r>
      <w:proofErr w:type="spellEnd"/>
      <w:r w:rsidRPr="005A303E">
        <w:rPr>
          <w:lang w:val="en-US"/>
        </w:rPr>
        <w:t xml:space="preserve"> parameter, it </w:t>
      </w:r>
      <w:r w:rsidRPr="00680ECD">
        <w:rPr>
          <w:noProof/>
          <w:lang w:val="en-US"/>
        </w:rPr>
        <w:t>is expected</w:t>
      </w:r>
      <w:r w:rsidRPr="005A303E">
        <w:rPr>
          <w:lang w:val="en-US"/>
        </w:rPr>
        <w:t xml:space="preserve"> that the average algae growth rate </w:t>
      </w:r>
      <w:r w:rsidR="00B9312A" w:rsidRPr="00B9312A">
        <w:rPr>
          <w:noProof/>
          <w:lang w:val="en-US"/>
        </w:rPr>
        <w:t>in most of the pipe</w:t>
      </w:r>
      <w:r w:rsidR="00B9312A" w:rsidRPr="005A303E">
        <w:rPr>
          <w:lang w:val="en-US"/>
        </w:rPr>
        <w:t xml:space="preserve"> </w:t>
      </w:r>
      <w:r w:rsidRPr="005A303E">
        <w:rPr>
          <w:lang w:val="en-US"/>
        </w:rPr>
        <w:t>will be between 0.03 and 0.04 h</w:t>
      </w:r>
      <w:r w:rsidRPr="00293489">
        <w:rPr>
          <w:vertAlign w:val="superscript"/>
          <w:lang w:val="en-US"/>
        </w:rPr>
        <w:t>-1</w:t>
      </w:r>
      <w:r w:rsidRPr="005A303E">
        <w:rPr>
          <w:lang w:val="en-US"/>
        </w:rPr>
        <w:t xml:space="preserve">. The highest rates </w:t>
      </w:r>
      <w:r w:rsidRPr="00713F44">
        <w:rPr>
          <w:lang w:val="en-US"/>
        </w:rPr>
        <w:t>(0.07 h</w:t>
      </w:r>
      <w:r w:rsidRPr="008A1F8D">
        <w:rPr>
          <w:vertAlign w:val="superscript"/>
          <w:lang w:val="en-US"/>
        </w:rPr>
        <w:t>1</w:t>
      </w:r>
      <w:r w:rsidRPr="00713F44">
        <w:rPr>
          <w:lang w:val="en-US"/>
        </w:rPr>
        <w:t xml:space="preserve">) </w:t>
      </w:r>
      <w:r w:rsidRPr="005A303E">
        <w:rPr>
          <w:lang w:val="en-US"/>
        </w:rPr>
        <w:t xml:space="preserve">achieved </w:t>
      </w:r>
      <w:r>
        <w:rPr>
          <w:lang w:val="en-US"/>
        </w:rPr>
        <w:t xml:space="preserve">are located </w:t>
      </w:r>
      <w:r w:rsidRPr="005A303E">
        <w:rPr>
          <w:lang w:val="en-US"/>
        </w:rPr>
        <w:t>at the top of the reactor and close to the injection point. However, as mentioned, the growth rate can be affected by photo-inhibition due to the attachment of algae in the walls of the reactor, a feature not considered in the current calculations</w:t>
      </w:r>
      <w:r>
        <w:rPr>
          <w:lang w:val="en-US"/>
        </w:rPr>
        <w:t xml:space="preserve"> but seen in the lab characterization</w:t>
      </w:r>
      <w:r w:rsidRPr="005A303E">
        <w:rPr>
          <w:lang w:val="en-US"/>
        </w:rPr>
        <w:t>.</w:t>
      </w:r>
    </w:p>
    <w:p w14:paraId="774306A6" w14:textId="5E8899B2" w:rsidR="004C17F3" w:rsidRDefault="004C17F3" w:rsidP="006060A3">
      <w:pPr>
        <w:rPr>
          <w:lang w:val="en-US"/>
        </w:rPr>
      </w:pPr>
    </w:p>
    <w:p w14:paraId="397D2F0F" w14:textId="57CE190F" w:rsidR="008B148F" w:rsidRDefault="008B148F" w:rsidP="008B148F">
      <w:pPr>
        <w:pStyle w:val="Titolo2"/>
        <w:numPr>
          <w:ilvl w:val="0"/>
          <w:numId w:val="0"/>
        </w:numPr>
        <w:rPr>
          <w:lang w:val="en-US"/>
        </w:rPr>
      </w:pPr>
      <w:r>
        <w:rPr>
          <w:lang w:val="en-US"/>
        </w:rPr>
        <w:t>Reference</w:t>
      </w:r>
    </w:p>
    <w:p w14:paraId="752A730B" w14:textId="4E6DE854" w:rsidR="00844B4D" w:rsidRPr="00844B4D" w:rsidRDefault="0067025F" w:rsidP="00844B4D">
      <w:pPr>
        <w:widowControl w:val="0"/>
        <w:autoSpaceDE w:val="0"/>
        <w:autoSpaceDN w:val="0"/>
        <w:adjustRightInd w:val="0"/>
        <w:ind w:left="640" w:hanging="640"/>
        <w:rPr>
          <w:rFonts w:cs="Times New Roman"/>
          <w:noProof/>
          <w:szCs w:val="24"/>
        </w:rPr>
      </w:pPr>
      <w:r>
        <w:rPr>
          <w:lang w:val="en-US"/>
        </w:rPr>
        <w:fldChar w:fldCharType="begin" w:fldLock="1"/>
      </w:r>
      <w:r>
        <w:rPr>
          <w:lang w:val="en-US"/>
        </w:rPr>
        <w:instrText xml:space="preserve">ADDIN Mendeley Bibliography CSL_BIBLIOGRAPHY </w:instrText>
      </w:r>
      <w:r>
        <w:rPr>
          <w:lang w:val="en-US"/>
        </w:rPr>
        <w:fldChar w:fldCharType="separate"/>
      </w:r>
      <w:r w:rsidR="00844B4D" w:rsidRPr="00844B4D">
        <w:rPr>
          <w:rFonts w:cs="Times New Roman"/>
          <w:noProof/>
          <w:szCs w:val="24"/>
        </w:rPr>
        <w:t>[1]</w:t>
      </w:r>
      <w:r w:rsidR="00844B4D" w:rsidRPr="00844B4D">
        <w:rPr>
          <w:rFonts w:cs="Times New Roman"/>
          <w:noProof/>
          <w:szCs w:val="24"/>
        </w:rPr>
        <w:tab/>
        <w:t>FCCC United Nations, Adoption of the Paris Agreement under the United Nations Framework Convention on Climate Change, FCCC/CP/2015/L.9/Rev.1, 2015.</w:t>
      </w:r>
    </w:p>
    <w:p w14:paraId="788C7630" w14:textId="77777777" w:rsidR="00844B4D" w:rsidRPr="00844B4D" w:rsidRDefault="00844B4D" w:rsidP="00844B4D">
      <w:pPr>
        <w:widowControl w:val="0"/>
        <w:autoSpaceDE w:val="0"/>
        <w:autoSpaceDN w:val="0"/>
        <w:adjustRightInd w:val="0"/>
        <w:ind w:left="640" w:hanging="640"/>
        <w:rPr>
          <w:rFonts w:cs="Times New Roman"/>
          <w:noProof/>
          <w:szCs w:val="24"/>
        </w:rPr>
      </w:pPr>
      <w:r w:rsidRPr="00844B4D">
        <w:rPr>
          <w:rFonts w:cs="Times New Roman"/>
          <w:noProof/>
          <w:szCs w:val="24"/>
        </w:rPr>
        <w:t>[2]</w:t>
      </w:r>
      <w:r w:rsidRPr="00844B4D">
        <w:rPr>
          <w:rFonts w:cs="Times New Roman"/>
          <w:noProof/>
          <w:szCs w:val="24"/>
        </w:rPr>
        <w:tab/>
        <w:t>M. Gandiglio, A. Lanzini, M. Santarelli, P. Leone, Design and balance of plant of a demonsration plant with a Solid Oxide Fuel Cell fed by biogas from Waste-water and exhaust carbon recycling for algae growth, J. Fuel Cell Sci. Technol. 11 (2013) 14. doi:10.1115/FuelCell2013-18082.</w:t>
      </w:r>
    </w:p>
    <w:p w14:paraId="3F9EFFC1" w14:textId="77777777" w:rsidR="00844B4D" w:rsidRPr="00844B4D" w:rsidRDefault="00844B4D" w:rsidP="00844B4D">
      <w:pPr>
        <w:widowControl w:val="0"/>
        <w:autoSpaceDE w:val="0"/>
        <w:autoSpaceDN w:val="0"/>
        <w:adjustRightInd w:val="0"/>
        <w:ind w:left="640" w:hanging="640"/>
        <w:rPr>
          <w:rFonts w:cs="Times New Roman"/>
          <w:noProof/>
          <w:szCs w:val="24"/>
        </w:rPr>
      </w:pPr>
      <w:r w:rsidRPr="00844B4D">
        <w:rPr>
          <w:rFonts w:cs="Times New Roman"/>
          <w:noProof/>
          <w:szCs w:val="24"/>
        </w:rPr>
        <w:t>[3]</w:t>
      </w:r>
      <w:r w:rsidRPr="00844B4D">
        <w:rPr>
          <w:rFonts w:cs="Times New Roman"/>
          <w:noProof/>
          <w:szCs w:val="24"/>
        </w:rPr>
        <w:tab/>
        <w:t>E. de Visser, C. Hendriks, G. de Koeijer, M. Barrio, S. Liljemark, A. Austegard, A. Brown, DYNAMIS CO2 quality recommendations - D 3.1.3 of Project &amp;quot;Towards Hydrogen and Electricity Production with Carbon Dioxide Capture and Storage&amp;quot;, 2007.</w:t>
      </w:r>
    </w:p>
    <w:p w14:paraId="51C673BE" w14:textId="77777777" w:rsidR="00844B4D" w:rsidRPr="00844B4D" w:rsidRDefault="00844B4D" w:rsidP="00844B4D">
      <w:pPr>
        <w:widowControl w:val="0"/>
        <w:autoSpaceDE w:val="0"/>
        <w:autoSpaceDN w:val="0"/>
        <w:adjustRightInd w:val="0"/>
        <w:ind w:left="640" w:hanging="640"/>
        <w:rPr>
          <w:rFonts w:cs="Times New Roman"/>
          <w:noProof/>
          <w:szCs w:val="24"/>
        </w:rPr>
      </w:pPr>
      <w:r w:rsidRPr="00844B4D">
        <w:rPr>
          <w:rFonts w:cs="Times New Roman"/>
          <w:noProof/>
          <w:szCs w:val="24"/>
        </w:rPr>
        <w:t>[4]</w:t>
      </w:r>
      <w:r w:rsidRPr="00844B4D">
        <w:rPr>
          <w:rFonts w:cs="Times New Roman"/>
          <w:noProof/>
          <w:szCs w:val="24"/>
        </w:rPr>
        <w:tab/>
        <w:t>A. Lanzini, M. Santarelli, P. Leone, Nominal operating condition for the AlphaSFC-5 Siemens SOFC unit with WWTU biogas fuel for Demonstration in Torino - Deliverable of Project SOFCOM, 2012.</w:t>
      </w:r>
    </w:p>
    <w:p w14:paraId="455317B1" w14:textId="77777777" w:rsidR="00844B4D" w:rsidRPr="00844B4D" w:rsidRDefault="00844B4D" w:rsidP="00844B4D">
      <w:pPr>
        <w:widowControl w:val="0"/>
        <w:autoSpaceDE w:val="0"/>
        <w:autoSpaceDN w:val="0"/>
        <w:adjustRightInd w:val="0"/>
        <w:ind w:left="640" w:hanging="640"/>
        <w:rPr>
          <w:rFonts w:cs="Times New Roman"/>
          <w:noProof/>
          <w:szCs w:val="24"/>
        </w:rPr>
      </w:pPr>
      <w:r w:rsidRPr="00844B4D">
        <w:rPr>
          <w:rFonts w:cs="Times New Roman"/>
          <w:noProof/>
          <w:szCs w:val="24"/>
        </w:rPr>
        <w:lastRenderedPageBreak/>
        <w:t>[5]</w:t>
      </w:r>
      <w:r w:rsidRPr="00844B4D">
        <w:rPr>
          <w:rFonts w:cs="Times New Roman"/>
          <w:noProof/>
          <w:szCs w:val="24"/>
        </w:rPr>
        <w:tab/>
        <w:t>J.R. Benemann, CO2 MITIGATION WITH MICROALGAE SYSTEMS, Energy Convers. Mgmt. 38 (1997) 475–479.</w:t>
      </w:r>
    </w:p>
    <w:p w14:paraId="1FC0A8B6" w14:textId="77777777" w:rsidR="00844B4D" w:rsidRPr="00844B4D" w:rsidRDefault="00844B4D" w:rsidP="00844B4D">
      <w:pPr>
        <w:widowControl w:val="0"/>
        <w:autoSpaceDE w:val="0"/>
        <w:autoSpaceDN w:val="0"/>
        <w:adjustRightInd w:val="0"/>
        <w:ind w:left="640" w:hanging="640"/>
        <w:rPr>
          <w:rFonts w:cs="Times New Roman"/>
          <w:noProof/>
          <w:szCs w:val="24"/>
        </w:rPr>
      </w:pPr>
      <w:r w:rsidRPr="00844B4D">
        <w:rPr>
          <w:rFonts w:cs="Times New Roman"/>
          <w:noProof/>
          <w:szCs w:val="24"/>
        </w:rPr>
        <w:t>[6]</w:t>
      </w:r>
      <w:r w:rsidRPr="00844B4D">
        <w:rPr>
          <w:rFonts w:cs="Times New Roman"/>
          <w:noProof/>
          <w:szCs w:val="24"/>
        </w:rPr>
        <w:tab/>
        <w:t>B. Wang, Y. Li, N. Wu, C.Q. Lan, CO2 bio-mitigation using microalgae, Appl Microbiol Biotechnol. 79 (2008) 707–718. doi:10.1007/s00253-008-1518-y.</w:t>
      </w:r>
    </w:p>
    <w:p w14:paraId="3D150591" w14:textId="77777777" w:rsidR="00844B4D" w:rsidRPr="00844B4D" w:rsidRDefault="00844B4D" w:rsidP="00844B4D">
      <w:pPr>
        <w:widowControl w:val="0"/>
        <w:autoSpaceDE w:val="0"/>
        <w:autoSpaceDN w:val="0"/>
        <w:adjustRightInd w:val="0"/>
        <w:ind w:left="640" w:hanging="640"/>
        <w:rPr>
          <w:rFonts w:cs="Times New Roman"/>
          <w:noProof/>
          <w:szCs w:val="24"/>
        </w:rPr>
      </w:pPr>
      <w:r w:rsidRPr="00844B4D">
        <w:rPr>
          <w:rFonts w:cs="Times New Roman"/>
          <w:noProof/>
          <w:szCs w:val="24"/>
        </w:rPr>
        <w:t>[7]</w:t>
      </w:r>
      <w:r w:rsidRPr="00844B4D">
        <w:rPr>
          <w:rFonts w:cs="Times New Roman"/>
          <w:noProof/>
          <w:szCs w:val="24"/>
        </w:rPr>
        <w:tab/>
        <w:t>K. Kumar, C.N. Dasgupta, B. Nayak, P. Lindblad, D. Das, Development of suitable photobioreactors for CO2 sequestration addressing global warming using green algae and cyanobacteria, Bioresour. Technol. 102 (2011) 4945–4953. doi:10.1016/j.biortech.2011.01.054.</w:t>
      </w:r>
    </w:p>
    <w:p w14:paraId="6A834F09" w14:textId="77777777" w:rsidR="00844B4D" w:rsidRPr="00844B4D" w:rsidRDefault="00844B4D" w:rsidP="00844B4D">
      <w:pPr>
        <w:widowControl w:val="0"/>
        <w:autoSpaceDE w:val="0"/>
        <w:autoSpaceDN w:val="0"/>
        <w:adjustRightInd w:val="0"/>
        <w:ind w:left="640" w:hanging="640"/>
        <w:rPr>
          <w:rFonts w:cs="Times New Roman"/>
          <w:noProof/>
          <w:szCs w:val="24"/>
        </w:rPr>
      </w:pPr>
      <w:r w:rsidRPr="00844B4D">
        <w:rPr>
          <w:rFonts w:cs="Times New Roman"/>
          <w:noProof/>
          <w:szCs w:val="24"/>
        </w:rPr>
        <w:t>[8]</w:t>
      </w:r>
      <w:r w:rsidRPr="00844B4D">
        <w:rPr>
          <w:rFonts w:cs="Times New Roman"/>
          <w:noProof/>
          <w:szCs w:val="24"/>
        </w:rPr>
        <w:tab/>
        <w:t>H.J. Silva, J.S. Pirt, Carbon Dioxide Inhibition of Photosynthetic Growth of Chlorella, J. Gen. Microbiol. 130 (1984) 2833–2838.</w:t>
      </w:r>
    </w:p>
    <w:p w14:paraId="4A7BF16C" w14:textId="77777777" w:rsidR="00844B4D" w:rsidRPr="00844B4D" w:rsidRDefault="00844B4D" w:rsidP="00844B4D">
      <w:pPr>
        <w:widowControl w:val="0"/>
        <w:autoSpaceDE w:val="0"/>
        <w:autoSpaceDN w:val="0"/>
        <w:adjustRightInd w:val="0"/>
        <w:ind w:left="640" w:hanging="640"/>
        <w:rPr>
          <w:rFonts w:cs="Times New Roman"/>
          <w:noProof/>
          <w:szCs w:val="24"/>
        </w:rPr>
      </w:pPr>
      <w:r w:rsidRPr="00844B4D">
        <w:rPr>
          <w:rFonts w:cs="Times New Roman"/>
          <w:noProof/>
          <w:szCs w:val="24"/>
        </w:rPr>
        <w:t>[9]</w:t>
      </w:r>
      <w:r w:rsidRPr="00844B4D">
        <w:rPr>
          <w:rFonts w:cs="Times New Roman"/>
          <w:noProof/>
          <w:szCs w:val="24"/>
        </w:rPr>
        <w:tab/>
        <w:t>S.-Y. Chiu, C.-Y. Kao, C.-H. Chen, T.-C. Kuan, S.-C. Ong, C.-S. Lin, Reduction of CO2 by a high-density culture of Chlorella sp. in a semicontinuous photobioreactor, Bioresour. Technol. 99 (2008) 3389–3396. doi:10.1016/j.biortech.2007.08.013.</w:t>
      </w:r>
    </w:p>
    <w:p w14:paraId="0FE99E52" w14:textId="77777777" w:rsidR="00844B4D" w:rsidRPr="00844B4D" w:rsidRDefault="00844B4D" w:rsidP="00844B4D">
      <w:pPr>
        <w:widowControl w:val="0"/>
        <w:autoSpaceDE w:val="0"/>
        <w:autoSpaceDN w:val="0"/>
        <w:adjustRightInd w:val="0"/>
        <w:ind w:left="640" w:hanging="640"/>
        <w:rPr>
          <w:rFonts w:cs="Times New Roman"/>
          <w:noProof/>
          <w:szCs w:val="24"/>
        </w:rPr>
      </w:pPr>
      <w:r w:rsidRPr="00844B4D">
        <w:rPr>
          <w:rFonts w:cs="Times New Roman"/>
          <w:noProof/>
          <w:szCs w:val="24"/>
        </w:rPr>
        <w:t>[10]</w:t>
      </w:r>
      <w:r w:rsidRPr="00844B4D">
        <w:rPr>
          <w:rFonts w:cs="Times New Roman"/>
          <w:noProof/>
          <w:szCs w:val="24"/>
        </w:rPr>
        <w:tab/>
        <w:t>J.B.K. Park, R.J. Craggs, A.N. Shilton, Wastewater treatment high rate algal ponds for biofuel production, Bioresour. Technol. 102 (2011) 35–42. doi:10.1016/j.biortech.2010.06.158.</w:t>
      </w:r>
    </w:p>
    <w:p w14:paraId="106B5A5A" w14:textId="77777777" w:rsidR="00844B4D" w:rsidRPr="00844B4D" w:rsidRDefault="00844B4D" w:rsidP="00844B4D">
      <w:pPr>
        <w:widowControl w:val="0"/>
        <w:autoSpaceDE w:val="0"/>
        <w:autoSpaceDN w:val="0"/>
        <w:adjustRightInd w:val="0"/>
        <w:ind w:left="640" w:hanging="640"/>
        <w:rPr>
          <w:rFonts w:cs="Times New Roman"/>
          <w:noProof/>
          <w:szCs w:val="24"/>
        </w:rPr>
      </w:pPr>
      <w:r w:rsidRPr="00844B4D">
        <w:rPr>
          <w:rFonts w:cs="Times New Roman"/>
          <w:noProof/>
          <w:szCs w:val="24"/>
        </w:rPr>
        <w:t>[11]</w:t>
      </w:r>
      <w:r w:rsidRPr="00844B4D">
        <w:rPr>
          <w:rFonts w:cs="Times New Roman"/>
          <w:noProof/>
          <w:szCs w:val="24"/>
        </w:rPr>
        <w:tab/>
        <w:t>Y. Li, C. Wan, Algae for Biofuels - The Ohio State University, AEX-651 Agric. Nat. Resour. (2011). http://ohioline.osu.edu/factsheet/AEX-651-11 (accessed December 29, 2016).</w:t>
      </w:r>
    </w:p>
    <w:p w14:paraId="0175E8C5" w14:textId="77777777" w:rsidR="00844B4D" w:rsidRPr="00844B4D" w:rsidRDefault="00844B4D" w:rsidP="00844B4D">
      <w:pPr>
        <w:widowControl w:val="0"/>
        <w:autoSpaceDE w:val="0"/>
        <w:autoSpaceDN w:val="0"/>
        <w:adjustRightInd w:val="0"/>
        <w:ind w:left="640" w:hanging="640"/>
        <w:rPr>
          <w:rFonts w:cs="Times New Roman"/>
          <w:noProof/>
          <w:szCs w:val="24"/>
        </w:rPr>
      </w:pPr>
      <w:r w:rsidRPr="00844B4D">
        <w:rPr>
          <w:rFonts w:cs="Times New Roman"/>
          <w:noProof/>
          <w:szCs w:val="24"/>
        </w:rPr>
        <w:t>[12]</w:t>
      </w:r>
      <w:r w:rsidRPr="00844B4D">
        <w:rPr>
          <w:rFonts w:cs="Times New Roman"/>
          <w:noProof/>
          <w:szCs w:val="24"/>
        </w:rPr>
        <w:tab/>
        <w:t>International Energy Agency- Greenhouse Gas R&amp;D Programme (IEAGHG), Corrosion and materials selection in CCS systems, 2010.</w:t>
      </w:r>
    </w:p>
    <w:p w14:paraId="236F7847" w14:textId="77777777" w:rsidR="00844B4D" w:rsidRPr="00844B4D" w:rsidRDefault="00844B4D" w:rsidP="00844B4D">
      <w:pPr>
        <w:widowControl w:val="0"/>
        <w:autoSpaceDE w:val="0"/>
        <w:autoSpaceDN w:val="0"/>
        <w:adjustRightInd w:val="0"/>
        <w:ind w:left="640" w:hanging="640"/>
        <w:rPr>
          <w:rFonts w:cs="Times New Roman"/>
          <w:noProof/>
          <w:szCs w:val="24"/>
        </w:rPr>
      </w:pPr>
      <w:r w:rsidRPr="00844B4D">
        <w:rPr>
          <w:rFonts w:cs="Times New Roman"/>
          <w:noProof/>
          <w:szCs w:val="24"/>
        </w:rPr>
        <w:t>[13]</w:t>
      </w:r>
      <w:r w:rsidRPr="00844B4D">
        <w:rPr>
          <w:rFonts w:cs="Times New Roman"/>
          <w:noProof/>
          <w:szCs w:val="24"/>
        </w:rPr>
        <w:tab/>
        <w:t>L. Buit, M. Ahmad, W. Mallon, F. Hage, CO2 EuroPipe study of the occurrence of free water in dense phase CO2 transport, Energy Procedia. 4 (2011) 3056–3062. doi:10.1016/j.egypro.2011.02.217.</w:t>
      </w:r>
    </w:p>
    <w:p w14:paraId="066603CE" w14:textId="77777777" w:rsidR="00844B4D" w:rsidRPr="00844B4D" w:rsidRDefault="00844B4D" w:rsidP="00844B4D">
      <w:pPr>
        <w:widowControl w:val="0"/>
        <w:autoSpaceDE w:val="0"/>
        <w:autoSpaceDN w:val="0"/>
        <w:adjustRightInd w:val="0"/>
        <w:ind w:left="640" w:hanging="640"/>
        <w:rPr>
          <w:rFonts w:cs="Times New Roman"/>
          <w:noProof/>
          <w:szCs w:val="24"/>
        </w:rPr>
      </w:pPr>
      <w:r w:rsidRPr="00844B4D">
        <w:rPr>
          <w:rFonts w:cs="Times New Roman"/>
          <w:noProof/>
          <w:szCs w:val="24"/>
        </w:rPr>
        <w:t>[14]</w:t>
      </w:r>
      <w:r w:rsidRPr="00844B4D">
        <w:rPr>
          <w:rFonts w:cs="Times New Roman"/>
          <w:noProof/>
          <w:szCs w:val="24"/>
        </w:rPr>
        <w:tab/>
        <w:t>D.C. Thomas, S. Benson, Carbon dioxide capture for storage in deep geologic formations: results from the CO</w:t>
      </w:r>
      <w:r w:rsidRPr="00844B4D">
        <w:rPr>
          <w:rFonts w:ascii="Cambria Math" w:hAnsi="Cambria Math" w:cs="Cambria Math"/>
          <w:noProof/>
          <w:szCs w:val="24"/>
        </w:rPr>
        <w:t>₂</w:t>
      </w:r>
      <w:r w:rsidRPr="00844B4D">
        <w:rPr>
          <w:rFonts w:cs="Times New Roman"/>
          <w:noProof/>
          <w:szCs w:val="24"/>
        </w:rPr>
        <w:t xml:space="preserve"> capture project, Elsevier, 2005.</w:t>
      </w:r>
    </w:p>
    <w:p w14:paraId="12ACA3CF" w14:textId="77777777" w:rsidR="00844B4D" w:rsidRPr="00844B4D" w:rsidRDefault="00844B4D" w:rsidP="00844B4D">
      <w:pPr>
        <w:widowControl w:val="0"/>
        <w:autoSpaceDE w:val="0"/>
        <w:autoSpaceDN w:val="0"/>
        <w:adjustRightInd w:val="0"/>
        <w:ind w:left="640" w:hanging="640"/>
        <w:rPr>
          <w:rFonts w:cs="Times New Roman"/>
          <w:noProof/>
          <w:szCs w:val="24"/>
        </w:rPr>
      </w:pPr>
      <w:r w:rsidRPr="00844B4D">
        <w:rPr>
          <w:rFonts w:cs="Times New Roman"/>
          <w:noProof/>
          <w:szCs w:val="24"/>
        </w:rPr>
        <w:t>[15]</w:t>
      </w:r>
      <w:r w:rsidRPr="00844B4D">
        <w:rPr>
          <w:rFonts w:cs="Times New Roman"/>
          <w:noProof/>
          <w:szCs w:val="24"/>
        </w:rPr>
        <w:tab/>
        <w:t>Det Norske Veritas, RECOMMENDED PRACTICE DNV-RP-J202: DESIGN AND OPERATION OF CO2 PIPELINES, 2010.</w:t>
      </w:r>
    </w:p>
    <w:p w14:paraId="0414ED3E" w14:textId="77777777" w:rsidR="00844B4D" w:rsidRPr="00844B4D" w:rsidRDefault="00844B4D" w:rsidP="00844B4D">
      <w:pPr>
        <w:widowControl w:val="0"/>
        <w:autoSpaceDE w:val="0"/>
        <w:autoSpaceDN w:val="0"/>
        <w:adjustRightInd w:val="0"/>
        <w:ind w:left="640" w:hanging="640"/>
        <w:rPr>
          <w:rFonts w:cs="Times New Roman"/>
          <w:noProof/>
          <w:szCs w:val="24"/>
        </w:rPr>
      </w:pPr>
      <w:r w:rsidRPr="00844B4D">
        <w:rPr>
          <w:rFonts w:cs="Times New Roman"/>
          <w:noProof/>
          <w:szCs w:val="24"/>
        </w:rPr>
        <w:t>[16]</w:t>
      </w:r>
      <w:r w:rsidRPr="00844B4D">
        <w:rPr>
          <w:rFonts w:cs="Times New Roman"/>
          <w:noProof/>
          <w:szCs w:val="24"/>
        </w:rPr>
        <w:tab/>
        <w:t>S.C. Singhal, K. Kendall, High-temperature solid oxide fuel cells: fundamentals, design, and applicatons, 2003.</w:t>
      </w:r>
    </w:p>
    <w:p w14:paraId="31DE25B9" w14:textId="77777777" w:rsidR="00844B4D" w:rsidRPr="00844B4D" w:rsidRDefault="00844B4D" w:rsidP="00844B4D">
      <w:pPr>
        <w:widowControl w:val="0"/>
        <w:autoSpaceDE w:val="0"/>
        <w:autoSpaceDN w:val="0"/>
        <w:adjustRightInd w:val="0"/>
        <w:ind w:left="640" w:hanging="640"/>
        <w:rPr>
          <w:rFonts w:cs="Times New Roman"/>
          <w:noProof/>
          <w:szCs w:val="24"/>
        </w:rPr>
      </w:pPr>
      <w:r w:rsidRPr="00844B4D">
        <w:rPr>
          <w:rFonts w:cs="Times New Roman"/>
          <w:noProof/>
          <w:szCs w:val="24"/>
        </w:rPr>
        <w:t>[17]</w:t>
      </w:r>
      <w:r w:rsidRPr="00844B4D">
        <w:rPr>
          <w:rFonts w:cs="Times New Roman"/>
          <w:noProof/>
          <w:szCs w:val="24"/>
        </w:rPr>
        <w:tab/>
        <w:t>F. Curletti, M. Gandiglio, A. Lanzini, M. Santarelli, F. Maréchal, Large size biogas-fed Solid Oxide Fuel Cell power plants with carbon dioxide management : Technical and economic optimization, J. Power Sources. 294 (2015) 669–690. doi:10.1016/j.jpowsour.2015.06.091.</w:t>
      </w:r>
    </w:p>
    <w:p w14:paraId="325A0343" w14:textId="77777777" w:rsidR="00844B4D" w:rsidRPr="00844B4D" w:rsidRDefault="00844B4D" w:rsidP="00844B4D">
      <w:pPr>
        <w:widowControl w:val="0"/>
        <w:autoSpaceDE w:val="0"/>
        <w:autoSpaceDN w:val="0"/>
        <w:adjustRightInd w:val="0"/>
        <w:ind w:left="640" w:hanging="640"/>
        <w:rPr>
          <w:rFonts w:cs="Times New Roman"/>
          <w:noProof/>
          <w:szCs w:val="24"/>
        </w:rPr>
      </w:pPr>
      <w:r w:rsidRPr="00844B4D">
        <w:rPr>
          <w:rFonts w:cs="Times New Roman"/>
          <w:noProof/>
          <w:szCs w:val="24"/>
        </w:rPr>
        <w:lastRenderedPageBreak/>
        <w:t>[18]</w:t>
      </w:r>
      <w:r w:rsidRPr="00844B4D">
        <w:rPr>
          <w:rFonts w:cs="Times New Roman"/>
          <w:noProof/>
          <w:szCs w:val="24"/>
        </w:rPr>
        <w:tab/>
        <w:t>R. Slade, A. Bauen, Micro-algae cultivation for biofuels : Cost , energy balance , environmental impacts and future prospects, Biomass and Bioenergy. 53 (2013) 29–38. doi:10.1016/j.biombioe.2012.12.019.</w:t>
      </w:r>
    </w:p>
    <w:p w14:paraId="423BE364" w14:textId="77777777" w:rsidR="00844B4D" w:rsidRPr="00844B4D" w:rsidRDefault="00844B4D" w:rsidP="00844B4D">
      <w:pPr>
        <w:widowControl w:val="0"/>
        <w:autoSpaceDE w:val="0"/>
        <w:autoSpaceDN w:val="0"/>
        <w:adjustRightInd w:val="0"/>
        <w:ind w:left="640" w:hanging="640"/>
        <w:rPr>
          <w:rFonts w:cs="Times New Roman"/>
          <w:noProof/>
          <w:szCs w:val="24"/>
        </w:rPr>
      </w:pPr>
      <w:r w:rsidRPr="00844B4D">
        <w:rPr>
          <w:rFonts w:cs="Times New Roman"/>
          <w:noProof/>
          <w:szCs w:val="24"/>
        </w:rPr>
        <w:t>[19]</w:t>
      </w:r>
      <w:r w:rsidRPr="00844B4D">
        <w:rPr>
          <w:rFonts w:cs="Times New Roman"/>
          <w:noProof/>
          <w:szCs w:val="24"/>
        </w:rPr>
        <w:tab/>
        <w:t>C.-Y. Chen, K.-L. Yeh, R. Aisyah, D.-J. Lee, J.-S. Chang, Cultivation, photobioreactor design and harvesting of microalgae for biodiesel production: A critical review, Bioresour. Technol. 102 (2011) 71–81. doi:10.1016/j.biortech.2010.06.159.</w:t>
      </w:r>
    </w:p>
    <w:p w14:paraId="0E8F3E72" w14:textId="77777777" w:rsidR="00844B4D" w:rsidRPr="00844B4D" w:rsidRDefault="00844B4D" w:rsidP="00844B4D">
      <w:pPr>
        <w:widowControl w:val="0"/>
        <w:autoSpaceDE w:val="0"/>
        <w:autoSpaceDN w:val="0"/>
        <w:adjustRightInd w:val="0"/>
        <w:ind w:left="640" w:hanging="640"/>
        <w:rPr>
          <w:rFonts w:cs="Times New Roman"/>
          <w:noProof/>
          <w:szCs w:val="24"/>
        </w:rPr>
      </w:pPr>
      <w:r w:rsidRPr="00844B4D">
        <w:rPr>
          <w:rFonts w:cs="Times New Roman"/>
          <w:noProof/>
          <w:szCs w:val="24"/>
        </w:rPr>
        <w:t>[20]</w:t>
      </w:r>
      <w:r w:rsidRPr="00844B4D">
        <w:rPr>
          <w:rFonts w:cs="Times New Roman"/>
          <w:noProof/>
          <w:szCs w:val="24"/>
        </w:rPr>
        <w:tab/>
        <w:t>M.R. Tredici, N. Bassi, M. Prussi, N. Biondi, L. Rodolfi, G.C. Zittelli, G. Sampietro, Energy balance of algal biomass production in a 1-ha Green Wall Panel plant: How to produce algal biomass in a closed reactor achieving a high Net Energy Ratio, Appl. Energy. 154 (2015) 1103–1111. doi:10.1016/j.apenergy.2015.01.086.</w:t>
      </w:r>
    </w:p>
    <w:p w14:paraId="285B65BF" w14:textId="77777777" w:rsidR="00844B4D" w:rsidRPr="00844B4D" w:rsidRDefault="00844B4D" w:rsidP="00844B4D">
      <w:pPr>
        <w:widowControl w:val="0"/>
        <w:autoSpaceDE w:val="0"/>
        <w:autoSpaceDN w:val="0"/>
        <w:adjustRightInd w:val="0"/>
        <w:ind w:left="640" w:hanging="640"/>
        <w:rPr>
          <w:rFonts w:cs="Times New Roman"/>
          <w:noProof/>
          <w:szCs w:val="24"/>
        </w:rPr>
      </w:pPr>
      <w:r w:rsidRPr="00844B4D">
        <w:rPr>
          <w:rFonts w:cs="Times New Roman"/>
          <w:noProof/>
          <w:szCs w:val="24"/>
        </w:rPr>
        <w:t>[21]</w:t>
      </w:r>
      <w:r w:rsidRPr="00844B4D">
        <w:rPr>
          <w:rFonts w:cs="Times New Roman"/>
          <w:noProof/>
          <w:szCs w:val="24"/>
        </w:rPr>
        <w:tab/>
        <w:t>N.-H. Norsker, M.J. Barbosa, M.H. Vermuë, R.H. Wijffels, On Energy Balance and Production Costs in Tubular and Flat Panel Photobioreactors, SCHWERPUNKT. 1 (2012).</w:t>
      </w:r>
    </w:p>
    <w:p w14:paraId="555B0B0E" w14:textId="77777777" w:rsidR="00844B4D" w:rsidRPr="00844B4D" w:rsidRDefault="00844B4D" w:rsidP="00844B4D">
      <w:pPr>
        <w:widowControl w:val="0"/>
        <w:autoSpaceDE w:val="0"/>
        <w:autoSpaceDN w:val="0"/>
        <w:adjustRightInd w:val="0"/>
        <w:ind w:left="640" w:hanging="640"/>
        <w:rPr>
          <w:rFonts w:cs="Times New Roman"/>
          <w:noProof/>
          <w:szCs w:val="24"/>
        </w:rPr>
      </w:pPr>
      <w:r w:rsidRPr="00844B4D">
        <w:rPr>
          <w:rFonts w:cs="Times New Roman"/>
          <w:noProof/>
          <w:szCs w:val="24"/>
        </w:rPr>
        <w:t>[22]</w:t>
      </w:r>
      <w:r w:rsidRPr="00844B4D">
        <w:rPr>
          <w:rFonts w:cs="Times New Roman"/>
          <w:noProof/>
          <w:szCs w:val="24"/>
        </w:rPr>
        <w:tab/>
        <w:t>E. Sevigné Itoiz, C. Fuentes-Grü Newald, C.M. Gasol, E. Garcés, E. Alacid, S. Rossi, J. Rieradevall, Energy balance and environmental impact analysis of marine microalgal biomass production for biodiesel generation in a photobioreactor pilot plant, Biomass and Bioenergy. 39 (2012) 324–335. doi:10.1016/j.biombioe.2012.01.026.</w:t>
      </w:r>
    </w:p>
    <w:p w14:paraId="20C3FA8B" w14:textId="77777777" w:rsidR="00844B4D" w:rsidRPr="00844B4D" w:rsidRDefault="00844B4D" w:rsidP="00844B4D">
      <w:pPr>
        <w:widowControl w:val="0"/>
        <w:autoSpaceDE w:val="0"/>
        <w:autoSpaceDN w:val="0"/>
        <w:adjustRightInd w:val="0"/>
        <w:ind w:left="640" w:hanging="640"/>
        <w:rPr>
          <w:rFonts w:cs="Times New Roman"/>
          <w:noProof/>
          <w:szCs w:val="24"/>
        </w:rPr>
      </w:pPr>
      <w:r w:rsidRPr="00844B4D">
        <w:rPr>
          <w:rFonts w:cs="Times New Roman"/>
          <w:noProof/>
          <w:szCs w:val="24"/>
        </w:rPr>
        <w:t>[23]</w:t>
      </w:r>
      <w:r w:rsidRPr="00844B4D">
        <w:rPr>
          <w:rFonts w:cs="Times New Roman"/>
          <w:noProof/>
          <w:szCs w:val="24"/>
        </w:rPr>
        <w:tab/>
        <w:t>D.J. MacKay, Sustainable Energy - without the hot air (Version 3.5.2. November 3), 2009.</w:t>
      </w:r>
    </w:p>
    <w:p w14:paraId="196F73E6" w14:textId="77777777" w:rsidR="00844B4D" w:rsidRPr="00844B4D" w:rsidRDefault="00844B4D" w:rsidP="00844B4D">
      <w:pPr>
        <w:widowControl w:val="0"/>
        <w:autoSpaceDE w:val="0"/>
        <w:autoSpaceDN w:val="0"/>
        <w:adjustRightInd w:val="0"/>
        <w:ind w:left="640" w:hanging="640"/>
        <w:rPr>
          <w:rFonts w:cs="Times New Roman"/>
          <w:noProof/>
          <w:szCs w:val="24"/>
        </w:rPr>
      </w:pPr>
      <w:r w:rsidRPr="00844B4D">
        <w:rPr>
          <w:rFonts w:cs="Times New Roman"/>
          <w:noProof/>
          <w:szCs w:val="24"/>
        </w:rPr>
        <w:t>[24]</w:t>
      </w:r>
      <w:r w:rsidRPr="00844B4D">
        <w:rPr>
          <w:rFonts w:cs="Times New Roman"/>
          <w:noProof/>
          <w:szCs w:val="24"/>
        </w:rPr>
        <w:tab/>
        <w:t>M. Santarelli, A. Lanzini, M. Gandiglio, Technical report on the potential impact of biogas exploitation with the SOFC technology in waste-water treatment plants - Deliverable 4.5 of SOFCOM Project n° 278798 “SOFC CHP WITH POLY-FUEL: OPERATION AND MAINTENANCE,” 2014.</w:t>
      </w:r>
    </w:p>
    <w:p w14:paraId="63BE0A61" w14:textId="77777777" w:rsidR="00844B4D" w:rsidRPr="00844B4D" w:rsidRDefault="00844B4D" w:rsidP="00844B4D">
      <w:pPr>
        <w:widowControl w:val="0"/>
        <w:autoSpaceDE w:val="0"/>
        <w:autoSpaceDN w:val="0"/>
        <w:adjustRightInd w:val="0"/>
        <w:ind w:left="640" w:hanging="640"/>
        <w:rPr>
          <w:rFonts w:cs="Times New Roman"/>
          <w:noProof/>
          <w:szCs w:val="24"/>
        </w:rPr>
      </w:pPr>
      <w:r w:rsidRPr="00844B4D">
        <w:rPr>
          <w:rFonts w:cs="Times New Roman"/>
          <w:noProof/>
          <w:szCs w:val="24"/>
        </w:rPr>
        <w:t>[25]</w:t>
      </w:r>
      <w:r w:rsidRPr="00844B4D">
        <w:rPr>
          <w:rFonts w:cs="Times New Roman"/>
          <w:noProof/>
          <w:szCs w:val="24"/>
        </w:rPr>
        <w:tab/>
        <w:t>R.N. Singh, S. Sharma, Development of suitable photobioreactor for algae production – A review, Renew. Sustain. Energy Rev. 16 (2012) 2347–2353. doi:10.1016/j.rser.2012.01.026.</w:t>
      </w:r>
    </w:p>
    <w:p w14:paraId="0CA1248D" w14:textId="77777777" w:rsidR="00844B4D" w:rsidRPr="00844B4D" w:rsidRDefault="00844B4D" w:rsidP="00844B4D">
      <w:pPr>
        <w:widowControl w:val="0"/>
        <w:autoSpaceDE w:val="0"/>
        <w:autoSpaceDN w:val="0"/>
        <w:adjustRightInd w:val="0"/>
        <w:ind w:left="640" w:hanging="640"/>
        <w:rPr>
          <w:rFonts w:cs="Times New Roman"/>
          <w:noProof/>
          <w:szCs w:val="24"/>
        </w:rPr>
      </w:pPr>
      <w:r w:rsidRPr="00844B4D">
        <w:rPr>
          <w:rFonts w:cs="Times New Roman"/>
          <w:noProof/>
          <w:szCs w:val="24"/>
        </w:rPr>
        <w:t>[26]</w:t>
      </w:r>
      <w:r w:rsidRPr="00844B4D">
        <w:rPr>
          <w:rFonts w:cs="Times New Roman"/>
          <w:noProof/>
          <w:szCs w:val="24"/>
        </w:rPr>
        <w:tab/>
        <w:t>P.-F. HSU, W.D. EVANS, J.R. HOWELL, Experimental and Numerical Study of Premixed Combustion Within Nonhomogeneous Porous Ceramics, Combust. Sci. Technol. 90 (1993) 149–172. doi:10.1080/00102209308907608.</w:t>
      </w:r>
    </w:p>
    <w:p w14:paraId="1D03EBA0" w14:textId="77777777" w:rsidR="00844B4D" w:rsidRPr="00844B4D" w:rsidRDefault="00844B4D" w:rsidP="00844B4D">
      <w:pPr>
        <w:widowControl w:val="0"/>
        <w:autoSpaceDE w:val="0"/>
        <w:autoSpaceDN w:val="0"/>
        <w:adjustRightInd w:val="0"/>
        <w:ind w:left="640" w:hanging="640"/>
        <w:rPr>
          <w:rFonts w:cs="Times New Roman"/>
          <w:noProof/>
          <w:szCs w:val="24"/>
        </w:rPr>
      </w:pPr>
      <w:r w:rsidRPr="00844B4D">
        <w:rPr>
          <w:rFonts w:cs="Times New Roman"/>
          <w:noProof/>
          <w:szCs w:val="24"/>
        </w:rPr>
        <w:t>[27]</w:t>
      </w:r>
      <w:r w:rsidRPr="00844B4D">
        <w:rPr>
          <w:rFonts w:cs="Times New Roman"/>
          <w:noProof/>
          <w:szCs w:val="24"/>
        </w:rPr>
        <w:tab/>
        <w:t>X.Y. Zhou, J.C.F. Pereira, Comparison of four combustion models for simulating the premixed combustion in inert porous media, Fire Mater. 22 (1998) 187–197. doi:10.1002/(SICI)1099-1018(199809/10)22:5&lt;187::AID-FAM652&gt;3.0.CO;2-T.</w:t>
      </w:r>
    </w:p>
    <w:p w14:paraId="3A7307A8" w14:textId="77777777" w:rsidR="00844B4D" w:rsidRPr="00844B4D" w:rsidRDefault="00844B4D" w:rsidP="00844B4D">
      <w:pPr>
        <w:widowControl w:val="0"/>
        <w:autoSpaceDE w:val="0"/>
        <w:autoSpaceDN w:val="0"/>
        <w:adjustRightInd w:val="0"/>
        <w:ind w:left="640" w:hanging="640"/>
        <w:rPr>
          <w:rFonts w:cs="Times New Roman"/>
          <w:noProof/>
          <w:szCs w:val="24"/>
        </w:rPr>
      </w:pPr>
      <w:r w:rsidRPr="00844B4D">
        <w:rPr>
          <w:rFonts w:cs="Times New Roman"/>
          <w:noProof/>
          <w:szCs w:val="24"/>
        </w:rPr>
        <w:t>[28]</w:t>
      </w:r>
      <w:r w:rsidRPr="00844B4D">
        <w:rPr>
          <w:rFonts w:cs="Times New Roman"/>
          <w:noProof/>
          <w:szCs w:val="24"/>
        </w:rPr>
        <w:tab/>
        <w:t>S.G. Davis, A. V Joshi, H. Wang, F. Egolfopoulos, An optimized kinetic model of H2/CO combustion, Proc. Combust. Inst. 30 (2005) 1283–1292. doi:10.1016/j.proci.2004.08.252.</w:t>
      </w:r>
    </w:p>
    <w:p w14:paraId="69F98A27" w14:textId="77777777" w:rsidR="00844B4D" w:rsidRPr="00844B4D" w:rsidRDefault="00844B4D" w:rsidP="00844B4D">
      <w:pPr>
        <w:widowControl w:val="0"/>
        <w:autoSpaceDE w:val="0"/>
        <w:autoSpaceDN w:val="0"/>
        <w:adjustRightInd w:val="0"/>
        <w:ind w:left="640" w:hanging="640"/>
        <w:rPr>
          <w:rFonts w:cs="Times New Roman"/>
          <w:noProof/>
          <w:szCs w:val="24"/>
        </w:rPr>
      </w:pPr>
      <w:r w:rsidRPr="00844B4D">
        <w:rPr>
          <w:rFonts w:cs="Times New Roman"/>
          <w:noProof/>
          <w:szCs w:val="24"/>
        </w:rPr>
        <w:lastRenderedPageBreak/>
        <w:t>[29]</w:t>
      </w:r>
      <w:r w:rsidRPr="00844B4D">
        <w:rPr>
          <w:rFonts w:cs="Times New Roman"/>
          <w:noProof/>
          <w:szCs w:val="24"/>
        </w:rPr>
        <w:tab/>
        <w:t>M. MENDES, J. PEREIRA, J. PEREIRA, On the stability of ultra-lean H2/CO combustion in inert porous burners</w:t>
      </w:r>
      <w:r w:rsidRPr="00844B4D">
        <w:rPr>
          <w:rFonts w:ascii="Segoe UI Symbol" w:hAnsi="Segoe UI Symbol" w:cs="Segoe UI Symbol"/>
          <w:noProof/>
          <w:szCs w:val="24"/>
        </w:rPr>
        <w:t>☆</w:t>
      </w:r>
      <w:r w:rsidRPr="00844B4D">
        <w:rPr>
          <w:rFonts w:cs="Times New Roman"/>
          <w:noProof/>
          <w:szCs w:val="24"/>
        </w:rPr>
        <w:t>, Int. J. Hydrogen Energy. 33 (2008) 3416–3425. doi:10.1016/j.ijhydene.2008.04.019.</w:t>
      </w:r>
    </w:p>
    <w:p w14:paraId="2535D702" w14:textId="77777777" w:rsidR="00844B4D" w:rsidRPr="00844B4D" w:rsidRDefault="00844B4D" w:rsidP="00844B4D">
      <w:pPr>
        <w:widowControl w:val="0"/>
        <w:autoSpaceDE w:val="0"/>
        <w:autoSpaceDN w:val="0"/>
        <w:adjustRightInd w:val="0"/>
        <w:ind w:left="640" w:hanging="640"/>
        <w:rPr>
          <w:rFonts w:cs="Times New Roman"/>
          <w:noProof/>
          <w:szCs w:val="24"/>
        </w:rPr>
      </w:pPr>
      <w:r w:rsidRPr="00844B4D">
        <w:rPr>
          <w:rFonts w:cs="Times New Roman"/>
          <w:noProof/>
          <w:szCs w:val="24"/>
        </w:rPr>
        <w:t>[30]</w:t>
      </w:r>
      <w:r w:rsidRPr="00844B4D">
        <w:rPr>
          <w:rFonts w:cs="Times New Roman"/>
          <w:noProof/>
          <w:szCs w:val="24"/>
        </w:rPr>
        <w:tab/>
        <w:t>T.C. Hayashi, Multidimensional modeling and calculation of combustion In porous media, 2005.</w:t>
      </w:r>
    </w:p>
    <w:p w14:paraId="1D861D3A" w14:textId="77777777" w:rsidR="00844B4D" w:rsidRPr="00844B4D" w:rsidRDefault="00844B4D" w:rsidP="00844B4D">
      <w:pPr>
        <w:widowControl w:val="0"/>
        <w:autoSpaceDE w:val="0"/>
        <w:autoSpaceDN w:val="0"/>
        <w:adjustRightInd w:val="0"/>
        <w:ind w:left="640" w:hanging="640"/>
        <w:rPr>
          <w:rFonts w:cs="Times New Roman"/>
          <w:noProof/>
          <w:szCs w:val="24"/>
        </w:rPr>
      </w:pPr>
      <w:r w:rsidRPr="00844B4D">
        <w:rPr>
          <w:rFonts w:cs="Times New Roman"/>
          <w:noProof/>
          <w:szCs w:val="24"/>
        </w:rPr>
        <w:t>[31]</w:t>
      </w:r>
      <w:r w:rsidRPr="00844B4D">
        <w:rPr>
          <w:rFonts w:cs="Times New Roman"/>
          <w:noProof/>
          <w:szCs w:val="24"/>
        </w:rPr>
        <w:tab/>
        <w:t>J.C.F. Pereira, I. Malico, T.C. Hayashi, J. Raposo, Experimental and numerical characterization of the transverse dispersion at the exit of a short ceramic foam inside a pipe, Int. J. Heat Mass Transf. 48 (2005) 1–14. doi:10.1016/j.ijheatmasstransfer.2004.08.001.</w:t>
      </w:r>
    </w:p>
    <w:p w14:paraId="3D1C0812" w14:textId="77777777" w:rsidR="00844B4D" w:rsidRPr="00844B4D" w:rsidRDefault="00844B4D" w:rsidP="00844B4D">
      <w:pPr>
        <w:widowControl w:val="0"/>
        <w:autoSpaceDE w:val="0"/>
        <w:autoSpaceDN w:val="0"/>
        <w:adjustRightInd w:val="0"/>
        <w:ind w:left="640" w:hanging="640"/>
        <w:rPr>
          <w:rFonts w:cs="Times New Roman"/>
          <w:noProof/>
          <w:szCs w:val="24"/>
        </w:rPr>
      </w:pPr>
      <w:r w:rsidRPr="00844B4D">
        <w:rPr>
          <w:rFonts w:cs="Times New Roman"/>
          <w:noProof/>
          <w:szCs w:val="24"/>
        </w:rPr>
        <w:t>[32]</w:t>
      </w:r>
      <w:r w:rsidRPr="00844B4D">
        <w:rPr>
          <w:rFonts w:cs="Times New Roman"/>
          <w:noProof/>
          <w:szCs w:val="24"/>
        </w:rPr>
        <w:tab/>
        <w:t>D.L. Koch, J.F. Brady, Dispersion in fixed beds, J. Fluid Mech. 154 (1985) 399. doi:10.1017/S0022112085001598.</w:t>
      </w:r>
    </w:p>
    <w:p w14:paraId="776E77BF" w14:textId="77777777" w:rsidR="00844B4D" w:rsidRPr="00844B4D" w:rsidRDefault="00844B4D" w:rsidP="00844B4D">
      <w:pPr>
        <w:widowControl w:val="0"/>
        <w:autoSpaceDE w:val="0"/>
        <w:autoSpaceDN w:val="0"/>
        <w:adjustRightInd w:val="0"/>
        <w:ind w:left="640" w:hanging="640"/>
        <w:rPr>
          <w:rFonts w:cs="Times New Roman"/>
          <w:noProof/>
          <w:szCs w:val="24"/>
        </w:rPr>
      </w:pPr>
      <w:r w:rsidRPr="00844B4D">
        <w:rPr>
          <w:rFonts w:cs="Times New Roman"/>
          <w:noProof/>
          <w:szCs w:val="24"/>
        </w:rPr>
        <w:t>[33]</w:t>
      </w:r>
      <w:r w:rsidRPr="00844B4D">
        <w:rPr>
          <w:rFonts w:cs="Times New Roman"/>
          <w:noProof/>
          <w:szCs w:val="24"/>
        </w:rPr>
        <w:tab/>
        <w:t>J.R. Howell, M.J. Hall, J.L. Ellzey, Combustion of hydrocarbon fuels within porous inert media, Prog. Energy Combust. Sci. 22 (1996) 121–145. doi:10.1016/0360-1285(96)00001-9.</w:t>
      </w:r>
    </w:p>
    <w:p w14:paraId="63F4D917" w14:textId="77777777" w:rsidR="00844B4D" w:rsidRPr="00844B4D" w:rsidRDefault="00844B4D" w:rsidP="00844B4D">
      <w:pPr>
        <w:widowControl w:val="0"/>
        <w:autoSpaceDE w:val="0"/>
        <w:autoSpaceDN w:val="0"/>
        <w:adjustRightInd w:val="0"/>
        <w:ind w:left="640" w:hanging="640"/>
        <w:rPr>
          <w:rFonts w:cs="Times New Roman"/>
          <w:noProof/>
          <w:szCs w:val="24"/>
        </w:rPr>
      </w:pPr>
      <w:r w:rsidRPr="00844B4D">
        <w:rPr>
          <w:rFonts w:cs="Times New Roman"/>
          <w:noProof/>
          <w:szCs w:val="24"/>
        </w:rPr>
        <w:t>[34]</w:t>
      </w:r>
      <w:r w:rsidRPr="00844B4D">
        <w:rPr>
          <w:rFonts w:cs="Times New Roman"/>
          <w:noProof/>
          <w:szCs w:val="24"/>
        </w:rPr>
        <w:tab/>
        <w:t>W. Azzi, W.L. Roberts, A. Rabiei, A study on pressure drop and heat transfer in open cell metal foams for jet engine applications, Mater. Des. 28 (2007) 569–574. doi:10.1016/j.matdes.2005.08.002.</w:t>
      </w:r>
    </w:p>
    <w:p w14:paraId="43392730" w14:textId="77777777" w:rsidR="00844B4D" w:rsidRPr="00844B4D" w:rsidRDefault="00844B4D" w:rsidP="00844B4D">
      <w:pPr>
        <w:widowControl w:val="0"/>
        <w:autoSpaceDE w:val="0"/>
        <w:autoSpaceDN w:val="0"/>
        <w:adjustRightInd w:val="0"/>
        <w:ind w:left="640" w:hanging="640"/>
        <w:rPr>
          <w:rFonts w:cs="Times New Roman"/>
          <w:noProof/>
          <w:szCs w:val="24"/>
        </w:rPr>
      </w:pPr>
      <w:r w:rsidRPr="00844B4D">
        <w:rPr>
          <w:rFonts w:cs="Times New Roman"/>
          <w:noProof/>
          <w:szCs w:val="24"/>
        </w:rPr>
        <w:t>[35]</w:t>
      </w:r>
      <w:r w:rsidRPr="00844B4D">
        <w:rPr>
          <w:rFonts w:cs="Times New Roman"/>
          <w:noProof/>
          <w:szCs w:val="24"/>
        </w:rPr>
        <w:tab/>
        <w:t>N. Dukhan, P. Patel, Equivalent particle diameter and length scale for pressure drop in porous metals, Exp. Therm. Fluid Sci. 32 (2008) 1059–1067. doi:10.1016/j.expthermflusci.2007.12.001.</w:t>
      </w:r>
    </w:p>
    <w:p w14:paraId="02A1427E" w14:textId="77777777" w:rsidR="00844B4D" w:rsidRPr="00844B4D" w:rsidRDefault="00844B4D" w:rsidP="00844B4D">
      <w:pPr>
        <w:widowControl w:val="0"/>
        <w:autoSpaceDE w:val="0"/>
        <w:autoSpaceDN w:val="0"/>
        <w:adjustRightInd w:val="0"/>
        <w:ind w:left="640" w:hanging="640"/>
        <w:rPr>
          <w:rFonts w:cs="Times New Roman"/>
          <w:noProof/>
          <w:szCs w:val="24"/>
        </w:rPr>
      </w:pPr>
      <w:r w:rsidRPr="00844B4D">
        <w:rPr>
          <w:rFonts w:cs="Times New Roman"/>
          <w:noProof/>
          <w:szCs w:val="24"/>
        </w:rPr>
        <w:t>[36]</w:t>
      </w:r>
      <w:r w:rsidRPr="00844B4D">
        <w:rPr>
          <w:rFonts w:cs="Times New Roman"/>
          <w:noProof/>
          <w:szCs w:val="24"/>
        </w:rPr>
        <w:tab/>
        <w:t>N. Dukhan, M. Ali, Strong wall and transverse size effects on pressure drop of flow through open-cell metal foam, Int. J. Therm. Sci. 57 (2012) 85–91. doi:10.1016/j.ijthermalsci.2012.02.017.</w:t>
      </w:r>
    </w:p>
    <w:p w14:paraId="7F809E62" w14:textId="77777777" w:rsidR="00844B4D" w:rsidRPr="00844B4D" w:rsidRDefault="00844B4D" w:rsidP="00844B4D">
      <w:pPr>
        <w:widowControl w:val="0"/>
        <w:autoSpaceDE w:val="0"/>
        <w:autoSpaceDN w:val="0"/>
        <w:adjustRightInd w:val="0"/>
        <w:ind w:left="640" w:hanging="640"/>
        <w:rPr>
          <w:rFonts w:cs="Times New Roman"/>
          <w:noProof/>
          <w:szCs w:val="24"/>
        </w:rPr>
      </w:pPr>
      <w:r w:rsidRPr="00844B4D">
        <w:rPr>
          <w:rFonts w:cs="Times New Roman"/>
          <w:noProof/>
          <w:szCs w:val="24"/>
        </w:rPr>
        <w:t>[37]</w:t>
      </w:r>
      <w:r w:rsidRPr="00844B4D">
        <w:rPr>
          <w:rFonts w:cs="Times New Roman"/>
          <w:noProof/>
          <w:szCs w:val="24"/>
        </w:rPr>
        <w:tab/>
        <w:t>S. Mancin, C. Zilio, A. Cavallini, L. Rossetto, Pressure drop during air flow in aluminum foams, Int. J. Heat Mass Transf. 53 (2010) 3121–3130. doi:10.1016/j.ijheatmasstransfer.2010.03.015.</w:t>
      </w:r>
    </w:p>
    <w:p w14:paraId="044901CE" w14:textId="77777777" w:rsidR="00844B4D" w:rsidRPr="00844B4D" w:rsidRDefault="00844B4D" w:rsidP="00844B4D">
      <w:pPr>
        <w:widowControl w:val="0"/>
        <w:autoSpaceDE w:val="0"/>
        <w:autoSpaceDN w:val="0"/>
        <w:adjustRightInd w:val="0"/>
        <w:ind w:left="640" w:hanging="640"/>
        <w:rPr>
          <w:rFonts w:cs="Times New Roman"/>
          <w:noProof/>
          <w:szCs w:val="24"/>
        </w:rPr>
      </w:pPr>
      <w:r w:rsidRPr="00844B4D">
        <w:rPr>
          <w:rFonts w:cs="Times New Roman"/>
          <w:noProof/>
          <w:szCs w:val="24"/>
        </w:rPr>
        <w:t>[38]</w:t>
      </w:r>
      <w:r w:rsidRPr="00844B4D">
        <w:rPr>
          <w:rFonts w:cs="Times New Roman"/>
          <w:noProof/>
          <w:szCs w:val="24"/>
        </w:rPr>
        <w:tab/>
        <w:t>VDI, LV Software for Pressure Vessel Design and Heat Exchanger Design - 10th Edition - System Version 8.3, (2006).</w:t>
      </w:r>
    </w:p>
    <w:p w14:paraId="7FD6EB1D" w14:textId="77777777" w:rsidR="00844B4D" w:rsidRPr="00844B4D" w:rsidRDefault="00844B4D" w:rsidP="00844B4D">
      <w:pPr>
        <w:widowControl w:val="0"/>
        <w:autoSpaceDE w:val="0"/>
        <w:autoSpaceDN w:val="0"/>
        <w:adjustRightInd w:val="0"/>
        <w:ind w:left="640" w:hanging="640"/>
        <w:rPr>
          <w:rFonts w:cs="Times New Roman"/>
          <w:noProof/>
          <w:szCs w:val="24"/>
        </w:rPr>
      </w:pPr>
      <w:r w:rsidRPr="00844B4D">
        <w:rPr>
          <w:rFonts w:cs="Times New Roman"/>
          <w:noProof/>
          <w:szCs w:val="24"/>
        </w:rPr>
        <w:t>[39]</w:t>
      </w:r>
      <w:r w:rsidRPr="00844B4D">
        <w:rPr>
          <w:rFonts w:cs="Times New Roman"/>
          <w:noProof/>
          <w:szCs w:val="24"/>
        </w:rPr>
        <w:tab/>
        <w:t>J.D. Smith, A.A. Neto, S. Cremaschi, D.W. Crunkleton, CFD-Based Optimization of a Flooded Bed Algae Bioreactor, Ind. Eng. Chem. Res. 52 (2013) 7181–7188. doi:10.1021/ie302478d.</w:t>
      </w:r>
    </w:p>
    <w:p w14:paraId="7306A8F9" w14:textId="77777777" w:rsidR="00844B4D" w:rsidRPr="00844B4D" w:rsidRDefault="00844B4D" w:rsidP="00844B4D">
      <w:pPr>
        <w:widowControl w:val="0"/>
        <w:autoSpaceDE w:val="0"/>
        <w:autoSpaceDN w:val="0"/>
        <w:adjustRightInd w:val="0"/>
        <w:ind w:left="640" w:hanging="640"/>
        <w:rPr>
          <w:rFonts w:cs="Times New Roman"/>
          <w:noProof/>
          <w:szCs w:val="24"/>
        </w:rPr>
      </w:pPr>
      <w:r w:rsidRPr="00844B4D">
        <w:rPr>
          <w:rFonts w:cs="Times New Roman"/>
          <w:noProof/>
          <w:szCs w:val="24"/>
        </w:rPr>
        <w:t>[40]</w:t>
      </w:r>
      <w:r w:rsidRPr="00844B4D">
        <w:rPr>
          <w:rFonts w:cs="Times New Roman"/>
          <w:noProof/>
          <w:szCs w:val="24"/>
        </w:rPr>
        <w:tab/>
        <w:t>P. Valiorgue, M. El Hajem, A. Vassilev, V. Botton, H. Ben Hadid, Elongated gas bubble dissolution under a turbulent liquid flow, Chem. Eng. Process. 50 (2011) 854–858. doi:10.1016/j.cep.2011.05.005.</w:t>
      </w:r>
    </w:p>
    <w:p w14:paraId="618D58F5" w14:textId="77777777" w:rsidR="00844B4D" w:rsidRPr="00844B4D" w:rsidRDefault="00844B4D" w:rsidP="00844B4D">
      <w:pPr>
        <w:widowControl w:val="0"/>
        <w:autoSpaceDE w:val="0"/>
        <w:autoSpaceDN w:val="0"/>
        <w:adjustRightInd w:val="0"/>
        <w:ind w:left="640" w:hanging="640"/>
        <w:rPr>
          <w:rFonts w:cs="Times New Roman"/>
          <w:noProof/>
        </w:rPr>
      </w:pPr>
      <w:r w:rsidRPr="00844B4D">
        <w:rPr>
          <w:rFonts w:cs="Times New Roman"/>
          <w:noProof/>
          <w:szCs w:val="24"/>
        </w:rPr>
        <w:t>[41]</w:t>
      </w:r>
      <w:r w:rsidRPr="00844B4D">
        <w:rPr>
          <w:rFonts w:cs="Times New Roman"/>
          <w:noProof/>
          <w:szCs w:val="24"/>
        </w:rPr>
        <w:tab/>
        <w:t>E.K. Nauha, V. Alopaeus, MODELING ALGAL CULTIVATION IN A BUBBLE COLUMN PHOTOBIOREACTOR, in: 14th Eur. Conf. Mix. Warszawa, 10-13 Sept. 2012, 2012: p. 6.</w:t>
      </w:r>
    </w:p>
    <w:p w14:paraId="18A43C27" w14:textId="4E766FA2" w:rsidR="0067025F" w:rsidRPr="0067025F" w:rsidRDefault="0067025F" w:rsidP="0067025F">
      <w:pPr>
        <w:rPr>
          <w:lang w:val="en-US"/>
        </w:rPr>
      </w:pPr>
      <w:r>
        <w:rPr>
          <w:lang w:val="en-US"/>
        </w:rPr>
        <w:fldChar w:fldCharType="end"/>
      </w:r>
    </w:p>
    <w:sectPr w:rsidR="0067025F" w:rsidRPr="0067025F">
      <w:footerReference w:type="default" r:id="rId41"/>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1F94081" w14:textId="77777777" w:rsidR="006A17F1" w:rsidRDefault="006A17F1" w:rsidP="009B2EB0">
      <w:pPr>
        <w:spacing w:after="0" w:line="240" w:lineRule="auto"/>
      </w:pPr>
      <w:r>
        <w:separator/>
      </w:r>
    </w:p>
  </w:endnote>
  <w:endnote w:type="continuationSeparator" w:id="0">
    <w:p w14:paraId="4BA2F7F4" w14:textId="77777777" w:rsidR="006A17F1" w:rsidRDefault="006A17F1" w:rsidP="009B2E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Segoe UI Symbol">
    <w:panose1 w:val="020B0502040204020203"/>
    <w:charset w:val="00"/>
    <w:family w:val="swiss"/>
    <w:pitch w:val="variable"/>
    <w:sig w:usb0="8000006F" w:usb1="1200FBEF" w:usb2="0064C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1947139"/>
      <w:docPartObj>
        <w:docPartGallery w:val="Page Numbers (Bottom of Page)"/>
        <w:docPartUnique/>
      </w:docPartObj>
    </w:sdtPr>
    <w:sdtEndPr/>
    <w:sdtContent>
      <w:p w14:paraId="0455D321" w14:textId="4EA56921" w:rsidR="00EC0D6E" w:rsidRDefault="00EC0D6E">
        <w:pPr>
          <w:pStyle w:val="Pidipagina"/>
          <w:jc w:val="right"/>
        </w:pPr>
        <w:r>
          <w:fldChar w:fldCharType="begin"/>
        </w:r>
        <w:r>
          <w:instrText>PAGE   \* MERGEFORMAT</w:instrText>
        </w:r>
        <w:r>
          <w:fldChar w:fldCharType="separate"/>
        </w:r>
        <w:r w:rsidR="00650047" w:rsidRPr="00650047">
          <w:rPr>
            <w:noProof/>
            <w:lang w:val="it-IT"/>
          </w:rPr>
          <w:t>1</w:t>
        </w:r>
        <w:r>
          <w:fldChar w:fldCharType="end"/>
        </w:r>
      </w:p>
    </w:sdtContent>
  </w:sdt>
  <w:p w14:paraId="514B7771" w14:textId="77777777" w:rsidR="00EC0D6E" w:rsidRDefault="00EC0D6E">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88283B3" w14:textId="77777777" w:rsidR="006A17F1" w:rsidRDefault="006A17F1" w:rsidP="009B2EB0">
      <w:pPr>
        <w:spacing w:after="0" w:line="240" w:lineRule="auto"/>
      </w:pPr>
      <w:r>
        <w:separator/>
      </w:r>
    </w:p>
  </w:footnote>
  <w:footnote w:type="continuationSeparator" w:id="0">
    <w:p w14:paraId="3FBD2AF0" w14:textId="77777777" w:rsidR="006A17F1" w:rsidRDefault="006A17F1" w:rsidP="009B2EB0">
      <w:pPr>
        <w:spacing w:after="0" w:line="240" w:lineRule="auto"/>
      </w:pPr>
      <w:r>
        <w:continuationSeparator/>
      </w:r>
    </w:p>
  </w:footnote>
  <w:footnote w:id="1">
    <w:p w14:paraId="77A71F35" w14:textId="4CFCD275" w:rsidR="00EC0D6E" w:rsidRPr="007C06E8" w:rsidRDefault="00EC0D6E" w:rsidP="002C0D4E">
      <w:pPr>
        <w:pStyle w:val="RSCF01FootnoteAuthorAddress"/>
        <w:rPr>
          <w:rFonts w:ascii="Times New Roman" w:hAnsi="Times New Roman"/>
          <w:i w:val="0"/>
          <w:sz w:val="16"/>
          <w:lang w:val="it-IT"/>
        </w:rPr>
      </w:pPr>
      <w:r w:rsidRPr="007C06E8">
        <w:rPr>
          <w:rFonts w:ascii="Times New Roman" w:hAnsi="Times New Roman"/>
          <w:i w:val="0"/>
          <w:sz w:val="16"/>
          <w:lang w:val="it-IT"/>
        </w:rPr>
        <w:t xml:space="preserve">Energy </w:t>
      </w:r>
      <w:proofErr w:type="spellStart"/>
      <w:r w:rsidRPr="007C06E8">
        <w:rPr>
          <w:rFonts w:ascii="Times New Roman" w:hAnsi="Times New Roman"/>
          <w:i w:val="0"/>
          <w:sz w:val="16"/>
          <w:lang w:val="it-IT"/>
        </w:rPr>
        <w:t>Depart</w:t>
      </w:r>
      <w:r>
        <w:rPr>
          <w:rFonts w:ascii="Times New Roman" w:hAnsi="Times New Roman"/>
          <w:i w:val="0"/>
          <w:sz w:val="16"/>
          <w:lang w:val="it-IT"/>
        </w:rPr>
        <w:t>ment</w:t>
      </w:r>
      <w:proofErr w:type="spellEnd"/>
      <w:r>
        <w:rPr>
          <w:rFonts w:ascii="Times New Roman" w:hAnsi="Times New Roman"/>
          <w:i w:val="0"/>
          <w:sz w:val="16"/>
          <w:lang w:val="it-IT"/>
        </w:rPr>
        <w:t>, Politecnico di Torino - Cor</w:t>
      </w:r>
      <w:r w:rsidRPr="007C06E8">
        <w:rPr>
          <w:rFonts w:ascii="Times New Roman" w:hAnsi="Times New Roman"/>
          <w:i w:val="0"/>
          <w:sz w:val="16"/>
          <w:lang w:val="it-IT"/>
        </w:rPr>
        <w:t xml:space="preserve">so Duca degli Abruzzi 24, 10129 Torino, </w:t>
      </w:r>
      <w:proofErr w:type="spellStart"/>
      <w:r w:rsidRPr="007C06E8">
        <w:rPr>
          <w:rFonts w:ascii="Times New Roman" w:hAnsi="Times New Roman"/>
          <w:i w:val="0"/>
          <w:sz w:val="16"/>
          <w:lang w:val="it-IT"/>
        </w:rPr>
        <w:t>Italy</w:t>
      </w:r>
      <w:proofErr w:type="spellEnd"/>
      <w:r w:rsidRPr="007C06E8">
        <w:rPr>
          <w:rFonts w:ascii="Times New Roman" w:hAnsi="Times New Roman"/>
          <w:i w:val="0"/>
          <w:sz w:val="16"/>
          <w:lang w:val="it-IT"/>
        </w:rPr>
        <w:t>.</w:t>
      </w:r>
    </w:p>
    <w:p w14:paraId="61653B59" w14:textId="77777777" w:rsidR="00EC0D6E" w:rsidRPr="007C06E8" w:rsidRDefault="00EC0D6E" w:rsidP="002C0D4E">
      <w:pPr>
        <w:pStyle w:val="RSCF01FootnoteAuthorAddress"/>
        <w:rPr>
          <w:rFonts w:ascii="Times New Roman" w:hAnsi="Times New Roman"/>
          <w:i w:val="0"/>
          <w:sz w:val="16"/>
        </w:rPr>
      </w:pPr>
      <w:r w:rsidRPr="007C06E8">
        <w:rPr>
          <w:rFonts w:ascii="Times New Roman" w:hAnsi="Times New Roman"/>
          <w:i w:val="0"/>
          <w:sz w:val="16"/>
        </w:rPr>
        <w:t xml:space="preserve">Energy Systems, TU Munich, </w:t>
      </w:r>
      <w:proofErr w:type="spellStart"/>
      <w:r w:rsidRPr="007C06E8">
        <w:rPr>
          <w:rFonts w:ascii="Times New Roman" w:hAnsi="Times New Roman"/>
          <w:i w:val="0"/>
          <w:sz w:val="16"/>
        </w:rPr>
        <w:t>Boltzmannstr</w:t>
      </w:r>
      <w:proofErr w:type="spellEnd"/>
      <w:r w:rsidRPr="007C06E8">
        <w:rPr>
          <w:rFonts w:ascii="Times New Roman" w:hAnsi="Times New Roman"/>
          <w:i w:val="0"/>
          <w:sz w:val="16"/>
        </w:rPr>
        <w:t xml:space="preserve">. 15, 85748 </w:t>
      </w:r>
      <w:proofErr w:type="spellStart"/>
      <w:r w:rsidRPr="007C06E8">
        <w:rPr>
          <w:rFonts w:ascii="Times New Roman" w:hAnsi="Times New Roman"/>
          <w:i w:val="0"/>
          <w:sz w:val="16"/>
        </w:rPr>
        <w:t>Garching</w:t>
      </w:r>
      <w:proofErr w:type="spellEnd"/>
      <w:r w:rsidRPr="007C06E8">
        <w:rPr>
          <w:rFonts w:ascii="Times New Roman" w:hAnsi="Times New Roman"/>
          <w:i w:val="0"/>
          <w:sz w:val="16"/>
        </w:rPr>
        <w:t>, Germany.</w:t>
      </w:r>
    </w:p>
    <w:p w14:paraId="03A2B25B" w14:textId="77777777" w:rsidR="00EC0D6E" w:rsidRPr="007C06E8" w:rsidRDefault="00EC0D6E" w:rsidP="002C0D4E">
      <w:pPr>
        <w:pStyle w:val="RSCF01FootnoteAuthorAddress"/>
        <w:rPr>
          <w:rFonts w:ascii="Times New Roman" w:hAnsi="Times New Roman"/>
          <w:i w:val="0"/>
          <w:sz w:val="16"/>
        </w:rPr>
      </w:pPr>
      <w:r w:rsidRPr="007C06E8">
        <w:rPr>
          <w:rFonts w:ascii="Times New Roman" w:hAnsi="Times New Roman"/>
          <w:i w:val="0"/>
          <w:sz w:val="16"/>
        </w:rPr>
        <w:t>Institute of Power Engineering, Thermal Processes Department, Warsaw, Poland.</w:t>
      </w:r>
    </w:p>
    <w:p w14:paraId="13A10B8D" w14:textId="77777777" w:rsidR="00EC0D6E" w:rsidRPr="007C06E8" w:rsidRDefault="00EC0D6E" w:rsidP="002C0D4E">
      <w:pPr>
        <w:pStyle w:val="RSCF01FootnoteAuthorAddress"/>
        <w:rPr>
          <w:rFonts w:ascii="Times New Roman" w:hAnsi="Times New Roman"/>
          <w:i w:val="0"/>
          <w:sz w:val="16"/>
        </w:rPr>
      </w:pPr>
      <w:r w:rsidRPr="007C06E8">
        <w:rPr>
          <w:rFonts w:ascii="Times New Roman" w:hAnsi="Times New Roman"/>
          <w:i w:val="0"/>
          <w:sz w:val="16"/>
        </w:rPr>
        <w:t xml:space="preserve">IQS School of Engineering, </w:t>
      </w:r>
      <w:proofErr w:type="spellStart"/>
      <w:r w:rsidRPr="007C06E8">
        <w:rPr>
          <w:rFonts w:ascii="Times New Roman" w:hAnsi="Times New Roman"/>
          <w:i w:val="0"/>
          <w:sz w:val="16"/>
        </w:rPr>
        <w:t>Universitat</w:t>
      </w:r>
      <w:proofErr w:type="spellEnd"/>
      <w:r w:rsidRPr="007C06E8">
        <w:rPr>
          <w:rFonts w:ascii="Times New Roman" w:hAnsi="Times New Roman"/>
          <w:i w:val="0"/>
          <w:sz w:val="16"/>
        </w:rPr>
        <w:t xml:space="preserve"> Ramon </w:t>
      </w:r>
      <w:proofErr w:type="spellStart"/>
      <w:r w:rsidRPr="007C06E8">
        <w:rPr>
          <w:rFonts w:ascii="Times New Roman" w:hAnsi="Times New Roman"/>
          <w:i w:val="0"/>
          <w:sz w:val="16"/>
        </w:rPr>
        <w:t>Llull</w:t>
      </w:r>
      <w:proofErr w:type="spellEnd"/>
      <w:r w:rsidRPr="007C06E8">
        <w:rPr>
          <w:rFonts w:ascii="Times New Roman" w:hAnsi="Times New Roman"/>
          <w:i w:val="0"/>
          <w:sz w:val="16"/>
        </w:rPr>
        <w:t>, Via Augusta, 390, 08017 Barcelona, Spain.</w:t>
      </w:r>
    </w:p>
    <w:p w14:paraId="2444E66F" w14:textId="77777777" w:rsidR="00EC0D6E" w:rsidRPr="007C06E8" w:rsidRDefault="00EC0D6E" w:rsidP="002C0D4E">
      <w:pPr>
        <w:pStyle w:val="RSCF01FootnoteAuthorAddress"/>
        <w:rPr>
          <w:rFonts w:ascii="Times New Roman" w:hAnsi="Times New Roman"/>
          <w:i w:val="0"/>
          <w:sz w:val="16"/>
          <w:lang w:val="it-IT"/>
        </w:rPr>
      </w:pPr>
      <w:proofErr w:type="spellStart"/>
      <w:r w:rsidRPr="007C06E8">
        <w:rPr>
          <w:rFonts w:ascii="Times New Roman" w:hAnsi="Times New Roman"/>
          <w:i w:val="0"/>
          <w:sz w:val="16"/>
          <w:lang w:val="it-IT"/>
        </w:rPr>
        <w:t>Carburos</w:t>
      </w:r>
      <w:proofErr w:type="spellEnd"/>
      <w:r w:rsidRPr="007C06E8">
        <w:rPr>
          <w:rFonts w:ascii="Times New Roman" w:hAnsi="Times New Roman"/>
          <w:i w:val="0"/>
          <w:sz w:val="16"/>
          <w:lang w:val="it-IT"/>
        </w:rPr>
        <w:t xml:space="preserve"> </w:t>
      </w:r>
      <w:proofErr w:type="spellStart"/>
      <w:r w:rsidRPr="007C06E8">
        <w:rPr>
          <w:rFonts w:ascii="Times New Roman" w:hAnsi="Times New Roman"/>
          <w:i w:val="0"/>
          <w:sz w:val="16"/>
          <w:lang w:val="it-IT"/>
        </w:rPr>
        <w:t>Metalicos</w:t>
      </w:r>
      <w:proofErr w:type="spellEnd"/>
      <w:r w:rsidRPr="007C06E8">
        <w:rPr>
          <w:rFonts w:ascii="Times New Roman" w:hAnsi="Times New Roman"/>
          <w:i w:val="0"/>
          <w:sz w:val="16"/>
          <w:lang w:val="it-IT"/>
        </w:rPr>
        <w:t xml:space="preserve">, </w:t>
      </w:r>
      <w:proofErr w:type="spellStart"/>
      <w:r w:rsidRPr="007C06E8">
        <w:rPr>
          <w:rFonts w:ascii="Times New Roman" w:hAnsi="Times New Roman"/>
          <w:i w:val="0"/>
          <w:sz w:val="16"/>
          <w:lang w:val="it-IT"/>
        </w:rPr>
        <w:t>Grupo</w:t>
      </w:r>
      <w:proofErr w:type="spellEnd"/>
      <w:r w:rsidRPr="007C06E8">
        <w:rPr>
          <w:rFonts w:ascii="Times New Roman" w:hAnsi="Times New Roman"/>
          <w:i w:val="0"/>
          <w:sz w:val="16"/>
          <w:lang w:val="it-IT"/>
        </w:rPr>
        <w:t xml:space="preserve"> Air </w:t>
      </w:r>
      <w:proofErr w:type="spellStart"/>
      <w:r w:rsidRPr="007C06E8">
        <w:rPr>
          <w:rFonts w:ascii="Times New Roman" w:hAnsi="Times New Roman"/>
          <w:i w:val="0"/>
          <w:sz w:val="16"/>
          <w:lang w:val="it-IT"/>
        </w:rPr>
        <w:t>Products</w:t>
      </w:r>
      <w:proofErr w:type="spellEnd"/>
      <w:r w:rsidRPr="007C06E8">
        <w:rPr>
          <w:rFonts w:ascii="Times New Roman" w:hAnsi="Times New Roman"/>
          <w:i w:val="0"/>
          <w:sz w:val="16"/>
          <w:lang w:val="it-IT"/>
        </w:rPr>
        <w:t xml:space="preserve">, </w:t>
      </w:r>
      <w:proofErr w:type="spellStart"/>
      <w:r w:rsidRPr="007C06E8">
        <w:rPr>
          <w:rFonts w:ascii="Times New Roman" w:hAnsi="Times New Roman"/>
          <w:i w:val="0"/>
          <w:sz w:val="16"/>
          <w:lang w:val="it-IT"/>
        </w:rPr>
        <w:t>Avinguda</w:t>
      </w:r>
      <w:proofErr w:type="spellEnd"/>
      <w:r w:rsidRPr="007C06E8">
        <w:rPr>
          <w:rFonts w:ascii="Times New Roman" w:hAnsi="Times New Roman"/>
          <w:i w:val="0"/>
          <w:sz w:val="16"/>
          <w:lang w:val="it-IT"/>
        </w:rPr>
        <w:t xml:space="preserve"> de la Fama,1, 08940 </w:t>
      </w:r>
      <w:proofErr w:type="spellStart"/>
      <w:r w:rsidRPr="007C06E8">
        <w:rPr>
          <w:rFonts w:ascii="Times New Roman" w:hAnsi="Times New Roman"/>
          <w:i w:val="0"/>
          <w:sz w:val="16"/>
          <w:lang w:val="it-IT"/>
        </w:rPr>
        <w:t>Cornellà</w:t>
      </w:r>
      <w:proofErr w:type="spellEnd"/>
      <w:r w:rsidRPr="007C06E8">
        <w:rPr>
          <w:rFonts w:ascii="Times New Roman" w:hAnsi="Times New Roman"/>
          <w:i w:val="0"/>
          <w:sz w:val="16"/>
          <w:lang w:val="it-IT"/>
        </w:rPr>
        <w:t xml:space="preserve">, </w:t>
      </w:r>
      <w:proofErr w:type="spellStart"/>
      <w:r w:rsidRPr="007C06E8">
        <w:rPr>
          <w:rFonts w:ascii="Times New Roman" w:hAnsi="Times New Roman"/>
          <w:i w:val="0"/>
          <w:sz w:val="16"/>
          <w:lang w:val="it-IT"/>
        </w:rPr>
        <w:t>Barcelona</w:t>
      </w:r>
      <w:proofErr w:type="spellEnd"/>
      <w:r w:rsidRPr="007C06E8">
        <w:rPr>
          <w:rFonts w:ascii="Times New Roman" w:hAnsi="Times New Roman"/>
          <w:i w:val="0"/>
          <w:sz w:val="16"/>
          <w:lang w:val="it-IT"/>
        </w:rPr>
        <w:t xml:space="preserve">, </w:t>
      </w:r>
      <w:proofErr w:type="spellStart"/>
      <w:r w:rsidRPr="007C06E8">
        <w:rPr>
          <w:rFonts w:ascii="Times New Roman" w:hAnsi="Times New Roman"/>
          <w:i w:val="0"/>
          <w:sz w:val="16"/>
          <w:lang w:val="it-IT"/>
        </w:rPr>
        <w:t>Spain</w:t>
      </w:r>
      <w:proofErr w:type="spellEnd"/>
      <w:r w:rsidRPr="007C06E8">
        <w:rPr>
          <w:rFonts w:ascii="Times New Roman" w:hAnsi="Times New Roman"/>
          <w:i w:val="0"/>
          <w:sz w:val="16"/>
          <w:lang w:val="it-IT"/>
        </w:rPr>
        <w:t>.</w:t>
      </w:r>
    </w:p>
    <w:p w14:paraId="0248EB5F" w14:textId="77777777" w:rsidR="00EC0D6E" w:rsidRPr="007C06E8" w:rsidRDefault="00EC0D6E" w:rsidP="002C0D4E">
      <w:pPr>
        <w:pStyle w:val="RSCF01FootnoteAuthorAddress"/>
        <w:rPr>
          <w:rFonts w:ascii="Times New Roman" w:hAnsi="Times New Roman"/>
          <w:i w:val="0"/>
          <w:sz w:val="16"/>
          <w:lang w:val="it-IT"/>
        </w:rPr>
      </w:pPr>
      <w:r w:rsidRPr="007C06E8">
        <w:rPr>
          <w:rFonts w:ascii="Times New Roman" w:hAnsi="Times New Roman"/>
          <w:i w:val="0"/>
          <w:sz w:val="16"/>
          <w:lang w:val="en-US"/>
        </w:rPr>
        <w:t xml:space="preserve">Gas Research Center and Chemical Engineering Department. The Petroleum Institute. P.O. Box 2533. </w:t>
      </w:r>
      <w:r w:rsidRPr="007C06E8">
        <w:rPr>
          <w:rFonts w:ascii="Times New Roman" w:hAnsi="Times New Roman"/>
          <w:i w:val="0"/>
          <w:sz w:val="16"/>
          <w:lang w:val="it-IT"/>
        </w:rPr>
        <w:t xml:space="preserve">Abu Dhabi. </w:t>
      </w:r>
      <w:proofErr w:type="spellStart"/>
      <w:r w:rsidRPr="007C06E8">
        <w:rPr>
          <w:rFonts w:ascii="Times New Roman" w:hAnsi="Times New Roman"/>
          <w:i w:val="0"/>
          <w:sz w:val="16"/>
          <w:lang w:val="it-IT"/>
        </w:rPr>
        <w:t>United</w:t>
      </w:r>
      <w:proofErr w:type="spellEnd"/>
      <w:r w:rsidRPr="007C06E8">
        <w:rPr>
          <w:rFonts w:ascii="Times New Roman" w:hAnsi="Times New Roman"/>
          <w:i w:val="0"/>
          <w:sz w:val="16"/>
          <w:lang w:val="it-IT"/>
        </w:rPr>
        <w:t xml:space="preserve"> </w:t>
      </w:r>
      <w:proofErr w:type="spellStart"/>
      <w:r w:rsidRPr="007C06E8">
        <w:rPr>
          <w:rFonts w:ascii="Times New Roman" w:hAnsi="Times New Roman"/>
          <w:i w:val="0"/>
          <w:sz w:val="16"/>
          <w:lang w:val="it-IT"/>
        </w:rPr>
        <w:t>Arabs</w:t>
      </w:r>
      <w:proofErr w:type="spellEnd"/>
      <w:r w:rsidRPr="007C06E8">
        <w:rPr>
          <w:rFonts w:ascii="Times New Roman" w:hAnsi="Times New Roman"/>
          <w:i w:val="0"/>
          <w:sz w:val="16"/>
          <w:lang w:val="it-IT"/>
        </w:rPr>
        <w:t xml:space="preserve"> Emirates.</w:t>
      </w:r>
    </w:p>
    <w:p w14:paraId="6877FB63" w14:textId="719760E8" w:rsidR="00EC0D6E" w:rsidRPr="002C0D4E" w:rsidRDefault="00EC0D6E">
      <w:pPr>
        <w:pStyle w:val="Testonotaapidipagina"/>
        <w:rPr>
          <w:lang w:val="it-IT"/>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2E2D66"/>
    <w:multiLevelType w:val="multilevel"/>
    <w:tmpl w:val="2EE20EAC"/>
    <w:lvl w:ilvl="0">
      <w:start w:val="1"/>
      <w:numFmt w:val="decimal"/>
      <w:lvlText w:val="%1."/>
      <w:lvlJc w:val="left"/>
      <w:pPr>
        <w:ind w:left="4538" w:hanging="360"/>
      </w:pPr>
      <w:rPr>
        <w:rFonts w:hint="default"/>
      </w:rPr>
    </w:lvl>
    <w:lvl w:ilvl="1">
      <w:start w:val="1"/>
      <w:numFmt w:val="decimal"/>
      <w:isLgl/>
      <w:lvlText w:val="%1.%2"/>
      <w:lvlJc w:val="left"/>
      <w:pPr>
        <w:ind w:left="3818" w:firstLine="720"/>
      </w:pPr>
      <w:rPr>
        <w:rFonts w:hint="default"/>
      </w:rPr>
    </w:lvl>
    <w:lvl w:ilvl="2">
      <w:start w:val="1"/>
      <w:numFmt w:val="decimal"/>
      <w:isLgl/>
      <w:lvlText w:val="%1.%2.%3"/>
      <w:lvlJc w:val="left"/>
      <w:pPr>
        <w:ind w:left="5618" w:hanging="720"/>
      </w:pPr>
      <w:rPr>
        <w:rFonts w:hint="default"/>
      </w:rPr>
    </w:lvl>
    <w:lvl w:ilvl="3">
      <w:start w:val="1"/>
      <w:numFmt w:val="decimal"/>
      <w:isLgl/>
      <w:lvlText w:val="%1.%2.%3.%4"/>
      <w:lvlJc w:val="left"/>
      <w:pPr>
        <w:ind w:left="6338" w:hanging="1080"/>
      </w:pPr>
      <w:rPr>
        <w:rFonts w:hint="default"/>
      </w:rPr>
    </w:lvl>
    <w:lvl w:ilvl="4">
      <w:start w:val="1"/>
      <w:numFmt w:val="decimal"/>
      <w:isLgl/>
      <w:lvlText w:val="%1.%2.%3.%4.%5"/>
      <w:lvlJc w:val="left"/>
      <w:pPr>
        <w:ind w:left="7058" w:hanging="1440"/>
      </w:pPr>
      <w:rPr>
        <w:rFonts w:hint="default"/>
      </w:rPr>
    </w:lvl>
    <w:lvl w:ilvl="5">
      <w:start w:val="1"/>
      <w:numFmt w:val="decimal"/>
      <w:isLgl/>
      <w:lvlText w:val="%1.%2.%3.%4.%5.%6"/>
      <w:lvlJc w:val="left"/>
      <w:pPr>
        <w:ind w:left="7418" w:hanging="1440"/>
      </w:pPr>
      <w:rPr>
        <w:rFonts w:hint="default"/>
      </w:rPr>
    </w:lvl>
    <w:lvl w:ilvl="6">
      <w:start w:val="1"/>
      <w:numFmt w:val="decimal"/>
      <w:isLgl/>
      <w:lvlText w:val="%1.%2.%3.%4.%5.%6.%7"/>
      <w:lvlJc w:val="left"/>
      <w:pPr>
        <w:ind w:left="8138" w:hanging="1800"/>
      </w:pPr>
      <w:rPr>
        <w:rFonts w:hint="default"/>
      </w:rPr>
    </w:lvl>
    <w:lvl w:ilvl="7">
      <w:start w:val="1"/>
      <w:numFmt w:val="decimal"/>
      <w:isLgl/>
      <w:lvlText w:val="%1.%2.%3.%4.%5.%6.%7.%8"/>
      <w:lvlJc w:val="left"/>
      <w:pPr>
        <w:ind w:left="8498" w:hanging="1800"/>
      </w:pPr>
      <w:rPr>
        <w:rFonts w:hint="default"/>
      </w:rPr>
    </w:lvl>
    <w:lvl w:ilvl="8">
      <w:start w:val="1"/>
      <w:numFmt w:val="decimal"/>
      <w:isLgl/>
      <w:lvlText w:val="%1.%2.%3.%4.%5.%6.%7.%8.%9"/>
      <w:lvlJc w:val="left"/>
      <w:pPr>
        <w:ind w:left="9218" w:hanging="2160"/>
      </w:pPr>
      <w:rPr>
        <w:rFonts w:hint="default"/>
      </w:rPr>
    </w:lvl>
  </w:abstractNum>
  <w:abstractNum w:abstractNumId="1">
    <w:nsid w:val="15367CEE"/>
    <w:multiLevelType w:val="hybridMultilevel"/>
    <w:tmpl w:val="32962E9E"/>
    <w:lvl w:ilvl="0" w:tplc="4EBCE34E">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nsid w:val="15D674C5"/>
    <w:multiLevelType w:val="hybridMultilevel"/>
    <w:tmpl w:val="A36E3884"/>
    <w:lvl w:ilvl="0" w:tplc="F78EBF76">
      <w:start w:val="23"/>
      <w:numFmt w:val="bullet"/>
      <w:lvlText w:val="-"/>
      <w:lvlJc w:val="left"/>
      <w:pPr>
        <w:ind w:left="757" w:hanging="360"/>
      </w:pPr>
      <w:rPr>
        <w:rFonts w:ascii="Times New Roman" w:eastAsiaTheme="minorHAnsi" w:hAnsi="Times New Roman" w:cs="Times New Roman" w:hint="default"/>
      </w:rPr>
    </w:lvl>
    <w:lvl w:ilvl="1" w:tplc="04100003" w:tentative="1">
      <w:start w:val="1"/>
      <w:numFmt w:val="bullet"/>
      <w:lvlText w:val="o"/>
      <w:lvlJc w:val="left"/>
      <w:pPr>
        <w:ind w:left="1477" w:hanging="360"/>
      </w:pPr>
      <w:rPr>
        <w:rFonts w:ascii="Courier New" w:hAnsi="Courier New" w:cs="Courier New" w:hint="default"/>
      </w:rPr>
    </w:lvl>
    <w:lvl w:ilvl="2" w:tplc="04100005" w:tentative="1">
      <w:start w:val="1"/>
      <w:numFmt w:val="bullet"/>
      <w:lvlText w:val=""/>
      <w:lvlJc w:val="left"/>
      <w:pPr>
        <w:ind w:left="2197" w:hanging="360"/>
      </w:pPr>
      <w:rPr>
        <w:rFonts w:ascii="Wingdings" w:hAnsi="Wingdings" w:hint="default"/>
      </w:rPr>
    </w:lvl>
    <w:lvl w:ilvl="3" w:tplc="04100001" w:tentative="1">
      <w:start w:val="1"/>
      <w:numFmt w:val="bullet"/>
      <w:lvlText w:val=""/>
      <w:lvlJc w:val="left"/>
      <w:pPr>
        <w:ind w:left="2917" w:hanging="360"/>
      </w:pPr>
      <w:rPr>
        <w:rFonts w:ascii="Symbol" w:hAnsi="Symbol" w:hint="default"/>
      </w:rPr>
    </w:lvl>
    <w:lvl w:ilvl="4" w:tplc="04100003" w:tentative="1">
      <w:start w:val="1"/>
      <w:numFmt w:val="bullet"/>
      <w:lvlText w:val="o"/>
      <w:lvlJc w:val="left"/>
      <w:pPr>
        <w:ind w:left="3637" w:hanging="360"/>
      </w:pPr>
      <w:rPr>
        <w:rFonts w:ascii="Courier New" w:hAnsi="Courier New" w:cs="Courier New" w:hint="default"/>
      </w:rPr>
    </w:lvl>
    <w:lvl w:ilvl="5" w:tplc="04100005" w:tentative="1">
      <w:start w:val="1"/>
      <w:numFmt w:val="bullet"/>
      <w:lvlText w:val=""/>
      <w:lvlJc w:val="left"/>
      <w:pPr>
        <w:ind w:left="4357" w:hanging="360"/>
      </w:pPr>
      <w:rPr>
        <w:rFonts w:ascii="Wingdings" w:hAnsi="Wingdings" w:hint="default"/>
      </w:rPr>
    </w:lvl>
    <w:lvl w:ilvl="6" w:tplc="04100001" w:tentative="1">
      <w:start w:val="1"/>
      <w:numFmt w:val="bullet"/>
      <w:lvlText w:val=""/>
      <w:lvlJc w:val="left"/>
      <w:pPr>
        <w:ind w:left="5077" w:hanging="360"/>
      </w:pPr>
      <w:rPr>
        <w:rFonts w:ascii="Symbol" w:hAnsi="Symbol" w:hint="default"/>
      </w:rPr>
    </w:lvl>
    <w:lvl w:ilvl="7" w:tplc="04100003" w:tentative="1">
      <w:start w:val="1"/>
      <w:numFmt w:val="bullet"/>
      <w:lvlText w:val="o"/>
      <w:lvlJc w:val="left"/>
      <w:pPr>
        <w:ind w:left="5797" w:hanging="360"/>
      </w:pPr>
      <w:rPr>
        <w:rFonts w:ascii="Courier New" w:hAnsi="Courier New" w:cs="Courier New" w:hint="default"/>
      </w:rPr>
    </w:lvl>
    <w:lvl w:ilvl="8" w:tplc="04100005" w:tentative="1">
      <w:start w:val="1"/>
      <w:numFmt w:val="bullet"/>
      <w:lvlText w:val=""/>
      <w:lvlJc w:val="left"/>
      <w:pPr>
        <w:ind w:left="6517" w:hanging="360"/>
      </w:pPr>
      <w:rPr>
        <w:rFonts w:ascii="Wingdings" w:hAnsi="Wingdings" w:hint="default"/>
      </w:rPr>
    </w:lvl>
  </w:abstractNum>
  <w:abstractNum w:abstractNumId="3">
    <w:nsid w:val="162E2224"/>
    <w:multiLevelType w:val="hybridMultilevel"/>
    <w:tmpl w:val="8938B5B8"/>
    <w:lvl w:ilvl="0" w:tplc="E856C88E">
      <w:numFmt w:val="bullet"/>
      <w:lvlText w:val="-"/>
      <w:lvlJc w:val="left"/>
      <w:pPr>
        <w:ind w:left="720" w:hanging="360"/>
      </w:pPr>
      <w:rPr>
        <w:rFonts w:ascii="Calibri" w:eastAsia="Times New Roman" w:hAnsi="Calibri"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1FCA4340"/>
    <w:multiLevelType w:val="hybridMultilevel"/>
    <w:tmpl w:val="418C20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4E76FF9"/>
    <w:multiLevelType w:val="hybridMultilevel"/>
    <w:tmpl w:val="FC6C75E0"/>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6">
    <w:nsid w:val="27257105"/>
    <w:multiLevelType w:val="hybridMultilevel"/>
    <w:tmpl w:val="5412C32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2B580E40"/>
    <w:multiLevelType w:val="hybridMultilevel"/>
    <w:tmpl w:val="D9CAD6E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nsid w:val="2FEA657D"/>
    <w:multiLevelType w:val="hybridMultilevel"/>
    <w:tmpl w:val="7460E79C"/>
    <w:lvl w:ilvl="0" w:tplc="F36AE31E">
      <w:start w:val="1"/>
      <w:numFmt w:val="decimal"/>
      <w:pStyle w:val="Titolo3"/>
      <w:lvlText w:val="1.%1"/>
      <w:lvlJc w:val="left"/>
      <w:pPr>
        <w:ind w:left="720" w:hanging="360"/>
      </w:pPr>
      <w:rPr>
        <w:rFonts w:hint="default"/>
        <w:b/>
        <w:i w:val="0"/>
        <w:color w:val="943634" w:themeColor="accent2" w:themeShade="BF"/>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nsid w:val="32AD620E"/>
    <w:multiLevelType w:val="hybridMultilevel"/>
    <w:tmpl w:val="007A8FC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nsid w:val="36E40526"/>
    <w:multiLevelType w:val="hybridMultilevel"/>
    <w:tmpl w:val="8316459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nsid w:val="36F47CFE"/>
    <w:multiLevelType w:val="hybridMultilevel"/>
    <w:tmpl w:val="FF94788A"/>
    <w:lvl w:ilvl="0" w:tplc="4EBCE34E">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nsid w:val="3A7548A7"/>
    <w:multiLevelType w:val="hybridMultilevel"/>
    <w:tmpl w:val="F036E2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C2B0EBB"/>
    <w:multiLevelType w:val="hybridMultilevel"/>
    <w:tmpl w:val="AAD643F4"/>
    <w:lvl w:ilvl="0" w:tplc="54A6E152">
      <w:start w:val="1"/>
      <w:numFmt w:val="lowerLetter"/>
      <w:pStyle w:val="RSCF01FootnoteAuthorAddress"/>
      <w:lvlText w:val="%1."/>
      <w:lvlJc w:val="left"/>
      <w:pPr>
        <w:ind w:left="720" w:hanging="360"/>
      </w:pPr>
      <w:rPr>
        <w:rFonts w:ascii="Calibri" w:hAnsi="Calibri" w:hint="default"/>
        <w:b w:val="0"/>
        <w:i/>
        <w:vertAlign w:val="superscrip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nsid w:val="3C815387"/>
    <w:multiLevelType w:val="multilevel"/>
    <w:tmpl w:val="7DF47994"/>
    <w:lvl w:ilvl="0">
      <w:start w:val="1"/>
      <w:numFmt w:val="decimal"/>
      <w:pStyle w:val="Titolo2"/>
      <w:lvlText w:val="%1."/>
      <w:lvlJc w:val="left"/>
      <w:pPr>
        <w:ind w:left="1495" w:hanging="360"/>
      </w:pPr>
      <w:rPr>
        <w:rFonts w:hint="default"/>
        <w:b/>
        <w:i w:val="0"/>
        <w:color w:val="4F81BD" w:themeColor="accent1"/>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5">
    <w:nsid w:val="46BE2C17"/>
    <w:multiLevelType w:val="hybridMultilevel"/>
    <w:tmpl w:val="78CA6136"/>
    <w:lvl w:ilvl="0" w:tplc="04100001">
      <w:start w:val="1"/>
      <w:numFmt w:val="bullet"/>
      <w:lvlText w:val=""/>
      <w:lvlJc w:val="left"/>
      <w:pPr>
        <w:ind w:left="1837" w:hanging="360"/>
      </w:pPr>
      <w:rPr>
        <w:rFonts w:ascii="Symbol" w:hAnsi="Symbol" w:hint="default"/>
      </w:rPr>
    </w:lvl>
    <w:lvl w:ilvl="1" w:tplc="04100003" w:tentative="1">
      <w:start w:val="1"/>
      <w:numFmt w:val="bullet"/>
      <w:lvlText w:val="o"/>
      <w:lvlJc w:val="left"/>
      <w:pPr>
        <w:ind w:left="2557" w:hanging="360"/>
      </w:pPr>
      <w:rPr>
        <w:rFonts w:ascii="Courier New" w:hAnsi="Courier New" w:cs="Courier New" w:hint="default"/>
      </w:rPr>
    </w:lvl>
    <w:lvl w:ilvl="2" w:tplc="04100005" w:tentative="1">
      <w:start w:val="1"/>
      <w:numFmt w:val="bullet"/>
      <w:lvlText w:val=""/>
      <w:lvlJc w:val="left"/>
      <w:pPr>
        <w:ind w:left="3277" w:hanging="360"/>
      </w:pPr>
      <w:rPr>
        <w:rFonts w:ascii="Wingdings" w:hAnsi="Wingdings" w:hint="default"/>
      </w:rPr>
    </w:lvl>
    <w:lvl w:ilvl="3" w:tplc="04100001" w:tentative="1">
      <w:start w:val="1"/>
      <w:numFmt w:val="bullet"/>
      <w:lvlText w:val=""/>
      <w:lvlJc w:val="left"/>
      <w:pPr>
        <w:ind w:left="3997" w:hanging="360"/>
      </w:pPr>
      <w:rPr>
        <w:rFonts w:ascii="Symbol" w:hAnsi="Symbol" w:hint="default"/>
      </w:rPr>
    </w:lvl>
    <w:lvl w:ilvl="4" w:tplc="04100003" w:tentative="1">
      <w:start w:val="1"/>
      <w:numFmt w:val="bullet"/>
      <w:lvlText w:val="o"/>
      <w:lvlJc w:val="left"/>
      <w:pPr>
        <w:ind w:left="4717" w:hanging="360"/>
      </w:pPr>
      <w:rPr>
        <w:rFonts w:ascii="Courier New" w:hAnsi="Courier New" w:cs="Courier New" w:hint="default"/>
      </w:rPr>
    </w:lvl>
    <w:lvl w:ilvl="5" w:tplc="04100005" w:tentative="1">
      <w:start w:val="1"/>
      <w:numFmt w:val="bullet"/>
      <w:lvlText w:val=""/>
      <w:lvlJc w:val="left"/>
      <w:pPr>
        <w:ind w:left="5437" w:hanging="360"/>
      </w:pPr>
      <w:rPr>
        <w:rFonts w:ascii="Wingdings" w:hAnsi="Wingdings" w:hint="default"/>
      </w:rPr>
    </w:lvl>
    <w:lvl w:ilvl="6" w:tplc="04100001" w:tentative="1">
      <w:start w:val="1"/>
      <w:numFmt w:val="bullet"/>
      <w:lvlText w:val=""/>
      <w:lvlJc w:val="left"/>
      <w:pPr>
        <w:ind w:left="6157" w:hanging="360"/>
      </w:pPr>
      <w:rPr>
        <w:rFonts w:ascii="Symbol" w:hAnsi="Symbol" w:hint="default"/>
      </w:rPr>
    </w:lvl>
    <w:lvl w:ilvl="7" w:tplc="04100003" w:tentative="1">
      <w:start w:val="1"/>
      <w:numFmt w:val="bullet"/>
      <w:lvlText w:val="o"/>
      <w:lvlJc w:val="left"/>
      <w:pPr>
        <w:ind w:left="6877" w:hanging="360"/>
      </w:pPr>
      <w:rPr>
        <w:rFonts w:ascii="Courier New" w:hAnsi="Courier New" w:cs="Courier New" w:hint="default"/>
      </w:rPr>
    </w:lvl>
    <w:lvl w:ilvl="8" w:tplc="04100005" w:tentative="1">
      <w:start w:val="1"/>
      <w:numFmt w:val="bullet"/>
      <w:lvlText w:val=""/>
      <w:lvlJc w:val="left"/>
      <w:pPr>
        <w:ind w:left="7597" w:hanging="360"/>
      </w:pPr>
      <w:rPr>
        <w:rFonts w:ascii="Wingdings" w:hAnsi="Wingdings" w:hint="default"/>
      </w:rPr>
    </w:lvl>
  </w:abstractNum>
  <w:abstractNum w:abstractNumId="16">
    <w:nsid w:val="477A5176"/>
    <w:multiLevelType w:val="hybridMultilevel"/>
    <w:tmpl w:val="D01E8AE2"/>
    <w:lvl w:ilvl="0" w:tplc="0410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7">
    <w:nsid w:val="4D405F93"/>
    <w:multiLevelType w:val="hybridMultilevel"/>
    <w:tmpl w:val="9FACF442"/>
    <w:lvl w:ilvl="0" w:tplc="04100001">
      <w:start w:val="1"/>
      <w:numFmt w:val="bullet"/>
      <w:lvlText w:val=""/>
      <w:lvlJc w:val="left"/>
      <w:pPr>
        <w:ind w:left="760" w:hanging="360"/>
      </w:pPr>
      <w:rPr>
        <w:rFonts w:ascii="Symbol" w:hAnsi="Symbol" w:hint="default"/>
      </w:rPr>
    </w:lvl>
    <w:lvl w:ilvl="1" w:tplc="04100003" w:tentative="1">
      <w:start w:val="1"/>
      <w:numFmt w:val="bullet"/>
      <w:lvlText w:val="o"/>
      <w:lvlJc w:val="left"/>
      <w:pPr>
        <w:ind w:left="1480" w:hanging="360"/>
      </w:pPr>
      <w:rPr>
        <w:rFonts w:ascii="Courier New" w:hAnsi="Courier New" w:cs="Courier New" w:hint="default"/>
      </w:rPr>
    </w:lvl>
    <w:lvl w:ilvl="2" w:tplc="04100005" w:tentative="1">
      <w:start w:val="1"/>
      <w:numFmt w:val="bullet"/>
      <w:lvlText w:val=""/>
      <w:lvlJc w:val="left"/>
      <w:pPr>
        <w:ind w:left="2200" w:hanging="360"/>
      </w:pPr>
      <w:rPr>
        <w:rFonts w:ascii="Wingdings" w:hAnsi="Wingdings" w:hint="default"/>
      </w:rPr>
    </w:lvl>
    <w:lvl w:ilvl="3" w:tplc="04100001" w:tentative="1">
      <w:start w:val="1"/>
      <w:numFmt w:val="bullet"/>
      <w:lvlText w:val=""/>
      <w:lvlJc w:val="left"/>
      <w:pPr>
        <w:ind w:left="2920" w:hanging="360"/>
      </w:pPr>
      <w:rPr>
        <w:rFonts w:ascii="Symbol" w:hAnsi="Symbol" w:hint="default"/>
      </w:rPr>
    </w:lvl>
    <w:lvl w:ilvl="4" w:tplc="04100003" w:tentative="1">
      <w:start w:val="1"/>
      <w:numFmt w:val="bullet"/>
      <w:lvlText w:val="o"/>
      <w:lvlJc w:val="left"/>
      <w:pPr>
        <w:ind w:left="3640" w:hanging="360"/>
      </w:pPr>
      <w:rPr>
        <w:rFonts w:ascii="Courier New" w:hAnsi="Courier New" w:cs="Courier New" w:hint="default"/>
      </w:rPr>
    </w:lvl>
    <w:lvl w:ilvl="5" w:tplc="04100005" w:tentative="1">
      <w:start w:val="1"/>
      <w:numFmt w:val="bullet"/>
      <w:lvlText w:val=""/>
      <w:lvlJc w:val="left"/>
      <w:pPr>
        <w:ind w:left="4360" w:hanging="360"/>
      </w:pPr>
      <w:rPr>
        <w:rFonts w:ascii="Wingdings" w:hAnsi="Wingdings" w:hint="default"/>
      </w:rPr>
    </w:lvl>
    <w:lvl w:ilvl="6" w:tplc="04100001" w:tentative="1">
      <w:start w:val="1"/>
      <w:numFmt w:val="bullet"/>
      <w:lvlText w:val=""/>
      <w:lvlJc w:val="left"/>
      <w:pPr>
        <w:ind w:left="5080" w:hanging="360"/>
      </w:pPr>
      <w:rPr>
        <w:rFonts w:ascii="Symbol" w:hAnsi="Symbol" w:hint="default"/>
      </w:rPr>
    </w:lvl>
    <w:lvl w:ilvl="7" w:tplc="04100003" w:tentative="1">
      <w:start w:val="1"/>
      <w:numFmt w:val="bullet"/>
      <w:lvlText w:val="o"/>
      <w:lvlJc w:val="left"/>
      <w:pPr>
        <w:ind w:left="5800" w:hanging="360"/>
      </w:pPr>
      <w:rPr>
        <w:rFonts w:ascii="Courier New" w:hAnsi="Courier New" w:cs="Courier New" w:hint="default"/>
      </w:rPr>
    </w:lvl>
    <w:lvl w:ilvl="8" w:tplc="04100005" w:tentative="1">
      <w:start w:val="1"/>
      <w:numFmt w:val="bullet"/>
      <w:lvlText w:val=""/>
      <w:lvlJc w:val="left"/>
      <w:pPr>
        <w:ind w:left="6520" w:hanging="360"/>
      </w:pPr>
      <w:rPr>
        <w:rFonts w:ascii="Wingdings" w:hAnsi="Wingdings" w:hint="default"/>
      </w:rPr>
    </w:lvl>
  </w:abstractNum>
  <w:abstractNum w:abstractNumId="18">
    <w:nsid w:val="550C753D"/>
    <w:multiLevelType w:val="hybridMultilevel"/>
    <w:tmpl w:val="0DCA40C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nsid w:val="605F612F"/>
    <w:multiLevelType w:val="hybridMultilevel"/>
    <w:tmpl w:val="1FCE742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nsid w:val="60B55D85"/>
    <w:multiLevelType w:val="hybridMultilevel"/>
    <w:tmpl w:val="0C6E5522"/>
    <w:lvl w:ilvl="0" w:tplc="4EBCE34E">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nsid w:val="628B3E6B"/>
    <w:multiLevelType w:val="hybridMultilevel"/>
    <w:tmpl w:val="B81A677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nsid w:val="655A73FB"/>
    <w:multiLevelType w:val="hybridMultilevel"/>
    <w:tmpl w:val="58AC390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nsid w:val="740A647B"/>
    <w:multiLevelType w:val="hybridMultilevel"/>
    <w:tmpl w:val="2A7084C4"/>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4">
    <w:nsid w:val="78691F1F"/>
    <w:multiLevelType w:val="hybridMultilevel"/>
    <w:tmpl w:val="7FCC20AA"/>
    <w:lvl w:ilvl="0" w:tplc="04100001">
      <w:start w:val="1"/>
      <w:numFmt w:val="bullet"/>
      <w:lvlText w:val=""/>
      <w:lvlJc w:val="left"/>
      <w:pPr>
        <w:ind w:left="813" w:hanging="360"/>
      </w:pPr>
      <w:rPr>
        <w:rFonts w:ascii="Symbol" w:hAnsi="Symbol" w:hint="default"/>
      </w:rPr>
    </w:lvl>
    <w:lvl w:ilvl="1" w:tplc="04100003" w:tentative="1">
      <w:start w:val="1"/>
      <w:numFmt w:val="bullet"/>
      <w:lvlText w:val="o"/>
      <w:lvlJc w:val="left"/>
      <w:pPr>
        <w:ind w:left="1533" w:hanging="360"/>
      </w:pPr>
      <w:rPr>
        <w:rFonts w:ascii="Courier New" w:hAnsi="Courier New" w:cs="Courier New" w:hint="default"/>
      </w:rPr>
    </w:lvl>
    <w:lvl w:ilvl="2" w:tplc="04100005" w:tentative="1">
      <w:start w:val="1"/>
      <w:numFmt w:val="bullet"/>
      <w:lvlText w:val=""/>
      <w:lvlJc w:val="left"/>
      <w:pPr>
        <w:ind w:left="2253" w:hanging="360"/>
      </w:pPr>
      <w:rPr>
        <w:rFonts w:ascii="Wingdings" w:hAnsi="Wingdings" w:hint="default"/>
      </w:rPr>
    </w:lvl>
    <w:lvl w:ilvl="3" w:tplc="04100001" w:tentative="1">
      <w:start w:val="1"/>
      <w:numFmt w:val="bullet"/>
      <w:lvlText w:val=""/>
      <w:lvlJc w:val="left"/>
      <w:pPr>
        <w:ind w:left="2973" w:hanging="360"/>
      </w:pPr>
      <w:rPr>
        <w:rFonts w:ascii="Symbol" w:hAnsi="Symbol" w:hint="default"/>
      </w:rPr>
    </w:lvl>
    <w:lvl w:ilvl="4" w:tplc="04100003" w:tentative="1">
      <w:start w:val="1"/>
      <w:numFmt w:val="bullet"/>
      <w:lvlText w:val="o"/>
      <w:lvlJc w:val="left"/>
      <w:pPr>
        <w:ind w:left="3693" w:hanging="360"/>
      </w:pPr>
      <w:rPr>
        <w:rFonts w:ascii="Courier New" w:hAnsi="Courier New" w:cs="Courier New" w:hint="default"/>
      </w:rPr>
    </w:lvl>
    <w:lvl w:ilvl="5" w:tplc="04100005" w:tentative="1">
      <w:start w:val="1"/>
      <w:numFmt w:val="bullet"/>
      <w:lvlText w:val=""/>
      <w:lvlJc w:val="left"/>
      <w:pPr>
        <w:ind w:left="4413" w:hanging="360"/>
      </w:pPr>
      <w:rPr>
        <w:rFonts w:ascii="Wingdings" w:hAnsi="Wingdings" w:hint="default"/>
      </w:rPr>
    </w:lvl>
    <w:lvl w:ilvl="6" w:tplc="04100001" w:tentative="1">
      <w:start w:val="1"/>
      <w:numFmt w:val="bullet"/>
      <w:lvlText w:val=""/>
      <w:lvlJc w:val="left"/>
      <w:pPr>
        <w:ind w:left="5133" w:hanging="360"/>
      </w:pPr>
      <w:rPr>
        <w:rFonts w:ascii="Symbol" w:hAnsi="Symbol" w:hint="default"/>
      </w:rPr>
    </w:lvl>
    <w:lvl w:ilvl="7" w:tplc="04100003" w:tentative="1">
      <w:start w:val="1"/>
      <w:numFmt w:val="bullet"/>
      <w:lvlText w:val="o"/>
      <w:lvlJc w:val="left"/>
      <w:pPr>
        <w:ind w:left="5853" w:hanging="360"/>
      </w:pPr>
      <w:rPr>
        <w:rFonts w:ascii="Courier New" w:hAnsi="Courier New" w:cs="Courier New" w:hint="default"/>
      </w:rPr>
    </w:lvl>
    <w:lvl w:ilvl="8" w:tplc="04100005" w:tentative="1">
      <w:start w:val="1"/>
      <w:numFmt w:val="bullet"/>
      <w:lvlText w:val=""/>
      <w:lvlJc w:val="left"/>
      <w:pPr>
        <w:ind w:left="6573" w:hanging="360"/>
      </w:pPr>
      <w:rPr>
        <w:rFonts w:ascii="Wingdings" w:hAnsi="Wingdings" w:hint="default"/>
      </w:rPr>
    </w:lvl>
  </w:abstractNum>
  <w:abstractNum w:abstractNumId="25">
    <w:nsid w:val="7C3375BE"/>
    <w:multiLevelType w:val="hybridMultilevel"/>
    <w:tmpl w:val="89E8244E"/>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6">
    <w:nsid w:val="7F814023"/>
    <w:multiLevelType w:val="hybridMultilevel"/>
    <w:tmpl w:val="911C77E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26"/>
  </w:num>
  <w:num w:numId="2">
    <w:abstractNumId w:val="14"/>
  </w:num>
  <w:num w:numId="3">
    <w:abstractNumId w:val="19"/>
  </w:num>
  <w:num w:numId="4">
    <w:abstractNumId w:val="8"/>
  </w:num>
  <w:num w:numId="5">
    <w:abstractNumId w:val="10"/>
  </w:num>
  <w:num w:numId="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4"/>
  </w:num>
  <w:num w:numId="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4"/>
  </w:num>
  <w:num w:numId="11">
    <w:abstractNumId w:val="4"/>
  </w:num>
  <w:num w:numId="12">
    <w:abstractNumId w:val="22"/>
  </w:num>
  <w:num w:numId="1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num>
  <w:num w:numId="15">
    <w:abstractNumId w:val="6"/>
  </w:num>
  <w:num w:numId="16">
    <w:abstractNumId w:val="24"/>
  </w:num>
  <w:num w:numId="17">
    <w:abstractNumId w:val="0"/>
  </w:num>
  <w:num w:numId="18">
    <w:abstractNumId w:val="18"/>
  </w:num>
  <w:num w:numId="19">
    <w:abstractNumId w:val="9"/>
  </w:num>
  <w:num w:numId="20">
    <w:abstractNumId w:val="17"/>
  </w:num>
  <w:num w:numId="21">
    <w:abstractNumId w:val="21"/>
  </w:num>
  <w:num w:numId="22">
    <w:abstractNumId w:val="7"/>
  </w:num>
  <w:num w:numId="23">
    <w:abstractNumId w:val="12"/>
  </w:num>
  <w:num w:numId="24">
    <w:abstractNumId w:val="25"/>
  </w:num>
  <w:num w:numId="25">
    <w:abstractNumId w:val="23"/>
  </w:num>
  <w:num w:numId="26">
    <w:abstractNumId w:val="11"/>
  </w:num>
  <w:num w:numId="27">
    <w:abstractNumId w:val="2"/>
  </w:num>
  <w:num w:numId="28">
    <w:abstractNumId w:val="15"/>
  </w:num>
  <w:num w:numId="29">
    <w:abstractNumId w:val="5"/>
  </w:num>
  <w:num w:numId="30">
    <w:abstractNumId w:val="16"/>
  </w:num>
  <w:num w:numId="31">
    <w:abstractNumId w:val="14"/>
  </w:num>
  <w:num w:numId="32">
    <w:abstractNumId w:val="13"/>
  </w:num>
  <w:num w:numId="33">
    <w:abstractNumId w:val="8"/>
  </w:num>
  <w:num w:numId="34">
    <w:abstractNumId w:val="8"/>
  </w:num>
  <w:num w:numId="35">
    <w:abstractNumId w:val="1"/>
  </w:num>
  <w:num w:numId="36">
    <w:abstractNumId w:val="8"/>
  </w:num>
  <w:num w:numId="37">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9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0MjcxNzMwMTI1sDQyMzVQ0lEKTi0uzszPAykwrAUAPd7m9SwAAAA="/>
  </w:docVars>
  <w:rsids>
    <w:rsidRoot w:val="0083387B"/>
    <w:rsid w:val="00016844"/>
    <w:rsid w:val="00024E76"/>
    <w:rsid w:val="0003036D"/>
    <w:rsid w:val="00030EC1"/>
    <w:rsid w:val="00052D77"/>
    <w:rsid w:val="0005527D"/>
    <w:rsid w:val="00065B5E"/>
    <w:rsid w:val="00067332"/>
    <w:rsid w:val="00074993"/>
    <w:rsid w:val="0009302D"/>
    <w:rsid w:val="0009416C"/>
    <w:rsid w:val="0009797C"/>
    <w:rsid w:val="000A23FC"/>
    <w:rsid w:val="000A5880"/>
    <w:rsid w:val="000B61C6"/>
    <w:rsid w:val="000B6E13"/>
    <w:rsid w:val="000D06C6"/>
    <w:rsid w:val="00100E3F"/>
    <w:rsid w:val="0011032F"/>
    <w:rsid w:val="00121C36"/>
    <w:rsid w:val="00122413"/>
    <w:rsid w:val="00135874"/>
    <w:rsid w:val="001564E2"/>
    <w:rsid w:val="00160526"/>
    <w:rsid w:val="001813D3"/>
    <w:rsid w:val="001A47E3"/>
    <w:rsid w:val="001B3AA3"/>
    <w:rsid w:val="001C3D89"/>
    <w:rsid w:val="001D3584"/>
    <w:rsid w:val="001F345E"/>
    <w:rsid w:val="001F67B0"/>
    <w:rsid w:val="00202124"/>
    <w:rsid w:val="0020233A"/>
    <w:rsid w:val="00220B77"/>
    <w:rsid w:val="0023201B"/>
    <w:rsid w:val="00247AEC"/>
    <w:rsid w:val="00250C28"/>
    <w:rsid w:val="00251558"/>
    <w:rsid w:val="00251CED"/>
    <w:rsid w:val="002566DD"/>
    <w:rsid w:val="0026261D"/>
    <w:rsid w:val="002631BC"/>
    <w:rsid w:val="002669AC"/>
    <w:rsid w:val="002730E2"/>
    <w:rsid w:val="00273A6A"/>
    <w:rsid w:val="0027490F"/>
    <w:rsid w:val="00292380"/>
    <w:rsid w:val="002A0027"/>
    <w:rsid w:val="002A2BA4"/>
    <w:rsid w:val="002B62A1"/>
    <w:rsid w:val="002C0D4E"/>
    <w:rsid w:val="002C4258"/>
    <w:rsid w:val="002E2487"/>
    <w:rsid w:val="002E5F35"/>
    <w:rsid w:val="002E75A5"/>
    <w:rsid w:val="002E7841"/>
    <w:rsid w:val="002F1037"/>
    <w:rsid w:val="002F4C8C"/>
    <w:rsid w:val="002F6972"/>
    <w:rsid w:val="00303A27"/>
    <w:rsid w:val="00304434"/>
    <w:rsid w:val="00312156"/>
    <w:rsid w:val="00320B31"/>
    <w:rsid w:val="00321187"/>
    <w:rsid w:val="0033277B"/>
    <w:rsid w:val="0033776A"/>
    <w:rsid w:val="0035109B"/>
    <w:rsid w:val="003917EA"/>
    <w:rsid w:val="003955B4"/>
    <w:rsid w:val="003A17BC"/>
    <w:rsid w:val="003A75AF"/>
    <w:rsid w:val="003D2933"/>
    <w:rsid w:val="003D6FC9"/>
    <w:rsid w:val="003E142C"/>
    <w:rsid w:val="003F018B"/>
    <w:rsid w:val="003F09C8"/>
    <w:rsid w:val="003F6EB6"/>
    <w:rsid w:val="004137AB"/>
    <w:rsid w:val="004236B9"/>
    <w:rsid w:val="00435E75"/>
    <w:rsid w:val="00450807"/>
    <w:rsid w:val="0045084A"/>
    <w:rsid w:val="00455F4B"/>
    <w:rsid w:val="00461191"/>
    <w:rsid w:val="004718AB"/>
    <w:rsid w:val="004834E5"/>
    <w:rsid w:val="004867D4"/>
    <w:rsid w:val="004B0758"/>
    <w:rsid w:val="004B4F48"/>
    <w:rsid w:val="004B7BF1"/>
    <w:rsid w:val="004C17F3"/>
    <w:rsid w:val="004C7AFE"/>
    <w:rsid w:val="004D2B06"/>
    <w:rsid w:val="004D2BD0"/>
    <w:rsid w:val="004D3B38"/>
    <w:rsid w:val="004E1470"/>
    <w:rsid w:val="004E4E96"/>
    <w:rsid w:val="004F6C2B"/>
    <w:rsid w:val="00524A2B"/>
    <w:rsid w:val="00531ED2"/>
    <w:rsid w:val="005453C1"/>
    <w:rsid w:val="00545E7F"/>
    <w:rsid w:val="00546F8A"/>
    <w:rsid w:val="00560F27"/>
    <w:rsid w:val="005629A6"/>
    <w:rsid w:val="0056489E"/>
    <w:rsid w:val="00580AFE"/>
    <w:rsid w:val="005A1C74"/>
    <w:rsid w:val="005A3CEF"/>
    <w:rsid w:val="005C10DA"/>
    <w:rsid w:val="005C43AE"/>
    <w:rsid w:val="005D0431"/>
    <w:rsid w:val="005D3D77"/>
    <w:rsid w:val="005D3EBC"/>
    <w:rsid w:val="005E1F52"/>
    <w:rsid w:val="005F4806"/>
    <w:rsid w:val="005F7416"/>
    <w:rsid w:val="006060A3"/>
    <w:rsid w:val="00610C03"/>
    <w:rsid w:val="006139A4"/>
    <w:rsid w:val="00623EE9"/>
    <w:rsid w:val="00631F0F"/>
    <w:rsid w:val="00643C94"/>
    <w:rsid w:val="00650047"/>
    <w:rsid w:val="00651F44"/>
    <w:rsid w:val="00654770"/>
    <w:rsid w:val="00667278"/>
    <w:rsid w:val="0067025F"/>
    <w:rsid w:val="00671AD5"/>
    <w:rsid w:val="00680295"/>
    <w:rsid w:val="00680ECD"/>
    <w:rsid w:val="006862A8"/>
    <w:rsid w:val="006922B2"/>
    <w:rsid w:val="006923B5"/>
    <w:rsid w:val="00693B7F"/>
    <w:rsid w:val="006A17F1"/>
    <w:rsid w:val="006A7007"/>
    <w:rsid w:val="006C39C4"/>
    <w:rsid w:val="006C7E65"/>
    <w:rsid w:val="006E31D0"/>
    <w:rsid w:val="006E6005"/>
    <w:rsid w:val="00713C41"/>
    <w:rsid w:val="00761237"/>
    <w:rsid w:val="00765725"/>
    <w:rsid w:val="00766274"/>
    <w:rsid w:val="00766A59"/>
    <w:rsid w:val="00772A53"/>
    <w:rsid w:val="00772CB2"/>
    <w:rsid w:val="00785390"/>
    <w:rsid w:val="007865E8"/>
    <w:rsid w:val="007A012B"/>
    <w:rsid w:val="007B31AB"/>
    <w:rsid w:val="007C06E8"/>
    <w:rsid w:val="007C525F"/>
    <w:rsid w:val="007C5B8C"/>
    <w:rsid w:val="007C76F6"/>
    <w:rsid w:val="007D0A82"/>
    <w:rsid w:val="007D50A2"/>
    <w:rsid w:val="007D6F27"/>
    <w:rsid w:val="00802745"/>
    <w:rsid w:val="008043C0"/>
    <w:rsid w:val="0080548E"/>
    <w:rsid w:val="00807242"/>
    <w:rsid w:val="008109A1"/>
    <w:rsid w:val="008142BD"/>
    <w:rsid w:val="0083387B"/>
    <w:rsid w:val="00844B4D"/>
    <w:rsid w:val="00847815"/>
    <w:rsid w:val="00853722"/>
    <w:rsid w:val="008551E9"/>
    <w:rsid w:val="00860860"/>
    <w:rsid w:val="008618AF"/>
    <w:rsid w:val="00896451"/>
    <w:rsid w:val="008966A9"/>
    <w:rsid w:val="00896713"/>
    <w:rsid w:val="008A489F"/>
    <w:rsid w:val="008A706B"/>
    <w:rsid w:val="008B0B6C"/>
    <w:rsid w:val="008B148F"/>
    <w:rsid w:val="008B4125"/>
    <w:rsid w:val="008B493F"/>
    <w:rsid w:val="008B56FD"/>
    <w:rsid w:val="008C510E"/>
    <w:rsid w:val="008C58B0"/>
    <w:rsid w:val="008D619E"/>
    <w:rsid w:val="008F4254"/>
    <w:rsid w:val="00903B61"/>
    <w:rsid w:val="00917793"/>
    <w:rsid w:val="00924A17"/>
    <w:rsid w:val="009274BE"/>
    <w:rsid w:val="009279AE"/>
    <w:rsid w:val="0093543F"/>
    <w:rsid w:val="0094009E"/>
    <w:rsid w:val="009550ED"/>
    <w:rsid w:val="009717A1"/>
    <w:rsid w:val="00974C98"/>
    <w:rsid w:val="00980478"/>
    <w:rsid w:val="00980618"/>
    <w:rsid w:val="009829B8"/>
    <w:rsid w:val="009906E9"/>
    <w:rsid w:val="009B27AE"/>
    <w:rsid w:val="009B2EB0"/>
    <w:rsid w:val="009D456D"/>
    <w:rsid w:val="009D4CD6"/>
    <w:rsid w:val="009F0240"/>
    <w:rsid w:val="00A00B8F"/>
    <w:rsid w:val="00A03E93"/>
    <w:rsid w:val="00A31B62"/>
    <w:rsid w:val="00A458E8"/>
    <w:rsid w:val="00A4783E"/>
    <w:rsid w:val="00A67AE0"/>
    <w:rsid w:val="00A71A89"/>
    <w:rsid w:val="00A81953"/>
    <w:rsid w:val="00A92DEB"/>
    <w:rsid w:val="00AA13B9"/>
    <w:rsid w:val="00AA48EE"/>
    <w:rsid w:val="00AD540E"/>
    <w:rsid w:val="00AE37C9"/>
    <w:rsid w:val="00AE49DB"/>
    <w:rsid w:val="00AF7D8A"/>
    <w:rsid w:val="00B11BED"/>
    <w:rsid w:val="00B15822"/>
    <w:rsid w:val="00B17C15"/>
    <w:rsid w:val="00B25A9F"/>
    <w:rsid w:val="00B36B16"/>
    <w:rsid w:val="00B37DAE"/>
    <w:rsid w:val="00B42B6E"/>
    <w:rsid w:val="00B54E13"/>
    <w:rsid w:val="00B6723D"/>
    <w:rsid w:val="00B72B77"/>
    <w:rsid w:val="00B766FF"/>
    <w:rsid w:val="00B83089"/>
    <w:rsid w:val="00B9312A"/>
    <w:rsid w:val="00BA52C0"/>
    <w:rsid w:val="00BA67BE"/>
    <w:rsid w:val="00BA68B9"/>
    <w:rsid w:val="00BA6A3E"/>
    <w:rsid w:val="00BB7838"/>
    <w:rsid w:val="00BB7D1A"/>
    <w:rsid w:val="00BC09A2"/>
    <w:rsid w:val="00BC478F"/>
    <w:rsid w:val="00BE71BD"/>
    <w:rsid w:val="00C04384"/>
    <w:rsid w:val="00C047F6"/>
    <w:rsid w:val="00C06A9B"/>
    <w:rsid w:val="00C10A58"/>
    <w:rsid w:val="00C10C9F"/>
    <w:rsid w:val="00C10EFB"/>
    <w:rsid w:val="00C24EC9"/>
    <w:rsid w:val="00C31B96"/>
    <w:rsid w:val="00C418DD"/>
    <w:rsid w:val="00C44ECA"/>
    <w:rsid w:val="00C45539"/>
    <w:rsid w:val="00C55EF0"/>
    <w:rsid w:val="00C73050"/>
    <w:rsid w:val="00CA6996"/>
    <w:rsid w:val="00CA6D1A"/>
    <w:rsid w:val="00CB05A6"/>
    <w:rsid w:val="00CB4A43"/>
    <w:rsid w:val="00CB5721"/>
    <w:rsid w:val="00CC0159"/>
    <w:rsid w:val="00CC2AE2"/>
    <w:rsid w:val="00CD1022"/>
    <w:rsid w:val="00CE41C2"/>
    <w:rsid w:val="00CF0288"/>
    <w:rsid w:val="00CF3CCB"/>
    <w:rsid w:val="00D04A29"/>
    <w:rsid w:val="00D06F9D"/>
    <w:rsid w:val="00D10566"/>
    <w:rsid w:val="00D1291D"/>
    <w:rsid w:val="00D51C5A"/>
    <w:rsid w:val="00D52142"/>
    <w:rsid w:val="00D548E3"/>
    <w:rsid w:val="00D733FA"/>
    <w:rsid w:val="00D83702"/>
    <w:rsid w:val="00D91113"/>
    <w:rsid w:val="00D974A3"/>
    <w:rsid w:val="00DA431B"/>
    <w:rsid w:val="00DB370D"/>
    <w:rsid w:val="00DC0304"/>
    <w:rsid w:val="00DE1434"/>
    <w:rsid w:val="00DE323C"/>
    <w:rsid w:val="00DF7124"/>
    <w:rsid w:val="00E26BC5"/>
    <w:rsid w:val="00E34B2F"/>
    <w:rsid w:val="00E3772F"/>
    <w:rsid w:val="00E41042"/>
    <w:rsid w:val="00E564B2"/>
    <w:rsid w:val="00E63271"/>
    <w:rsid w:val="00E662AE"/>
    <w:rsid w:val="00E83DC2"/>
    <w:rsid w:val="00E94452"/>
    <w:rsid w:val="00EA5B08"/>
    <w:rsid w:val="00EA7805"/>
    <w:rsid w:val="00EC0D6E"/>
    <w:rsid w:val="00EC386E"/>
    <w:rsid w:val="00ED156A"/>
    <w:rsid w:val="00ED4268"/>
    <w:rsid w:val="00EF12B7"/>
    <w:rsid w:val="00EF3673"/>
    <w:rsid w:val="00EF4820"/>
    <w:rsid w:val="00EF60A6"/>
    <w:rsid w:val="00F02815"/>
    <w:rsid w:val="00F252A5"/>
    <w:rsid w:val="00F31629"/>
    <w:rsid w:val="00F31D12"/>
    <w:rsid w:val="00F51C2D"/>
    <w:rsid w:val="00F649B4"/>
    <w:rsid w:val="00F64D3C"/>
    <w:rsid w:val="00F81CDA"/>
    <w:rsid w:val="00F839E2"/>
    <w:rsid w:val="00FB7CDE"/>
    <w:rsid w:val="00FB7DAB"/>
    <w:rsid w:val="00FD0C2B"/>
    <w:rsid w:val="00FD2D52"/>
    <w:rsid w:val="00FE5C9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D096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80548E"/>
    <w:pPr>
      <w:spacing w:line="360" w:lineRule="auto"/>
      <w:ind w:firstLine="397"/>
      <w:jc w:val="both"/>
    </w:pPr>
    <w:rPr>
      <w:rFonts w:ascii="Times New Roman" w:hAnsi="Times New Roman"/>
      <w:lang w:val="en-GB"/>
    </w:rPr>
  </w:style>
  <w:style w:type="paragraph" w:styleId="Titolo1">
    <w:name w:val="heading 1"/>
    <w:basedOn w:val="Normale"/>
    <w:next w:val="Normale"/>
    <w:link w:val="Titolo1Carattere"/>
    <w:uiPriority w:val="99"/>
    <w:qFormat/>
    <w:rsid w:val="00FE5C96"/>
    <w:pPr>
      <w:keepNext/>
      <w:keepLines/>
      <w:spacing w:before="480" w:after="0"/>
      <w:outlineLvl w:val="0"/>
    </w:pPr>
    <w:rPr>
      <w:rFonts w:asciiTheme="majorHAnsi" w:eastAsiaTheme="majorEastAsia" w:hAnsiTheme="majorHAnsi" w:cstheme="majorBidi"/>
      <w:b/>
      <w:bCs/>
      <w:color w:val="943634" w:themeColor="accent2" w:themeShade="BF"/>
      <w:sz w:val="28"/>
      <w:szCs w:val="28"/>
    </w:rPr>
  </w:style>
  <w:style w:type="paragraph" w:styleId="Titolo2">
    <w:name w:val="heading 2"/>
    <w:basedOn w:val="Normale"/>
    <w:next w:val="Normale"/>
    <w:link w:val="Titolo2Carattere"/>
    <w:uiPriority w:val="9"/>
    <w:unhideWhenUsed/>
    <w:qFormat/>
    <w:rsid w:val="006922B2"/>
    <w:pPr>
      <w:keepNext/>
      <w:keepLines/>
      <w:numPr>
        <w:numId w:val="2"/>
      </w:numPr>
      <w:spacing w:before="200" w:after="0"/>
      <w:outlineLvl w:val="1"/>
    </w:pPr>
    <w:rPr>
      <w:rFonts w:eastAsiaTheme="majorEastAsia" w:cstheme="majorBidi"/>
      <w:b/>
      <w:bCs/>
      <w:color w:val="4F81BD" w:themeColor="accent1"/>
      <w:sz w:val="26"/>
      <w:szCs w:val="26"/>
    </w:rPr>
  </w:style>
  <w:style w:type="paragraph" w:styleId="Titolo3">
    <w:name w:val="heading 3"/>
    <w:basedOn w:val="Normale"/>
    <w:next w:val="Normale"/>
    <w:link w:val="Titolo3Carattere"/>
    <w:uiPriority w:val="9"/>
    <w:unhideWhenUsed/>
    <w:rsid w:val="00FE5C96"/>
    <w:pPr>
      <w:keepNext/>
      <w:keepLines/>
      <w:numPr>
        <w:numId w:val="4"/>
      </w:numPr>
      <w:spacing w:before="200" w:after="0"/>
      <w:outlineLvl w:val="2"/>
    </w:pPr>
    <w:rPr>
      <w:rFonts w:asciiTheme="majorHAnsi" w:eastAsiaTheme="majorEastAsia" w:hAnsiTheme="majorHAnsi" w:cstheme="majorBidi"/>
      <w:b/>
      <w:bCs/>
      <w:color w:val="C0504D" w:themeColor="accent2"/>
    </w:rPr>
  </w:style>
  <w:style w:type="paragraph" w:styleId="Titolo4">
    <w:name w:val="heading 4"/>
    <w:basedOn w:val="Normale"/>
    <w:next w:val="Normale"/>
    <w:link w:val="Titolo4Carattere"/>
    <w:uiPriority w:val="9"/>
    <w:unhideWhenUsed/>
    <w:qFormat/>
    <w:rsid w:val="00FE5C96"/>
    <w:pPr>
      <w:keepNext/>
      <w:keepLines/>
      <w:spacing w:before="200" w:after="0"/>
      <w:outlineLvl w:val="3"/>
    </w:pPr>
    <w:rPr>
      <w:rFonts w:asciiTheme="majorHAnsi" w:eastAsiaTheme="majorEastAsia" w:hAnsiTheme="majorHAnsi" w:cstheme="majorBidi"/>
      <w:b/>
      <w:bCs/>
      <w:i/>
      <w:iCs/>
      <w:color w:val="C0504D" w:themeColor="accent2"/>
    </w:rPr>
  </w:style>
  <w:style w:type="paragraph" w:styleId="Titolo5">
    <w:name w:val="heading 5"/>
    <w:basedOn w:val="Normale"/>
    <w:next w:val="Normale"/>
    <w:link w:val="Titolo5Carattere"/>
    <w:uiPriority w:val="9"/>
    <w:semiHidden/>
    <w:unhideWhenUsed/>
    <w:qFormat/>
    <w:rsid w:val="00FE5C96"/>
    <w:pPr>
      <w:keepNext/>
      <w:keepLines/>
      <w:spacing w:before="200" w:after="0"/>
      <w:outlineLvl w:val="4"/>
    </w:pPr>
    <w:rPr>
      <w:rFonts w:asciiTheme="majorHAnsi" w:eastAsiaTheme="majorEastAsia" w:hAnsiTheme="majorHAnsi" w:cstheme="majorBidi"/>
      <w:color w:val="632423" w:themeColor="accent2" w:themeShade="8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itolo">
    <w:name w:val="Title"/>
    <w:basedOn w:val="Normale"/>
    <w:next w:val="Normale"/>
    <w:link w:val="TitoloCarattere"/>
    <w:uiPriority w:val="10"/>
    <w:qFormat/>
    <w:rsid w:val="0083387B"/>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oloCarattere">
    <w:name w:val="Titolo Carattere"/>
    <w:basedOn w:val="Carpredefinitoparagrafo"/>
    <w:link w:val="Titolo"/>
    <w:uiPriority w:val="10"/>
    <w:rsid w:val="0083387B"/>
    <w:rPr>
      <w:rFonts w:asciiTheme="majorHAnsi" w:eastAsiaTheme="majorEastAsia" w:hAnsiTheme="majorHAnsi" w:cstheme="majorBidi"/>
      <w:color w:val="17365D" w:themeColor="text2" w:themeShade="BF"/>
      <w:spacing w:val="5"/>
      <w:kern w:val="28"/>
      <w:sz w:val="52"/>
      <w:szCs w:val="52"/>
      <w:lang w:val="en-GB"/>
    </w:rPr>
  </w:style>
  <w:style w:type="character" w:customStyle="1" w:styleId="Titolo1Carattere">
    <w:name w:val="Titolo 1 Carattere"/>
    <w:basedOn w:val="Carpredefinitoparagrafo"/>
    <w:link w:val="Titolo1"/>
    <w:uiPriority w:val="9"/>
    <w:rsid w:val="00FE5C96"/>
    <w:rPr>
      <w:rFonts w:asciiTheme="majorHAnsi" w:eastAsiaTheme="majorEastAsia" w:hAnsiTheme="majorHAnsi" w:cstheme="majorBidi"/>
      <w:b/>
      <w:bCs/>
      <w:color w:val="943634" w:themeColor="accent2" w:themeShade="BF"/>
      <w:sz w:val="28"/>
      <w:szCs w:val="28"/>
      <w:lang w:val="en-GB"/>
    </w:rPr>
  </w:style>
  <w:style w:type="paragraph" w:styleId="Paragrafoelenco">
    <w:name w:val="List Paragraph"/>
    <w:basedOn w:val="Normale"/>
    <w:link w:val="ParagrafoelencoCarattere"/>
    <w:uiPriority w:val="34"/>
    <w:qFormat/>
    <w:rsid w:val="00CA6996"/>
    <w:pPr>
      <w:spacing w:after="0"/>
      <w:ind w:left="720"/>
      <w:contextualSpacing/>
    </w:pPr>
  </w:style>
  <w:style w:type="character" w:customStyle="1" w:styleId="Titolo2Carattere">
    <w:name w:val="Titolo 2 Carattere"/>
    <w:basedOn w:val="Carpredefinitoparagrafo"/>
    <w:link w:val="Titolo2"/>
    <w:uiPriority w:val="9"/>
    <w:rsid w:val="006922B2"/>
    <w:rPr>
      <w:rFonts w:ascii="Times New Roman" w:eastAsiaTheme="majorEastAsia" w:hAnsi="Times New Roman" w:cstheme="majorBidi"/>
      <w:b/>
      <w:bCs/>
      <w:color w:val="4F81BD" w:themeColor="accent1"/>
      <w:sz w:val="26"/>
      <w:szCs w:val="26"/>
      <w:lang w:val="en-GB"/>
    </w:rPr>
  </w:style>
  <w:style w:type="character" w:customStyle="1" w:styleId="Titolo3Carattere">
    <w:name w:val="Titolo 3 Carattere"/>
    <w:basedOn w:val="Carpredefinitoparagrafo"/>
    <w:link w:val="Titolo3"/>
    <w:uiPriority w:val="9"/>
    <w:rsid w:val="00FE5C96"/>
    <w:rPr>
      <w:rFonts w:asciiTheme="majorHAnsi" w:eastAsiaTheme="majorEastAsia" w:hAnsiTheme="majorHAnsi" w:cstheme="majorBidi"/>
      <w:b/>
      <w:bCs/>
      <w:color w:val="C0504D" w:themeColor="accent2"/>
      <w:lang w:val="en-GB"/>
    </w:rPr>
  </w:style>
  <w:style w:type="character" w:customStyle="1" w:styleId="Titolo4Carattere">
    <w:name w:val="Titolo 4 Carattere"/>
    <w:basedOn w:val="Carpredefinitoparagrafo"/>
    <w:link w:val="Titolo4"/>
    <w:uiPriority w:val="9"/>
    <w:rsid w:val="00FE5C96"/>
    <w:rPr>
      <w:rFonts w:asciiTheme="majorHAnsi" w:eastAsiaTheme="majorEastAsia" w:hAnsiTheme="majorHAnsi" w:cstheme="majorBidi"/>
      <w:b/>
      <w:bCs/>
      <w:i/>
      <w:iCs/>
      <w:color w:val="C0504D" w:themeColor="accent2"/>
      <w:lang w:val="en-GB"/>
    </w:rPr>
  </w:style>
  <w:style w:type="paragraph" w:styleId="Nessunaspaziatura">
    <w:name w:val="No Spacing"/>
    <w:uiPriority w:val="1"/>
    <w:qFormat/>
    <w:rsid w:val="00292380"/>
    <w:pPr>
      <w:spacing w:after="0" w:line="240" w:lineRule="auto"/>
      <w:jc w:val="both"/>
    </w:pPr>
    <w:rPr>
      <w:lang w:val="en-GB"/>
    </w:rPr>
  </w:style>
  <w:style w:type="paragraph" w:styleId="Sottotitolo">
    <w:name w:val="Subtitle"/>
    <w:basedOn w:val="Normale"/>
    <w:next w:val="Normale"/>
    <w:link w:val="SottotitoloCarattere"/>
    <w:uiPriority w:val="11"/>
    <w:qFormat/>
    <w:rsid w:val="00FE5C96"/>
    <w:pPr>
      <w:numPr>
        <w:ilvl w:val="1"/>
      </w:numPr>
      <w:ind w:firstLine="397"/>
    </w:pPr>
    <w:rPr>
      <w:rFonts w:asciiTheme="majorHAnsi" w:eastAsiaTheme="majorEastAsia" w:hAnsiTheme="majorHAnsi" w:cstheme="majorBidi"/>
      <w:i/>
      <w:iCs/>
      <w:color w:val="C0504D" w:themeColor="accent2"/>
      <w:spacing w:val="15"/>
      <w:sz w:val="24"/>
      <w:szCs w:val="24"/>
    </w:rPr>
  </w:style>
  <w:style w:type="character" w:customStyle="1" w:styleId="SottotitoloCarattere">
    <w:name w:val="Sottotitolo Carattere"/>
    <w:basedOn w:val="Carpredefinitoparagrafo"/>
    <w:link w:val="Sottotitolo"/>
    <w:uiPriority w:val="11"/>
    <w:rsid w:val="00FE5C96"/>
    <w:rPr>
      <w:rFonts w:asciiTheme="majorHAnsi" w:eastAsiaTheme="majorEastAsia" w:hAnsiTheme="majorHAnsi" w:cstheme="majorBidi"/>
      <w:i/>
      <w:iCs/>
      <w:color w:val="C0504D" w:themeColor="accent2"/>
      <w:spacing w:val="15"/>
      <w:sz w:val="24"/>
      <w:szCs w:val="24"/>
      <w:lang w:val="en-GB"/>
    </w:rPr>
  </w:style>
  <w:style w:type="character" w:customStyle="1" w:styleId="Titolo5Carattere">
    <w:name w:val="Titolo 5 Carattere"/>
    <w:basedOn w:val="Carpredefinitoparagrafo"/>
    <w:link w:val="Titolo5"/>
    <w:uiPriority w:val="9"/>
    <w:semiHidden/>
    <w:rsid w:val="00FE5C96"/>
    <w:rPr>
      <w:rFonts w:asciiTheme="majorHAnsi" w:eastAsiaTheme="majorEastAsia" w:hAnsiTheme="majorHAnsi" w:cstheme="majorBidi"/>
      <w:color w:val="632423" w:themeColor="accent2" w:themeShade="80"/>
      <w:lang w:val="en-GB"/>
    </w:rPr>
  </w:style>
  <w:style w:type="character" w:styleId="Rimandocommento">
    <w:name w:val="annotation reference"/>
    <w:basedOn w:val="Carpredefinitoparagrafo"/>
    <w:uiPriority w:val="99"/>
    <w:semiHidden/>
    <w:unhideWhenUsed/>
    <w:rsid w:val="00CC0159"/>
    <w:rPr>
      <w:sz w:val="16"/>
      <w:szCs w:val="16"/>
    </w:rPr>
  </w:style>
  <w:style w:type="paragraph" w:styleId="Testocommento">
    <w:name w:val="annotation text"/>
    <w:basedOn w:val="Normale"/>
    <w:link w:val="TestocommentoCarattere"/>
    <w:uiPriority w:val="99"/>
    <w:semiHidden/>
    <w:unhideWhenUsed/>
    <w:rsid w:val="00CC0159"/>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CC0159"/>
    <w:rPr>
      <w:sz w:val="20"/>
      <w:szCs w:val="20"/>
      <w:lang w:val="en-GB"/>
    </w:rPr>
  </w:style>
  <w:style w:type="paragraph" w:styleId="Soggettocommento">
    <w:name w:val="annotation subject"/>
    <w:basedOn w:val="Testocommento"/>
    <w:next w:val="Testocommento"/>
    <w:link w:val="SoggettocommentoCarattere"/>
    <w:uiPriority w:val="99"/>
    <w:semiHidden/>
    <w:unhideWhenUsed/>
    <w:rsid w:val="00CC0159"/>
    <w:rPr>
      <w:b/>
      <w:bCs/>
    </w:rPr>
  </w:style>
  <w:style w:type="character" w:customStyle="1" w:styleId="SoggettocommentoCarattere">
    <w:name w:val="Soggetto commento Carattere"/>
    <w:basedOn w:val="TestocommentoCarattere"/>
    <w:link w:val="Soggettocommento"/>
    <w:uiPriority w:val="99"/>
    <w:semiHidden/>
    <w:rsid w:val="00CC0159"/>
    <w:rPr>
      <w:b/>
      <w:bCs/>
      <w:sz w:val="20"/>
      <w:szCs w:val="20"/>
      <w:lang w:val="en-GB"/>
    </w:rPr>
  </w:style>
  <w:style w:type="paragraph" w:styleId="Testofumetto">
    <w:name w:val="Balloon Text"/>
    <w:basedOn w:val="Normale"/>
    <w:link w:val="TestofumettoCarattere"/>
    <w:uiPriority w:val="99"/>
    <w:semiHidden/>
    <w:unhideWhenUsed/>
    <w:rsid w:val="00CC015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C0159"/>
    <w:rPr>
      <w:rFonts w:ascii="Tahoma" w:hAnsi="Tahoma" w:cs="Tahoma"/>
      <w:sz w:val="16"/>
      <w:szCs w:val="16"/>
      <w:lang w:val="en-GB"/>
    </w:rPr>
  </w:style>
  <w:style w:type="paragraph" w:styleId="Didascalia">
    <w:name w:val="caption"/>
    <w:basedOn w:val="Normale"/>
    <w:next w:val="Normale"/>
    <w:uiPriority w:val="35"/>
    <w:unhideWhenUsed/>
    <w:qFormat/>
    <w:rsid w:val="00450807"/>
    <w:pPr>
      <w:spacing w:line="240" w:lineRule="auto"/>
      <w:jc w:val="center"/>
    </w:pPr>
    <w:rPr>
      <w:i/>
      <w:iCs/>
      <w:szCs w:val="18"/>
    </w:rPr>
  </w:style>
  <w:style w:type="character" w:customStyle="1" w:styleId="FormatvorlageCambriaMathKursiv">
    <w:name w:val="Formatvorlage Cambria Math Kursiv"/>
    <w:rsid w:val="003F018B"/>
    <w:rPr>
      <w:rFonts w:ascii="Cambria Math" w:hAnsi="Cambria Math"/>
      <w:i/>
    </w:rPr>
  </w:style>
  <w:style w:type="table" w:styleId="Grigliatabella">
    <w:name w:val="Table Grid"/>
    <w:basedOn w:val="Tabellanormale"/>
    <w:uiPriority w:val="59"/>
    <w:rsid w:val="003F018B"/>
    <w:pPr>
      <w:spacing w:after="0" w:line="240" w:lineRule="auto"/>
    </w:pPr>
    <w:rPr>
      <w:rFonts w:ascii="Times New Roman" w:eastAsia="Times New Roman" w:hAnsi="Times New Roman" w:cs="Times New Roman"/>
      <w:sz w:val="20"/>
      <w:szCs w:val="20"/>
      <w:lang w:val="fi-FI" w:eastAsia="fi-F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rmel">
    <w:name w:val="Formel"/>
    <w:basedOn w:val="Normale"/>
    <w:qFormat/>
    <w:rsid w:val="003F018B"/>
    <w:pPr>
      <w:tabs>
        <w:tab w:val="left" w:pos="851"/>
        <w:tab w:val="left" w:pos="1701"/>
        <w:tab w:val="left" w:pos="2552"/>
        <w:tab w:val="left" w:pos="3402"/>
        <w:tab w:val="left" w:pos="4253"/>
        <w:tab w:val="left" w:pos="5103"/>
      </w:tabs>
      <w:spacing w:before="120" w:after="0"/>
    </w:pPr>
    <w:rPr>
      <w:rFonts w:ascii="Cambria Math" w:eastAsia="Times New Roman" w:hAnsi="Cambria Math" w:cs="Times New Roman"/>
      <w:i/>
      <w:iCs/>
      <w:noProof/>
      <w:sz w:val="20"/>
      <w:szCs w:val="24"/>
      <w:lang w:val="de-DE" w:eastAsia="de-DE"/>
    </w:rPr>
  </w:style>
  <w:style w:type="character" w:customStyle="1" w:styleId="ParagrafoelencoCarattere">
    <w:name w:val="Paragrafo elenco Carattere"/>
    <w:basedOn w:val="Carpredefinitoparagrafo"/>
    <w:link w:val="Paragrafoelenco"/>
    <w:uiPriority w:val="34"/>
    <w:rsid w:val="00CA6996"/>
    <w:rPr>
      <w:rFonts w:ascii="Times New Roman" w:hAnsi="Times New Roman"/>
      <w:lang w:val="en-GB"/>
    </w:rPr>
  </w:style>
  <w:style w:type="table" w:styleId="Elencochiaro-Colore1">
    <w:name w:val="Light List Accent 1"/>
    <w:basedOn w:val="Tabellanormale"/>
    <w:uiPriority w:val="61"/>
    <w:rsid w:val="00C55EF0"/>
    <w:pPr>
      <w:spacing w:after="0" w:line="240" w:lineRule="auto"/>
    </w:pPr>
    <w:rPr>
      <w:rFonts w:ascii="Times New Roman" w:eastAsia="Times New Roman" w:hAnsi="Times New Roman" w:cs="Times New Roman"/>
      <w:sz w:val="20"/>
      <w:szCs w:val="20"/>
      <w:lang w:eastAsia="it-IT"/>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Jasnasiatkaakcent11">
    <w:name w:val="Jasna siatka — akcent 11"/>
    <w:basedOn w:val="Tabellanormale"/>
    <w:uiPriority w:val="62"/>
    <w:rsid w:val="00E662AE"/>
    <w:pPr>
      <w:spacing w:after="0" w:line="240" w:lineRule="auto"/>
    </w:pPr>
    <w:rPr>
      <w:rFonts w:ascii="Times New Roman" w:eastAsia="Times New Roman" w:hAnsi="Times New Roman" w:cs="Times New Roman"/>
      <w:sz w:val="20"/>
      <w:szCs w:val="20"/>
      <w:lang w:eastAsia="it-IT"/>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NormaleWeb">
    <w:name w:val="Normal (Web)"/>
    <w:basedOn w:val="Normale"/>
    <w:uiPriority w:val="99"/>
    <w:unhideWhenUsed/>
    <w:rsid w:val="004D2BD0"/>
    <w:pPr>
      <w:spacing w:before="100" w:beforeAutospacing="1" w:after="100" w:afterAutospacing="1" w:line="240" w:lineRule="auto"/>
      <w:jc w:val="left"/>
    </w:pPr>
    <w:rPr>
      <w:rFonts w:eastAsia="Times New Roman" w:cs="Times New Roman"/>
      <w:sz w:val="24"/>
      <w:szCs w:val="24"/>
      <w:lang w:eastAsia="en-GB"/>
    </w:rPr>
  </w:style>
  <w:style w:type="paragraph" w:styleId="Intestazione">
    <w:name w:val="header"/>
    <w:basedOn w:val="Normale"/>
    <w:link w:val="IntestazioneCarattere"/>
    <w:uiPriority w:val="99"/>
    <w:unhideWhenUsed/>
    <w:rsid w:val="009B2EB0"/>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9B2EB0"/>
    <w:rPr>
      <w:lang w:val="en-GB"/>
    </w:rPr>
  </w:style>
  <w:style w:type="paragraph" w:styleId="Pidipagina">
    <w:name w:val="footer"/>
    <w:basedOn w:val="Normale"/>
    <w:link w:val="PidipaginaCarattere"/>
    <w:uiPriority w:val="99"/>
    <w:unhideWhenUsed/>
    <w:rsid w:val="009B2EB0"/>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9B2EB0"/>
    <w:rPr>
      <w:lang w:val="en-GB"/>
    </w:rPr>
  </w:style>
  <w:style w:type="paragraph" w:customStyle="1" w:styleId="Table">
    <w:name w:val="Table"/>
    <w:basedOn w:val="Normale"/>
    <w:qFormat/>
    <w:rsid w:val="00CF3CCB"/>
    <w:pPr>
      <w:spacing w:after="0"/>
      <w:ind w:firstLine="0"/>
      <w:jc w:val="center"/>
    </w:pPr>
    <w:rPr>
      <w:rFonts w:eastAsiaTheme="majorEastAsia" w:cs="Times New Roman"/>
      <w:bCs/>
      <w:color w:val="000000"/>
      <w:szCs w:val="20"/>
      <w:lang w:eastAsia="it-IT"/>
    </w:rPr>
  </w:style>
  <w:style w:type="table" w:customStyle="1" w:styleId="ListTable3-Accent11">
    <w:name w:val="List Table 3 - Accent 11"/>
    <w:basedOn w:val="Tabellanormale"/>
    <w:uiPriority w:val="48"/>
    <w:rsid w:val="00CA6996"/>
    <w:pPr>
      <w:spacing w:after="0" w:line="240" w:lineRule="auto"/>
    </w:pPr>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b/>
        <w:bCs/>
        <w:color w:val="FFFFFF" w:themeColor="background1"/>
      </w:rPr>
      <w:tblPr/>
      <w:tcPr>
        <w:shd w:val="clear" w:color="auto" w:fill="4F81BD" w:themeFill="accent1"/>
      </w:tcPr>
    </w:tblStylePr>
    <w:tblStylePr w:type="lastRow">
      <w:rPr>
        <w:b/>
        <w:bCs/>
      </w:rPr>
      <w:tblPr/>
      <w:tcPr>
        <w:tcBorders>
          <w:top w:val="double" w:sz="4" w:space="0" w:color="4F81BD"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F81BD" w:themeColor="accent1"/>
          <w:right w:val="single" w:sz="4" w:space="0" w:color="4F81BD" w:themeColor="accent1"/>
        </w:tcBorders>
      </w:tcPr>
    </w:tblStylePr>
    <w:tblStylePr w:type="band1Horz">
      <w:tblPr/>
      <w:tcPr>
        <w:tcBorders>
          <w:top w:val="single" w:sz="4" w:space="0" w:color="4F81BD" w:themeColor="accent1"/>
          <w:bottom w:val="single" w:sz="4" w:space="0" w:color="4F81BD"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themeColor="accent1"/>
          <w:left w:val="nil"/>
        </w:tcBorders>
      </w:tcPr>
    </w:tblStylePr>
    <w:tblStylePr w:type="swCell">
      <w:tblPr/>
      <w:tcPr>
        <w:tcBorders>
          <w:top w:val="double" w:sz="4" w:space="0" w:color="4F81BD" w:themeColor="accent1"/>
          <w:right w:val="nil"/>
        </w:tcBorders>
      </w:tcPr>
    </w:tblStylePr>
  </w:style>
  <w:style w:type="paragraph" w:customStyle="1" w:styleId="RSCH02PaperAuthorsandByline">
    <w:name w:val="RSC H02 Paper Authors and Byline"/>
    <w:basedOn w:val="Normale"/>
    <w:link w:val="RSCH02PaperAuthorsandBylineChar"/>
    <w:rsid w:val="00E26BC5"/>
    <w:pPr>
      <w:spacing w:after="120" w:line="240" w:lineRule="exact"/>
      <w:ind w:firstLine="0"/>
      <w:jc w:val="left"/>
    </w:pPr>
    <w:rPr>
      <w:rFonts w:asciiTheme="minorHAnsi" w:hAnsiTheme="minorHAnsi" w:cs="Times New Roman"/>
      <w:sz w:val="20"/>
    </w:rPr>
  </w:style>
  <w:style w:type="character" w:customStyle="1" w:styleId="RSCH02PaperAuthorsandBylineChar">
    <w:name w:val="RSC H02 Paper Authors and Byline Char"/>
    <w:basedOn w:val="Carpredefinitoparagrafo"/>
    <w:link w:val="RSCH02PaperAuthorsandByline"/>
    <w:rsid w:val="00E26BC5"/>
    <w:rPr>
      <w:rFonts w:cs="Times New Roman"/>
      <w:sz w:val="20"/>
      <w:lang w:val="en-GB"/>
    </w:rPr>
  </w:style>
  <w:style w:type="paragraph" w:styleId="Testonotaapidipagina">
    <w:name w:val="footnote text"/>
    <w:basedOn w:val="Normale"/>
    <w:link w:val="TestonotaapidipaginaCarattere"/>
    <w:uiPriority w:val="99"/>
    <w:semiHidden/>
    <w:unhideWhenUsed/>
    <w:rsid w:val="00E26BC5"/>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E26BC5"/>
    <w:rPr>
      <w:rFonts w:ascii="Times New Roman" w:hAnsi="Times New Roman"/>
      <w:sz w:val="20"/>
      <w:szCs w:val="20"/>
      <w:lang w:val="en-GB"/>
    </w:rPr>
  </w:style>
  <w:style w:type="character" w:styleId="Rimandonotaapidipagina">
    <w:name w:val="footnote reference"/>
    <w:basedOn w:val="Carpredefinitoparagrafo"/>
    <w:uiPriority w:val="99"/>
    <w:semiHidden/>
    <w:unhideWhenUsed/>
    <w:rsid w:val="00E26BC5"/>
    <w:rPr>
      <w:vertAlign w:val="superscript"/>
    </w:rPr>
  </w:style>
  <w:style w:type="paragraph" w:customStyle="1" w:styleId="RSCF01FootnoteAuthorAddress">
    <w:name w:val="RSC F01 Footnote Author Address"/>
    <w:link w:val="RSCF01FootnoteAuthorAddressChar"/>
    <w:rsid w:val="00E26BC5"/>
    <w:pPr>
      <w:numPr>
        <w:numId w:val="32"/>
      </w:numPr>
      <w:pBdr>
        <w:top w:val="single" w:sz="12" w:space="1" w:color="A6A6A6" w:themeColor="background1" w:themeShade="A6"/>
      </w:pBdr>
      <w:spacing w:after="0" w:line="240" w:lineRule="auto"/>
      <w:ind w:left="85" w:hanging="85"/>
      <w:suppressOverlap/>
    </w:pPr>
    <w:rPr>
      <w:rFonts w:cs="Times New Roman"/>
      <w:i/>
      <w:w w:val="105"/>
      <w:sz w:val="14"/>
      <w:szCs w:val="14"/>
      <w:lang w:val="en-GB"/>
    </w:rPr>
  </w:style>
  <w:style w:type="character" w:customStyle="1" w:styleId="RSCF01FootnoteAuthorAddressChar">
    <w:name w:val="RSC F01 Footnote Author Address Char"/>
    <w:basedOn w:val="Carpredefinitoparagrafo"/>
    <w:link w:val="RSCF01FootnoteAuthorAddress"/>
    <w:rsid w:val="00E26BC5"/>
    <w:rPr>
      <w:rFonts w:cs="Times New Roman"/>
      <w:i/>
      <w:w w:val="105"/>
      <w:sz w:val="14"/>
      <w:szCs w:val="14"/>
      <w:lang w:val="en-GB"/>
    </w:rPr>
  </w:style>
  <w:style w:type="character" w:styleId="Collegamentoipertestuale">
    <w:name w:val="Hyperlink"/>
    <w:basedOn w:val="Carpredefinitoparagrafo"/>
    <w:uiPriority w:val="99"/>
    <w:semiHidden/>
    <w:unhideWhenUsed/>
    <w:rsid w:val="00BE71BD"/>
    <w:rPr>
      <w:color w:val="0000FF"/>
      <w:u w:val="single"/>
    </w:rPr>
  </w:style>
  <w:style w:type="character" w:styleId="Testosegnaposto">
    <w:name w:val="Placeholder Text"/>
    <w:basedOn w:val="Carpredefinitoparagrafo"/>
    <w:uiPriority w:val="99"/>
    <w:semiHidden/>
    <w:rsid w:val="006C39C4"/>
    <w:rPr>
      <w:color w:val="808080"/>
    </w:rPr>
  </w:style>
  <w:style w:type="character" w:styleId="Enfasicorsivo">
    <w:name w:val="Emphasis"/>
    <w:basedOn w:val="Carpredefinitoparagrafo"/>
    <w:uiPriority w:val="20"/>
    <w:qFormat/>
    <w:rsid w:val="004F6C2B"/>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80548E"/>
    <w:pPr>
      <w:spacing w:line="360" w:lineRule="auto"/>
      <w:ind w:firstLine="397"/>
      <w:jc w:val="both"/>
    </w:pPr>
    <w:rPr>
      <w:rFonts w:ascii="Times New Roman" w:hAnsi="Times New Roman"/>
      <w:lang w:val="en-GB"/>
    </w:rPr>
  </w:style>
  <w:style w:type="paragraph" w:styleId="Titolo1">
    <w:name w:val="heading 1"/>
    <w:basedOn w:val="Normale"/>
    <w:next w:val="Normale"/>
    <w:link w:val="Titolo1Carattere"/>
    <w:uiPriority w:val="99"/>
    <w:qFormat/>
    <w:rsid w:val="00FE5C96"/>
    <w:pPr>
      <w:keepNext/>
      <w:keepLines/>
      <w:spacing w:before="480" w:after="0"/>
      <w:outlineLvl w:val="0"/>
    </w:pPr>
    <w:rPr>
      <w:rFonts w:asciiTheme="majorHAnsi" w:eastAsiaTheme="majorEastAsia" w:hAnsiTheme="majorHAnsi" w:cstheme="majorBidi"/>
      <w:b/>
      <w:bCs/>
      <w:color w:val="943634" w:themeColor="accent2" w:themeShade="BF"/>
      <w:sz w:val="28"/>
      <w:szCs w:val="28"/>
    </w:rPr>
  </w:style>
  <w:style w:type="paragraph" w:styleId="Titolo2">
    <w:name w:val="heading 2"/>
    <w:basedOn w:val="Normale"/>
    <w:next w:val="Normale"/>
    <w:link w:val="Titolo2Carattere"/>
    <w:uiPriority w:val="9"/>
    <w:unhideWhenUsed/>
    <w:qFormat/>
    <w:rsid w:val="006922B2"/>
    <w:pPr>
      <w:keepNext/>
      <w:keepLines/>
      <w:numPr>
        <w:numId w:val="2"/>
      </w:numPr>
      <w:spacing w:before="200" w:after="0"/>
      <w:outlineLvl w:val="1"/>
    </w:pPr>
    <w:rPr>
      <w:rFonts w:eastAsiaTheme="majorEastAsia" w:cstheme="majorBidi"/>
      <w:b/>
      <w:bCs/>
      <w:color w:val="4F81BD" w:themeColor="accent1"/>
      <w:sz w:val="26"/>
      <w:szCs w:val="26"/>
    </w:rPr>
  </w:style>
  <w:style w:type="paragraph" w:styleId="Titolo3">
    <w:name w:val="heading 3"/>
    <w:basedOn w:val="Normale"/>
    <w:next w:val="Normale"/>
    <w:link w:val="Titolo3Carattere"/>
    <w:uiPriority w:val="9"/>
    <w:unhideWhenUsed/>
    <w:rsid w:val="00FE5C96"/>
    <w:pPr>
      <w:keepNext/>
      <w:keepLines/>
      <w:numPr>
        <w:numId w:val="4"/>
      </w:numPr>
      <w:spacing w:before="200" w:after="0"/>
      <w:outlineLvl w:val="2"/>
    </w:pPr>
    <w:rPr>
      <w:rFonts w:asciiTheme="majorHAnsi" w:eastAsiaTheme="majorEastAsia" w:hAnsiTheme="majorHAnsi" w:cstheme="majorBidi"/>
      <w:b/>
      <w:bCs/>
      <w:color w:val="C0504D" w:themeColor="accent2"/>
    </w:rPr>
  </w:style>
  <w:style w:type="paragraph" w:styleId="Titolo4">
    <w:name w:val="heading 4"/>
    <w:basedOn w:val="Normale"/>
    <w:next w:val="Normale"/>
    <w:link w:val="Titolo4Carattere"/>
    <w:uiPriority w:val="9"/>
    <w:unhideWhenUsed/>
    <w:qFormat/>
    <w:rsid w:val="00FE5C96"/>
    <w:pPr>
      <w:keepNext/>
      <w:keepLines/>
      <w:spacing w:before="200" w:after="0"/>
      <w:outlineLvl w:val="3"/>
    </w:pPr>
    <w:rPr>
      <w:rFonts w:asciiTheme="majorHAnsi" w:eastAsiaTheme="majorEastAsia" w:hAnsiTheme="majorHAnsi" w:cstheme="majorBidi"/>
      <w:b/>
      <w:bCs/>
      <w:i/>
      <w:iCs/>
      <w:color w:val="C0504D" w:themeColor="accent2"/>
    </w:rPr>
  </w:style>
  <w:style w:type="paragraph" w:styleId="Titolo5">
    <w:name w:val="heading 5"/>
    <w:basedOn w:val="Normale"/>
    <w:next w:val="Normale"/>
    <w:link w:val="Titolo5Carattere"/>
    <w:uiPriority w:val="9"/>
    <w:semiHidden/>
    <w:unhideWhenUsed/>
    <w:qFormat/>
    <w:rsid w:val="00FE5C96"/>
    <w:pPr>
      <w:keepNext/>
      <w:keepLines/>
      <w:spacing w:before="200" w:after="0"/>
      <w:outlineLvl w:val="4"/>
    </w:pPr>
    <w:rPr>
      <w:rFonts w:asciiTheme="majorHAnsi" w:eastAsiaTheme="majorEastAsia" w:hAnsiTheme="majorHAnsi" w:cstheme="majorBidi"/>
      <w:color w:val="632423" w:themeColor="accent2" w:themeShade="8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itolo">
    <w:name w:val="Title"/>
    <w:basedOn w:val="Normale"/>
    <w:next w:val="Normale"/>
    <w:link w:val="TitoloCarattere"/>
    <w:uiPriority w:val="10"/>
    <w:qFormat/>
    <w:rsid w:val="0083387B"/>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oloCarattere">
    <w:name w:val="Titolo Carattere"/>
    <w:basedOn w:val="Carpredefinitoparagrafo"/>
    <w:link w:val="Titolo"/>
    <w:uiPriority w:val="10"/>
    <w:rsid w:val="0083387B"/>
    <w:rPr>
      <w:rFonts w:asciiTheme="majorHAnsi" w:eastAsiaTheme="majorEastAsia" w:hAnsiTheme="majorHAnsi" w:cstheme="majorBidi"/>
      <w:color w:val="17365D" w:themeColor="text2" w:themeShade="BF"/>
      <w:spacing w:val="5"/>
      <w:kern w:val="28"/>
      <w:sz w:val="52"/>
      <w:szCs w:val="52"/>
      <w:lang w:val="en-GB"/>
    </w:rPr>
  </w:style>
  <w:style w:type="character" w:customStyle="1" w:styleId="Titolo1Carattere">
    <w:name w:val="Titolo 1 Carattere"/>
    <w:basedOn w:val="Carpredefinitoparagrafo"/>
    <w:link w:val="Titolo1"/>
    <w:uiPriority w:val="9"/>
    <w:rsid w:val="00FE5C96"/>
    <w:rPr>
      <w:rFonts w:asciiTheme="majorHAnsi" w:eastAsiaTheme="majorEastAsia" w:hAnsiTheme="majorHAnsi" w:cstheme="majorBidi"/>
      <w:b/>
      <w:bCs/>
      <w:color w:val="943634" w:themeColor="accent2" w:themeShade="BF"/>
      <w:sz w:val="28"/>
      <w:szCs w:val="28"/>
      <w:lang w:val="en-GB"/>
    </w:rPr>
  </w:style>
  <w:style w:type="paragraph" w:styleId="Paragrafoelenco">
    <w:name w:val="List Paragraph"/>
    <w:basedOn w:val="Normale"/>
    <w:link w:val="ParagrafoelencoCarattere"/>
    <w:uiPriority w:val="34"/>
    <w:qFormat/>
    <w:rsid w:val="00CA6996"/>
    <w:pPr>
      <w:spacing w:after="0"/>
      <w:ind w:left="720"/>
      <w:contextualSpacing/>
    </w:pPr>
  </w:style>
  <w:style w:type="character" w:customStyle="1" w:styleId="Titolo2Carattere">
    <w:name w:val="Titolo 2 Carattere"/>
    <w:basedOn w:val="Carpredefinitoparagrafo"/>
    <w:link w:val="Titolo2"/>
    <w:uiPriority w:val="9"/>
    <w:rsid w:val="006922B2"/>
    <w:rPr>
      <w:rFonts w:ascii="Times New Roman" w:eastAsiaTheme="majorEastAsia" w:hAnsi="Times New Roman" w:cstheme="majorBidi"/>
      <w:b/>
      <w:bCs/>
      <w:color w:val="4F81BD" w:themeColor="accent1"/>
      <w:sz w:val="26"/>
      <w:szCs w:val="26"/>
      <w:lang w:val="en-GB"/>
    </w:rPr>
  </w:style>
  <w:style w:type="character" w:customStyle="1" w:styleId="Titolo3Carattere">
    <w:name w:val="Titolo 3 Carattere"/>
    <w:basedOn w:val="Carpredefinitoparagrafo"/>
    <w:link w:val="Titolo3"/>
    <w:uiPriority w:val="9"/>
    <w:rsid w:val="00FE5C96"/>
    <w:rPr>
      <w:rFonts w:asciiTheme="majorHAnsi" w:eastAsiaTheme="majorEastAsia" w:hAnsiTheme="majorHAnsi" w:cstheme="majorBidi"/>
      <w:b/>
      <w:bCs/>
      <w:color w:val="C0504D" w:themeColor="accent2"/>
      <w:lang w:val="en-GB"/>
    </w:rPr>
  </w:style>
  <w:style w:type="character" w:customStyle="1" w:styleId="Titolo4Carattere">
    <w:name w:val="Titolo 4 Carattere"/>
    <w:basedOn w:val="Carpredefinitoparagrafo"/>
    <w:link w:val="Titolo4"/>
    <w:uiPriority w:val="9"/>
    <w:rsid w:val="00FE5C96"/>
    <w:rPr>
      <w:rFonts w:asciiTheme="majorHAnsi" w:eastAsiaTheme="majorEastAsia" w:hAnsiTheme="majorHAnsi" w:cstheme="majorBidi"/>
      <w:b/>
      <w:bCs/>
      <w:i/>
      <w:iCs/>
      <w:color w:val="C0504D" w:themeColor="accent2"/>
      <w:lang w:val="en-GB"/>
    </w:rPr>
  </w:style>
  <w:style w:type="paragraph" w:styleId="Nessunaspaziatura">
    <w:name w:val="No Spacing"/>
    <w:uiPriority w:val="1"/>
    <w:qFormat/>
    <w:rsid w:val="00292380"/>
    <w:pPr>
      <w:spacing w:after="0" w:line="240" w:lineRule="auto"/>
      <w:jc w:val="both"/>
    </w:pPr>
    <w:rPr>
      <w:lang w:val="en-GB"/>
    </w:rPr>
  </w:style>
  <w:style w:type="paragraph" w:styleId="Sottotitolo">
    <w:name w:val="Subtitle"/>
    <w:basedOn w:val="Normale"/>
    <w:next w:val="Normale"/>
    <w:link w:val="SottotitoloCarattere"/>
    <w:uiPriority w:val="11"/>
    <w:qFormat/>
    <w:rsid w:val="00FE5C96"/>
    <w:pPr>
      <w:numPr>
        <w:ilvl w:val="1"/>
      </w:numPr>
      <w:ind w:firstLine="397"/>
    </w:pPr>
    <w:rPr>
      <w:rFonts w:asciiTheme="majorHAnsi" w:eastAsiaTheme="majorEastAsia" w:hAnsiTheme="majorHAnsi" w:cstheme="majorBidi"/>
      <w:i/>
      <w:iCs/>
      <w:color w:val="C0504D" w:themeColor="accent2"/>
      <w:spacing w:val="15"/>
      <w:sz w:val="24"/>
      <w:szCs w:val="24"/>
    </w:rPr>
  </w:style>
  <w:style w:type="character" w:customStyle="1" w:styleId="SottotitoloCarattere">
    <w:name w:val="Sottotitolo Carattere"/>
    <w:basedOn w:val="Carpredefinitoparagrafo"/>
    <w:link w:val="Sottotitolo"/>
    <w:uiPriority w:val="11"/>
    <w:rsid w:val="00FE5C96"/>
    <w:rPr>
      <w:rFonts w:asciiTheme="majorHAnsi" w:eastAsiaTheme="majorEastAsia" w:hAnsiTheme="majorHAnsi" w:cstheme="majorBidi"/>
      <w:i/>
      <w:iCs/>
      <w:color w:val="C0504D" w:themeColor="accent2"/>
      <w:spacing w:val="15"/>
      <w:sz w:val="24"/>
      <w:szCs w:val="24"/>
      <w:lang w:val="en-GB"/>
    </w:rPr>
  </w:style>
  <w:style w:type="character" w:customStyle="1" w:styleId="Titolo5Carattere">
    <w:name w:val="Titolo 5 Carattere"/>
    <w:basedOn w:val="Carpredefinitoparagrafo"/>
    <w:link w:val="Titolo5"/>
    <w:uiPriority w:val="9"/>
    <w:semiHidden/>
    <w:rsid w:val="00FE5C96"/>
    <w:rPr>
      <w:rFonts w:asciiTheme="majorHAnsi" w:eastAsiaTheme="majorEastAsia" w:hAnsiTheme="majorHAnsi" w:cstheme="majorBidi"/>
      <w:color w:val="632423" w:themeColor="accent2" w:themeShade="80"/>
      <w:lang w:val="en-GB"/>
    </w:rPr>
  </w:style>
  <w:style w:type="character" w:styleId="Rimandocommento">
    <w:name w:val="annotation reference"/>
    <w:basedOn w:val="Carpredefinitoparagrafo"/>
    <w:uiPriority w:val="99"/>
    <w:semiHidden/>
    <w:unhideWhenUsed/>
    <w:rsid w:val="00CC0159"/>
    <w:rPr>
      <w:sz w:val="16"/>
      <w:szCs w:val="16"/>
    </w:rPr>
  </w:style>
  <w:style w:type="paragraph" w:styleId="Testocommento">
    <w:name w:val="annotation text"/>
    <w:basedOn w:val="Normale"/>
    <w:link w:val="TestocommentoCarattere"/>
    <w:uiPriority w:val="99"/>
    <w:semiHidden/>
    <w:unhideWhenUsed/>
    <w:rsid w:val="00CC0159"/>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CC0159"/>
    <w:rPr>
      <w:sz w:val="20"/>
      <w:szCs w:val="20"/>
      <w:lang w:val="en-GB"/>
    </w:rPr>
  </w:style>
  <w:style w:type="paragraph" w:styleId="Soggettocommento">
    <w:name w:val="annotation subject"/>
    <w:basedOn w:val="Testocommento"/>
    <w:next w:val="Testocommento"/>
    <w:link w:val="SoggettocommentoCarattere"/>
    <w:uiPriority w:val="99"/>
    <w:semiHidden/>
    <w:unhideWhenUsed/>
    <w:rsid w:val="00CC0159"/>
    <w:rPr>
      <w:b/>
      <w:bCs/>
    </w:rPr>
  </w:style>
  <w:style w:type="character" w:customStyle="1" w:styleId="SoggettocommentoCarattere">
    <w:name w:val="Soggetto commento Carattere"/>
    <w:basedOn w:val="TestocommentoCarattere"/>
    <w:link w:val="Soggettocommento"/>
    <w:uiPriority w:val="99"/>
    <w:semiHidden/>
    <w:rsid w:val="00CC0159"/>
    <w:rPr>
      <w:b/>
      <w:bCs/>
      <w:sz w:val="20"/>
      <w:szCs w:val="20"/>
      <w:lang w:val="en-GB"/>
    </w:rPr>
  </w:style>
  <w:style w:type="paragraph" w:styleId="Testofumetto">
    <w:name w:val="Balloon Text"/>
    <w:basedOn w:val="Normale"/>
    <w:link w:val="TestofumettoCarattere"/>
    <w:uiPriority w:val="99"/>
    <w:semiHidden/>
    <w:unhideWhenUsed/>
    <w:rsid w:val="00CC015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C0159"/>
    <w:rPr>
      <w:rFonts w:ascii="Tahoma" w:hAnsi="Tahoma" w:cs="Tahoma"/>
      <w:sz w:val="16"/>
      <w:szCs w:val="16"/>
      <w:lang w:val="en-GB"/>
    </w:rPr>
  </w:style>
  <w:style w:type="paragraph" w:styleId="Didascalia">
    <w:name w:val="caption"/>
    <w:basedOn w:val="Normale"/>
    <w:next w:val="Normale"/>
    <w:uiPriority w:val="35"/>
    <w:unhideWhenUsed/>
    <w:qFormat/>
    <w:rsid w:val="00450807"/>
    <w:pPr>
      <w:spacing w:line="240" w:lineRule="auto"/>
      <w:jc w:val="center"/>
    </w:pPr>
    <w:rPr>
      <w:i/>
      <w:iCs/>
      <w:szCs w:val="18"/>
    </w:rPr>
  </w:style>
  <w:style w:type="character" w:customStyle="1" w:styleId="FormatvorlageCambriaMathKursiv">
    <w:name w:val="Formatvorlage Cambria Math Kursiv"/>
    <w:rsid w:val="003F018B"/>
    <w:rPr>
      <w:rFonts w:ascii="Cambria Math" w:hAnsi="Cambria Math"/>
      <w:i/>
    </w:rPr>
  </w:style>
  <w:style w:type="table" w:styleId="Grigliatabella">
    <w:name w:val="Table Grid"/>
    <w:basedOn w:val="Tabellanormale"/>
    <w:uiPriority w:val="59"/>
    <w:rsid w:val="003F018B"/>
    <w:pPr>
      <w:spacing w:after="0" w:line="240" w:lineRule="auto"/>
    </w:pPr>
    <w:rPr>
      <w:rFonts w:ascii="Times New Roman" w:eastAsia="Times New Roman" w:hAnsi="Times New Roman" w:cs="Times New Roman"/>
      <w:sz w:val="20"/>
      <w:szCs w:val="20"/>
      <w:lang w:val="fi-FI" w:eastAsia="fi-F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rmel">
    <w:name w:val="Formel"/>
    <w:basedOn w:val="Normale"/>
    <w:qFormat/>
    <w:rsid w:val="003F018B"/>
    <w:pPr>
      <w:tabs>
        <w:tab w:val="left" w:pos="851"/>
        <w:tab w:val="left" w:pos="1701"/>
        <w:tab w:val="left" w:pos="2552"/>
        <w:tab w:val="left" w:pos="3402"/>
        <w:tab w:val="left" w:pos="4253"/>
        <w:tab w:val="left" w:pos="5103"/>
      </w:tabs>
      <w:spacing w:before="120" w:after="0"/>
    </w:pPr>
    <w:rPr>
      <w:rFonts w:ascii="Cambria Math" w:eastAsia="Times New Roman" w:hAnsi="Cambria Math" w:cs="Times New Roman"/>
      <w:i/>
      <w:iCs/>
      <w:noProof/>
      <w:sz w:val="20"/>
      <w:szCs w:val="24"/>
      <w:lang w:val="de-DE" w:eastAsia="de-DE"/>
    </w:rPr>
  </w:style>
  <w:style w:type="character" w:customStyle="1" w:styleId="ParagrafoelencoCarattere">
    <w:name w:val="Paragrafo elenco Carattere"/>
    <w:basedOn w:val="Carpredefinitoparagrafo"/>
    <w:link w:val="Paragrafoelenco"/>
    <w:uiPriority w:val="34"/>
    <w:rsid w:val="00CA6996"/>
    <w:rPr>
      <w:rFonts w:ascii="Times New Roman" w:hAnsi="Times New Roman"/>
      <w:lang w:val="en-GB"/>
    </w:rPr>
  </w:style>
  <w:style w:type="table" w:styleId="Elencochiaro-Colore1">
    <w:name w:val="Light List Accent 1"/>
    <w:basedOn w:val="Tabellanormale"/>
    <w:uiPriority w:val="61"/>
    <w:rsid w:val="00C55EF0"/>
    <w:pPr>
      <w:spacing w:after="0" w:line="240" w:lineRule="auto"/>
    </w:pPr>
    <w:rPr>
      <w:rFonts w:ascii="Times New Roman" w:eastAsia="Times New Roman" w:hAnsi="Times New Roman" w:cs="Times New Roman"/>
      <w:sz w:val="20"/>
      <w:szCs w:val="20"/>
      <w:lang w:eastAsia="it-IT"/>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Jasnasiatkaakcent11">
    <w:name w:val="Jasna siatka — akcent 11"/>
    <w:basedOn w:val="Tabellanormale"/>
    <w:uiPriority w:val="62"/>
    <w:rsid w:val="00E662AE"/>
    <w:pPr>
      <w:spacing w:after="0" w:line="240" w:lineRule="auto"/>
    </w:pPr>
    <w:rPr>
      <w:rFonts w:ascii="Times New Roman" w:eastAsia="Times New Roman" w:hAnsi="Times New Roman" w:cs="Times New Roman"/>
      <w:sz w:val="20"/>
      <w:szCs w:val="20"/>
      <w:lang w:eastAsia="it-IT"/>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NormaleWeb">
    <w:name w:val="Normal (Web)"/>
    <w:basedOn w:val="Normale"/>
    <w:uiPriority w:val="99"/>
    <w:unhideWhenUsed/>
    <w:rsid w:val="004D2BD0"/>
    <w:pPr>
      <w:spacing w:before="100" w:beforeAutospacing="1" w:after="100" w:afterAutospacing="1" w:line="240" w:lineRule="auto"/>
      <w:jc w:val="left"/>
    </w:pPr>
    <w:rPr>
      <w:rFonts w:eastAsia="Times New Roman" w:cs="Times New Roman"/>
      <w:sz w:val="24"/>
      <w:szCs w:val="24"/>
      <w:lang w:eastAsia="en-GB"/>
    </w:rPr>
  </w:style>
  <w:style w:type="paragraph" w:styleId="Intestazione">
    <w:name w:val="header"/>
    <w:basedOn w:val="Normale"/>
    <w:link w:val="IntestazioneCarattere"/>
    <w:uiPriority w:val="99"/>
    <w:unhideWhenUsed/>
    <w:rsid w:val="009B2EB0"/>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9B2EB0"/>
    <w:rPr>
      <w:lang w:val="en-GB"/>
    </w:rPr>
  </w:style>
  <w:style w:type="paragraph" w:styleId="Pidipagina">
    <w:name w:val="footer"/>
    <w:basedOn w:val="Normale"/>
    <w:link w:val="PidipaginaCarattere"/>
    <w:uiPriority w:val="99"/>
    <w:unhideWhenUsed/>
    <w:rsid w:val="009B2EB0"/>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9B2EB0"/>
    <w:rPr>
      <w:lang w:val="en-GB"/>
    </w:rPr>
  </w:style>
  <w:style w:type="paragraph" w:customStyle="1" w:styleId="Table">
    <w:name w:val="Table"/>
    <w:basedOn w:val="Normale"/>
    <w:qFormat/>
    <w:rsid w:val="00CF3CCB"/>
    <w:pPr>
      <w:spacing w:after="0"/>
      <w:ind w:firstLine="0"/>
      <w:jc w:val="center"/>
    </w:pPr>
    <w:rPr>
      <w:rFonts w:eastAsiaTheme="majorEastAsia" w:cs="Times New Roman"/>
      <w:bCs/>
      <w:color w:val="000000"/>
      <w:szCs w:val="20"/>
      <w:lang w:eastAsia="it-IT"/>
    </w:rPr>
  </w:style>
  <w:style w:type="table" w:customStyle="1" w:styleId="ListTable3-Accent11">
    <w:name w:val="List Table 3 - Accent 11"/>
    <w:basedOn w:val="Tabellanormale"/>
    <w:uiPriority w:val="48"/>
    <w:rsid w:val="00CA6996"/>
    <w:pPr>
      <w:spacing w:after="0" w:line="240" w:lineRule="auto"/>
    </w:pPr>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b/>
        <w:bCs/>
        <w:color w:val="FFFFFF" w:themeColor="background1"/>
      </w:rPr>
      <w:tblPr/>
      <w:tcPr>
        <w:shd w:val="clear" w:color="auto" w:fill="4F81BD" w:themeFill="accent1"/>
      </w:tcPr>
    </w:tblStylePr>
    <w:tblStylePr w:type="lastRow">
      <w:rPr>
        <w:b/>
        <w:bCs/>
      </w:rPr>
      <w:tblPr/>
      <w:tcPr>
        <w:tcBorders>
          <w:top w:val="double" w:sz="4" w:space="0" w:color="4F81BD"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F81BD" w:themeColor="accent1"/>
          <w:right w:val="single" w:sz="4" w:space="0" w:color="4F81BD" w:themeColor="accent1"/>
        </w:tcBorders>
      </w:tcPr>
    </w:tblStylePr>
    <w:tblStylePr w:type="band1Horz">
      <w:tblPr/>
      <w:tcPr>
        <w:tcBorders>
          <w:top w:val="single" w:sz="4" w:space="0" w:color="4F81BD" w:themeColor="accent1"/>
          <w:bottom w:val="single" w:sz="4" w:space="0" w:color="4F81BD"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themeColor="accent1"/>
          <w:left w:val="nil"/>
        </w:tcBorders>
      </w:tcPr>
    </w:tblStylePr>
    <w:tblStylePr w:type="swCell">
      <w:tblPr/>
      <w:tcPr>
        <w:tcBorders>
          <w:top w:val="double" w:sz="4" w:space="0" w:color="4F81BD" w:themeColor="accent1"/>
          <w:right w:val="nil"/>
        </w:tcBorders>
      </w:tcPr>
    </w:tblStylePr>
  </w:style>
  <w:style w:type="paragraph" w:customStyle="1" w:styleId="RSCH02PaperAuthorsandByline">
    <w:name w:val="RSC H02 Paper Authors and Byline"/>
    <w:basedOn w:val="Normale"/>
    <w:link w:val="RSCH02PaperAuthorsandBylineChar"/>
    <w:rsid w:val="00E26BC5"/>
    <w:pPr>
      <w:spacing w:after="120" w:line="240" w:lineRule="exact"/>
      <w:ind w:firstLine="0"/>
      <w:jc w:val="left"/>
    </w:pPr>
    <w:rPr>
      <w:rFonts w:asciiTheme="minorHAnsi" w:hAnsiTheme="minorHAnsi" w:cs="Times New Roman"/>
      <w:sz w:val="20"/>
    </w:rPr>
  </w:style>
  <w:style w:type="character" w:customStyle="1" w:styleId="RSCH02PaperAuthorsandBylineChar">
    <w:name w:val="RSC H02 Paper Authors and Byline Char"/>
    <w:basedOn w:val="Carpredefinitoparagrafo"/>
    <w:link w:val="RSCH02PaperAuthorsandByline"/>
    <w:rsid w:val="00E26BC5"/>
    <w:rPr>
      <w:rFonts w:cs="Times New Roman"/>
      <w:sz w:val="20"/>
      <w:lang w:val="en-GB"/>
    </w:rPr>
  </w:style>
  <w:style w:type="paragraph" w:styleId="Testonotaapidipagina">
    <w:name w:val="footnote text"/>
    <w:basedOn w:val="Normale"/>
    <w:link w:val="TestonotaapidipaginaCarattere"/>
    <w:uiPriority w:val="99"/>
    <w:semiHidden/>
    <w:unhideWhenUsed/>
    <w:rsid w:val="00E26BC5"/>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E26BC5"/>
    <w:rPr>
      <w:rFonts w:ascii="Times New Roman" w:hAnsi="Times New Roman"/>
      <w:sz w:val="20"/>
      <w:szCs w:val="20"/>
      <w:lang w:val="en-GB"/>
    </w:rPr>
  </w:style>
  <w:style w:type="character" w:styleId="Rimandonotaapidipagina">
    <w:name w:val="footnote reference"/>
    <w:basedOn w:val="Carpredefinitoparagrafo"/>
    <w:uiPriority w:val="99"/>
    <w:semiHidden/>
    <w:unhideWhenUsed/>
    <w:rsid w:val="00E26BC5"/>
    <w:rPr>
      <w:vertAlign w:val="superscript"/>
    </w:rPr>
  </w:style>
  <w:style w:type="paragraph" w:customStyle="1" w:styleId="RSCF01FootnoteAuthorAddress">
    <w:name w:val="RSC F01 Footnote Author Address"/>
    <w:link w:val="RSCF01FootnoteAuthorAddressChar"/>
    <w:rsid w:val="00E26BC5"/>
    <w:pPr>
      <w:numPr>
        <w:numId w:val="32"/>
      </w:numPr>
      <w:pBdr>
        <w:top w:val="single" w:sz="12" w:space="1" w:color="A6A6A6" w:themeColor="background1" w:themeShade="A6"/>
      </w:pBdr>
      <w:spacing w:after="0" w:line="240" w:lineRule="auto"/>
      <w:ind w:left="85" w:hanging="85"/>
      <w:suppressOverlap/>
    </w:pPr>
    <w:rPr>
      <w:rFonts w:cs="Times New Roman"/>
      <w:i/>
      <w:w w:val="105"/>
      <w:sz w:val="14"/>
      <w:szCs w:val="14"/>
      <w:lang w:val="en-GB"/>
    </w:rPr>
  </w:style>
  <w:style w:type="character" w:customStyle="1" w:styleId="RSCF01FootnoteAuthorAddressChar">
    <w:name w:val="RSC F01 Footnote Author Address Char"/>
    <w:basedOn w:val="Carpredefinitoparagrafo"/>
    <w:link w:val="RSCF01FootnoteAuthorAddress"/>
    <w:rsid w:val="00E26BC5"/>
    <w:rPr>
      <w:rFonts w:cs="Times New Roman"/>
      <w:i/>
      <w:w w:val="105"/>
      <w:sz w:val="14"/>
      <w:szCs w:val="14"/>
      <w:lang w:val="en-GB"/>
    </w:rPr>
  </w:style>
  <w:style w:type="character" w:styleId="Collegamentoipertestuale">
    <w:name w:val="Hyperlink"/>
    <w:basedOn w:val="Carpredefinitoparagrafo"/>
    <w:uiPriority w:val="99"/>
    <w:semiHidden/>
    <w:unhideWhenUsed/>
    <w:rsid w:val="00BE71BD"/>
    <w:rPr>
      <w:color w:val="0000FF"/>
      <w:u w:val="single"/>
    </w:rPr>
  </w:style>
  <w:style w:type="character" w:styleId="Testosegnaposto">
    <w:name w:val="Placeholder Text"/>
    <w:basedOn w:val="Carpredefinitoparagrafo"/>
    <w:uiPriority w:val="99"/>
    <w:semiHidden/>
    <w:rsid w:val="006C39C4"/>
    <w:rPr>
      <w:color w:val="808080"/>
    </w:rPr>
  </w:style>
  <w:style w:type="character" w:styleId="Enfasicorsivo">
    <w:name w:val="Emphasis"/>
    <w:basedOn w:val="Carpredefinitoparagrafo"/>
    <w:uiPriority w:val="20"/>
    <w:qFormat/>
    <w:rsid w:val="004F6C2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67276411">
      <w:bodyDiv w:val="1"/>
      <w:marLeft w:val="0"/>
      <w:marRight w:val="0"/>
      <w:marTop w:val="0"/>
      <w:marBottom w:val="0"/>
      <w:divBdr>
        <w:top w:val="none" w:sz="0" w:space="0" w:color="auto"/>
        <w:left w:val="none" w:sz="0" w:space="0" w:color="auto"/>
        <w:bottom w:val="none" w:sz="0" w:space="0" w:color="auto"/>
        <w:right w:val="none" w:sz="0" w:space="0" w:color="auto"/>
      </w:divBdr>
    </w:div>
    <w:div w:id="1421681086">
      <w:bodyDiv w:val="1"/>
      <w:marLeft w:val="0"/>
      <w:marRight w:val="0"/>
      <w:marTop w:val="0"/>
      <w:marBottom w:val="0"/>
      <w:divBdr>
        <w:top w:val="none" w:sz="0" w:space="0" w:color="auto"/>
        <w:left w:val="none" w:sz="0" w:space="0" w:color="auto"/>
        <w:bottom w:val="none" w:sz="0" w:space="0" w:color="auto"/>
        <w:right w:val="none" w:sz="0" w:space="0" w:color="auto"/>
      </w:divBdr>
    </w:div>
    <w:div w:id="1726444507">
      <w:bodyDiv w:val="1"/>
      <w:marLeft w:val="0"/>
      <w:marRight w:val="0"/>
      <w:marTop w:val="0"/>
      <w:marBottom w:val="0"/>
      <w:divBdr>
        <w:top w:val="none" w:sz="0" w:space="0" w:color="auto"/>
        <w:left w:val="none" w:sz="0" w:space="0" w:color="auto"/>
        <w:bottom w:val="none" w:sz="0" w:space="0" w:color="auto"/>
        <w:right w:val="none" w:sz="0" w:space="0" w:color="auto"/>
      </w:divBdr>
    </w:div>
    <w:div w:id="17905829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jpeg"/><Relationship Id="rId26" Type="http://schemas.openxmlformats.org/officeDocument/2006/relationships/image" Target="media/image18.png"/><Relationship Id="rId39" Type="http://schemas.openxmlformats.org/officeDocument/2006/relationships/image" Target="media/image30.jpeg"/><Relationship Id="rId21" Type="http://schemas.openxmlformats.org/officeDocument/2006/relationships/image" Target="media/image13.png"/><Relationship Id="rId34" Type="http://schemas.openxmlformats.org/officeDocument/2006/relationships/image" Target="media/image25.jpeg"/><Relationship Id="rId42"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jpeg"/><Relationship Id="rId29" Type="http://schemas.openxmlformats.org/officeDocument/2006/relationships/image" Target="media/image21.png"/><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3.jpeg"/><Relationship Id="rId37" Type="http://schemas.openxmlformats.org/officeDocument/2006/relationships/image" Target="media/image28.png"/><Relationship Id="rId40" Type="http://schemas.openxmlformats.org/officeDocument/2006/relationships/image" Target="media/image31.png"/><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7.emf"/><Relationship Id="rId10" Type="http://schemas.openxmlformats.org/officeDocument/2006/relationships/image" Target="media/image2.jpeg"/><Relationship Id="rId19" Type="http://schemas.openxmlformats.org/officeDocument/2006/relationships/image" Target="media/image11.jpeg"/><Relationship Id="rId31" Type="http://schemas.openxmlformats.org/officeDocument/2006/relationships/image" Target="media/image22.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png"/><Relationship Id="rId22" Type="http://schemas.openxmlformats.org/officeDocument/2006/relationships/image" Target="media/image14.jpeg"/><Relationship Id="rId27" Type="http://schemas.openxmlformats.org/officeDocument/2006/relationships/image" Target="media/image19.png"/><Relationship Id="rId30" Type="http://schemas.openxmlformats.org/officeDocument/2006/relationships/chart" Target="charts/chart1.xml"/><Relationship Id="rId35" Type="http://schemas.openxmlformats.org/officeDocument/2006/relationships/image" Target="media/image26.emf"/><Relationship Id="rId43" Type="http://schemas.openxmlformats.org/officeDocument/2006/relationships/theme" Target="theme/theme1.xml"/><Relationship Id="rId8" Type="http://schemas.openxmlformats.org/officeDocument/2006/relationships/endnotes" Target="endnotes.xml"/><Relationship Id="rId3" Type="http://schemas.openxmlformats.org/officeDocument/2006/relationships/styles" Target="styles.xml"/><Relationship Id="rId12" Type="http://schemas.openxmlformats.org/officeDocument/2006/relationships/image" Target="media/image4.emf"/><Relationship Id="rId17" Type="http://schemas.openxmlformats.org/officeDocument/2006/relationships/image" Target="media/image9.jpeg"/><Relationship Id="rId25" Type="http://schemas.openxmlformats.org/officeDocument/2006/relationships/image" Target="media/image17.png"/><Relationship Id="rId33" Type="http://schemas.openxmlformats.org/officeDocument/2006/relationships/image" Target="media/image24.jpeg"/><Relationship Id="rId38" Type="http://schemas.openxmlformats.org/officeDocument/2006/relationships/image" Target="media/image29.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lanzini\Dropbox\%5bAA%5d%20Lavoro\Didattica\MOOC%202015%20Corso%20ASP%20Energy\Lecture%20Tracking%20Clean%20Energy%20Progress\RES%20in%20Europe.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5400" cap="rnd">
              <a:solidFill>
                <a:srgbClr val="FF0000"/>
              </a:solidFill>
              <a:round/>
            </a:ln>
            <a:effectLst/>
          </c:spPr>
          <c:marker>
            <c:symbol val="none"/>
          </c:marker>
          <c:trendline>
            <c:spPr>
              <a:ln w="19050" cap="rnd">
                <a:solidFill>
                  <a:schemeClr val="tx1"/>
                </a:solidFill>
                <a:prstDash val="sysDash"/>
              </a:ln>
              <a:effectLst/>
            </c:spPr>
            <c:trendlineType val="exp"/>
            <c:dispRSqr val="0"/>
            <c:dispEq val="0"/>
          </c:trendline>
          <c:cat>
            <c:strRef>
              <c:f>Biogas!$B$14:$Z$14</c:f>
              <c:strCache>
                <c:ptCount val="25"/>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strCache>
            </c:strRef>
          </c:cat>
          <c:val>
            <c:numRef>
              <c:f>Biogas!$B$11:$Z$11</c:f>
              <c:numCache>
                <c:formatCode>0.00%</c:formatCode>
                <c:ptCount val="25"/>
                <c:pt idx="0">
                  <c:v>3.9909101395275705E-4</c:v>
                </c:pt>
                <c:pt idx="1">
                  <c:v>4.2945300676989481E-4</c:v>
                </c:pt>
                <c:pt idx="2">
                  <c:v>5.1308926969783274E-4</c:v>
                </c:pt>
                <c:pt idx="3">
                  <c:v>5.7582550944335607E-4</c:v>
                </c:pt>
                <c:pt idx="4">
                  <c:v>6.2375252972854444E-4</c:v>
                </c:pt>
                <c:pt idx="5">
                  <c:v>6.7972815333162408E-4</c:v>
                </c:pt>
                <c:pt idx="6">
                  <c:v>7.3987405386352178E-4</c:v>
                </c:pt>
                <c:pt idx="7">
                  <c:v>8.6516481582532372E-4</c:v>
                </c:pt>
                <c:pt idx="8">
                  <c:v>9.2357044226657272E-4</c:v>
                </c:pt>
                <c:pt idx="9">
                  <c:v>1.0379144527765851E-3</c:v>
                </c:pt>
                <c:pt idx="10">
                  <c:v>1.2661386655934989E-3</c:v>
                </c:pt>
                <c:pt idx="11">
                  <c:v>1.5160545866769117E-3</c:v>
                </c:pt>
                <c:pt idx="12">
                  <c:v>1.8798215326158974E-3</c:v>
                </c:pt>
                <c:pt idx="13">
                  <c:v>1.7949748972200916E-3</c:v>
                </c:pt>
                <c:pt idx="14">
                  <c:v>1.9765244712985222E-3</c:v>
                </c:pt>
                <c:pt idx="15">
                  <c:v>2.1899669385138138E-3</c:v>
                </c:pt>
                <c:pt idx="16">
                  <c:v>2.3985031275573472E-3</c:v>
                </c:pt>
                <c:pt idx="17">
                  <c:v>3.2029403500953672E-3</c:v>
                </c:pt>
                <c:pt idx="18">
                  <c:v>3.6740632894669725E-3</c:v>
                </c:pt>
                <c:pt idx="19">
                  <c:v>4.3594128266003819E-3</c:v>
                </c:pt>
                <c:pt idx="20">
                  <c:v>4.8303325020411497E-3</c:v>
                </c:pt>
                <c:pt idx="21">
                  <c:v>6.1024571345262143E-3</c:v>
                </c:pt>
                <c:pt idx="22">
                  <c:v>7.1604847890677191E-3</c:v>
                </c:pt>
                <c:pt idx="23">
                  <c:v>8.1145359422266205E-3</c:v>
                </c:pt>
                <c:pt idx="24">
                  <c:v>9.2954211338869639E-3</c:v>
                </c:pt>
              </c:numCache>
            </c:numRef>
          </c:val>
          <c:smooth val="0"/>
          <c:extLst xmlns:c16r2="http://schemas.microsoft.com/office/drawing/2015/06/chart">
            <c:ext xmlns:c16="http://schemas.microsoft.com/office/drawing/2014/chart" uri="{C3380CC4-5D6E-409C-BE32-E72D297353CC}">
              <c16:uniqueId val="{00000000-06AF-49F2-831B-4F28F1827808}"/>
            </c:ext>
          </c:extLst>
        </c:ser>
        <c:dLbls>
          <c:showLegendKey val="0"/>
          <c:showVal val="0"/>
          <c:showCatName val="0"/>
          <c:showSerName val="0"/>
          <c:showPercent val="0"/>
          <c:showBubbleSize val="0"/>
        </c:dLbls>
        <c:marker val="1"/>
        <c:smooth val="0"/>
        <c:axId val="111526400"/>
        <c:axId val="151348928"/>
      </c:lineChart>
      <c:catAx>
        <c:axId val="111526400"/>
        <c:scaling>
          <c:orientation val="minMax"/>
        </c:scaling>
        <c:delete val="0"/>
        <c:axPos val="b"/>
        <c:title>
          <c:tx>
            <c:rich>
              <a:bodyPr rot="0" vert="horz"/>
              <a:lstStyle/>
              <a:p>
                <a:pPr>
                  <a:defRPr/>
                </a:pPr>
                <a:r>
                  <a:rPr lang="it-IT"/>
                  <a:t>Year</a:t>
                </a:r>
              </a:p>
            </c:rich>
          </c:tx>
          <c:overlay val="0"/>
          <c:spPr>
            <a:noFill/>
            <a:ln>
              <a:noFill/>
            </a:ln>
            <a:effectLst/>
          </c:spPr>
        </c:title>
        <c:numFmt formatCode="General" sourceLinked="1"/>
        <c:majorTickMark val="in"/>
        <c:minorTickMark val="none"/>
        <c:tickLblPos val="nextTo"/>
        <c:spPr>
          <a:noFill/>
          <a:ln w="9525" cap="flat" cmpd="sng" algn="ctr">
            <a:solidFill>
              <a:schemeClr val="tx1"/>
            </a:solidFill>
            <a:round/>
          </a:ln>
          <a:effectLst/>
        </c:spPr>
        <c:txPr>
          <a:bodyPr rot="-60000000" vert="horz"/>
          <a:lstStyle/>
          <a:p>
            <a:pPr>
              <a:defRPr/>
            </a:pPr>
            <a:endParaRPr lang="it-IT"/>
          </a:p>
        </c:txPr>
        <c:crossAx val="151348928"/>
        <c:crosses val="autoZero"/>
        <c:auto val="1"/>
        <c:lblAlgn val="ctr"/>
        <c:lblOffset val="100"/>
        <c:noMultiLvlLbl val="0"/>
      </c:catAx>
      <c:valAx>
        <c:axId val="151348928"/>
        <c:scaling>
          <c:orientation val="minMax"/>
        </c:scaling>
        <c:delete val="0"/>
        <c:axPos val="l"/>
        <c:title>
          <c:tx>
            <c:rich>
              <a:bodyPr rot="-5400000" vert="horz"/>
              <a:lstStyle/>
              <a:p>
                <a:pPr>
                  <a:defRPr/>
                </a:pPr>
                <a:r>
                  <a:rPr lang="it-IT"/>
                  <a:t>Biogas share of gross energy consumption in EU-28</a:t>
                </a:r>
              </a:p>
            </c:rich>
          </c:tx>
          <c:overlay val="0"/>
          <c:spPr>
            <a:noFill/>
            <a:ln>
              <a:noFill/>
            </a:ln>
            <a:effectLst/>
          </c:spPr>
        </c:title>
        <c:numFmt formatCode="0.0%" sourceLinked="0"/>
        <c:majorTickMark val="in"/>
        <c:minorTickMark val="none"/>
        <c:tickLblPos val="nextTo"/>
        <c:spPr>
          <a:noFill/>
          <a:ln w="9525" cap="flat" cmpd="sng" algn="ctr">
            <a:solidFill>
              <a:schemeClr val="tx1"/>
            </a:solidFill>
            <a:round/>
          </a:ln>
          <a:effectLst/>
        </c:spPr>
        <c:txPr>
          <a:bodyPr rot="-60000000" vert="horz"/>
          <a:lstStyle/>
          <a:p>
            <a:pPr>
              <a:defRPr/>
            </a:pPr>
            <a:endParaRPr lang="it-IT"/>
          </a:p>
        </c:txPr>
        <c:crossAx val="111526400"/>
        <c:crosses val="autoZero"/>
        <c:crossBetween val="between"/>
        <c:majorUnit val="2.0000000000000005E-3"/>
      </c:valAx>
      <c:spPr>
        <a:noFill/>
        <a:ln>
          <a:solidFill>
            <a:schemeClr val="tx1"/>
          </a:solidFill>
        </a:ln>
        <a:effectLst/>
      </c:spPr>
    </c:plotArea>
    <c:plotVisOnly val="1"/>
    <c:dispBlanksAs val="gap"/>
    <c:showDLblsOverMax val="0"/>
  </c:chart>
  <c:spPr>
    <a:solidFill>
      <a:schemeClr val="bg1"/>
    </a:solidFill>
    <a:ln w="9525" cap="flat" cmpd="sng" algn="ctr">
      <a:noFill/>
      <a:round/>
    </a:ln>
    <a:effectLst/>
  </c:spPr>
  <c:txPr>
    <a:bodyPr/>
    <a:lstStyle/>
    <a:p>
      <a:pPr>
        <a:defRPr sz="1100">
          <a:solidFill>
            <a:sysClr val="windowText" lastClr="000000"/>
          </a:solidFill>
          <a:latin typeface="Times New Roman" panose="02020603050405020304" pitchFamily="18" charset="0"/>
          <a:cs typeface="Times New Roman" panose="02020603050405020304" pitchFamily="18" charset="0"/>
        </a:defRPr>
      </a:pPr>
      <a:endParaRPr lang="it-IT"/>
    </a:p>
  </c:txPr>
  <c:externalData r:id="rId1">
    <c:autoUpdate val="0"/>
  </c:externalData>
</c:chartSpace>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265B79-2582-4E98-8E2C-E637F45CED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45</Pages>
  <Words>25209</Words>
  <Characters>143695</Characters>
  <Application>Microsoft Office Word</Application>
  <DocSecurity>0</DocSecurity>
  <Lines>1197</Lines>
  <Paragraphs>337</Paragraphs>
  <ScaleCrop>false</ScaleCrop>
  <HeadingPairs>
    <vt:vector size="6" baseType="variant">
      <vt:variant>
        <vt:lpstr>Titolo</vt:lpstr>
      </vt:variant>
      <vt:variant>
        <vt:i4>1</vt:i4>
      </vt:variant>
      <vt:variant>
        <vt:lpstr>Title</vt:lpstr>
      </vt:variant>
      <vt:variant>
        <vt:i4>1</vt:i4>
      </vt:variant>
      <vt:variant>
        <vt:lpstr>Titel</vt:lpstr>
      </vt:variant>
      <vt:variant>
        <vt:i4>1</vt:i4>
      </vt:variant>
    </vt:vector>
  </HeadingPairs>
  <TitlesOfParts>
    <vt:vector size="3" baseType="lpstr">
      <vt:lpstr/>
      <vt:lpstr/>
      <vt:lpstr/>
    </vt:vector>
  </TitlesOfParts>
  <Company>Microsoft</Company>
  <LinksUpToDate>false</LinksUpToDate>
  <CharactersWithSpaces>168567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lanzini</dc:creator>
  <cp:lastModifiedBy>d003715</cp:lastModifiedBy>
  <cp:revision>2</cp:revision>
  <dcterms:created xsi:type="dcterms:W3CDTF">2017-10-24T09:41:00Z</dcterms:created>
  <dcterms:modified xsi:type="dcterms:W3CDTF">2017-10-24T09:41:00Z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http://www.zotero.org/styles/journal-of-co2-utilization</vt:lpwstr>
  </property>
  <property fmtid="{D5CDD505-2E9C-101B-9397-08002B2CF9AE}" pid="4" name="Mendeley Recent Style Id 0_1">
    <vt:lpwstr>http://www.zotero.org/styles/american-medical-association</vt:lpwstr>
  </property>
  <property fmtid="{D5CDD505-2E9C-101B-9397-08002B2CF9AE}" pid="5" name="Mendeley Recent Style Name 0_1">
    <vt:lpwstr>American Medical Association</vt:lpwstr>
  </property>
  <property fmtid="{D5CDD505-2E9C-101B-9397-08002B2CF9AE}" pid="6" name="Mendeley Recent Style Id 1_1">
    <vt:lpwstr>http://www.zotero.org/styles/apa</vt:lpwstr>
  </property>
  <property fmtid="{D5CDD505-2E9C-101B-9397-08002B2CF9AE}" pid="7" name="Mendeley Recent Style Name 1_1">
    <vt:lpwstr>American Psychological Association 6th edition</vt:lpwstr>
  </property>
  <property fmtid="{D5CDD505-2E9C-101B-9397-08002B2CF9AE}" pid="8" name="Mendeley Recent Style Id 2_1">
    <vt:lpwstr>http://www.zotero.org/styles/american-sociological-association</vt:lpwstr>
  </property>
  <property fmtid="{D5CDD505-2E9C-101B-9397-08002B2CF9AE}" pid="9" name="Mendeley Recent Style Name 2_1">
    <vt:lpwstr>American Sociological Association</vt:lpwstr>
  </property>
  <property fmtid="{D5CDD505-2E9C-101B-9397-08002B2CF9AE}" pid="10" name="Mendeley Recent Style Id 3_1">
    <vt:lpwstr>http://www.zotero.org/styles/harvard1</vt:lpwstr>
  </property>
  <property fmtid="{D5CDD505-2E9C-101B-9397-08002B2CF9AE}" pid="11" name="Mendeley Recent Style Name 3_1">
    <vt:lpwstr>Harvard Reference format 1 (author-date)</vt:lpwstr>
  </property>
  <property fmtid="{D5CDD505-2E9C-101B-9397-08002B2CF9AE}" pid="12" name="Mendeley Recent Style Id 4_1">
    <vt:lpwstr>http://www.zotero.org/styles/ieee</vt:lpwstr>
  </property>
  <property fmtid="{D5CDD505-2E9C-101B-9397-08002B2CF9AE}" pid="13" name="Mendeley Recent Style Name 4_1">
    <vt:lpwstr>IEEE</vt:lpwstr>
  </property>
  <property fmtid="{D5CDD505-2E9C-101B-9397-08002B2CF9AE}" pid="14" name="Mendeley Recent Style Id 5_1">
    <vt:lpwstr>http://www.zotero.org/styles/journal-of-co2-utilization</vt:lpwstr>
  </property>
  <property fmtid="{D5CDD505-2E9C-101B-9397-08002B2CF9AE}" pid="15" name="Mendeley Recent Style Name 5_1">
    <vt:lpwstr>Journal of CO2 Utilization</vt:lpwstr>
  </property>
  <property fmtid="{D5CDD505-2E9C-101B-9397-08002B2CF9AE}" pid="16" name="Mendeley Recent Style Id 6_1">
    <vt:lpwstr>http://www.zotero.org/styles/learning-and-instruction</vt:lpwstr>
  </property>
  <property fmtid="{D5CDD505-2E9C-101B-9397-08002B2CF9AE}" pid="17" name="Mendeley Recent Style Name 6_1">
    <vt:lpwstr>Learning and Instruction</vt:lpwstr>
  </property>
  <property fmtid="{D5CDD505-2E9C-101B-9397-08002B2CF9AE}" pid="18" name="Mendeley Recent Style Id 7_1">
    <vt:lpwstr>http://www.zotero.org/styles/modern-humanities-research-association</vt:lpwstr>
  </property>
  <property fmtid="{D5CDD505-2E9C-101B-9397-08002B2CF9AE}" pid="19" name="Mendeley Recent Style Name 7_1">
    <vt:lpwstr>Modern Humanities Research Association 3rd edition (note with bibliography)</vt:lpwstr>
  </property>
  <property fmtid="{D5CDD505-2E9C-101B-9397-08002B2CF9AE}" pid="20" name="Mendeley Recent Style Id 8_1">
    <vt:lpwstr>http://www.zotero.org/styles/modern-language-association</vt:lpwstr>
  </property>
  <property fmtid="{D5CDD505-2E9C-101B-9397-08002B2CF9AE}" pid="21" name="Mendeley Recent Style Name 8_1">
    <vt:lpwstr>Modern Language Association 7th edition</vt:lpwstr>
  </property>
  <property fmtid="{D5CDD505-2E9C-101B-9397-08002B2CF9AE}" pid="22" name="Mendeley Recent Style Id 9_1">
    <vt:lpwstr>http://www.zotero.org/styles/nature</vt:lpwstr>
  </property>
  <property fmtid="{D5CDD505-2E9C-101B-9397-08002B2CF9AE}" pid="23" name="Mendeley Recent Style Name 9_1">
    <vt:lpwstr>Nature</vt:lpwstr>
  </property>
  <property fmtid="{D5CDD505-2E9C-101B-9397-08002B2CF9AE}" pid="24" name="Mendeley Unique User Id_1">
    <vt:lpwstr>e7172026-5875-3778-aefb-3014a57572bd</vt:lpwstr>
  </property>
</Properties>
</file>