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1B58CA" w14:textId="1E121730" w:rsidR="00933087" w:rsidRDefault="00000000">
      <w:pPr>
        <w:spacing w:after="0" w:line="283" w:lineRule="auto"/>
        <w:ind w:left="0" w:right="0" w:firstLine="0"/>
        <w:jc w:val="center"/>
      </w:pPr>
      <w:r>
        <w:rPr>
          <w:b/>
          <w:sz w:val="28"/>
        </w:rPr>
        <w:t xml:space="preserve">Cultural Ecology: Bridging Tradition, Identity, and Environmental Responsibility in Chinese </w:t>
      </w:r>
      <w:r w:rsidR="006C1BDF">
        <w:rPr>
          <w:b/>
          <w:sz w:val="28"/>
        </w:rPr>
        <w:t>P</w:t>
      </w:r>
      <w:r>
        <w:rPr>
          <w:b/>
          <w:sz w:val="28"/>
        </w:rPr>
        <w:t xml:space="preserve">roject. </w:t>
      </w:r>
    </w:p>
    <w:p w14:paraId="0C2A01A5" w14:textId="77777777" w:rsidR="00933087" w:rsidRDefault="00000000">
      <w:pPr>
        <w:spacing w:after="0" w:line="259" w:lineRule="auto"/>
        <w:ind w:left="30" w:right="0" w:firstLine="0"/>
        <w:jc w:val="center"/>
      </w:pPr>
      <w:r>
        <w:rPr>
          <w:b/>
          <w:sz w:val="28"/>
        </w:rPr>
        <w:t xml:space="preserve"> </w:t>
      </w:r>
    </w:p>
    <w:p w14:paraId="07762E68" w14:textId="77777777" w:rsidR="006C1BDF" w:rsidRDefault="00000000">
      <w:pPr>
        <w:spacing w:after="0" w:line="287" w:lineRule="auto"/>
        <w:ind w:left="3034" w:right="3018" w:firstLine="0"/>
        <w:jc w:val="center"/>
      </w:pPr>
      <w:r>
        <w:t>Francesca La Monaca</w:t>
      </w:r>
      <w:r>
        <w:rPr>
          <w:vertAlign w:val="superscript"/>
        </w:rPr>
        <w:footnoteReference w:id="1"/>
      </w:r>
      <w:r>
        <w:t xml:space="preserve"> </w:t>
      </w:r>
    </w:p>
    <w:p w14:paraId="428DDCA0" w14:textId="37104D67" w:rsidR="00933087" w:rsidRDefault="00000000">
      <w:pPr>
        <w:spacing w:after="0" w:line="287" w:lineRule="auto"/>
        <w:ind w:left="3034" w:right="3018" w:firstLine="0"/>
        <w:jc w:val="center"/>
      </w:pPr>
      <w:r>
        <w:rPr>
          <w:i/>
          <w:vertAlign w:val="superscript"/>
        </w:rPr>
        <w:t>1</w:t>
      </w:r>
      <w:r>
        <w:rPr>
          <w:i/>
        </w:rPr>
        <w:t xml:space="preserve">Politecnico di Torino  </w:t>
      </w:r>
    </w:p>
    <w:p w14:paraId="5755BD1E" w14:textId="77777777" w:rsidR="00933087" w:rsidRDefault="00000000">
      <w:pPr>
        <w:spacing w:after="24" w:line="259" w:lineRule="auto"/>
        <w:ind w:left="11" w:right="0" w:firstLine="0"/>
        <w:jc w:val="left"/>
      </w:pPr>
      <w:r>
        <w:t xml:space="preserve"> </w:t>
      </w:r>
    </w:p>
    <w:p w14:paraId="0F44FD52" w14:textId="77777777" w:rsidR="00933087" w:rsidRDefault="00000000">
      <w:pPr>
        <w:pStyle w:val="Heading1"/>
        <w:spacing w:after="216"/>
        <w:ind w:left="6"/>
      </w:pPr>
      <w:r>
        <w:t xml:space="preserve">Abstract </w:t>
      </w:r>
    </w:p>
    <w:p w14:paraId="64B6E8F6" w14:textId="77777777" w:rsidR="00933087" w:rsidRDefault="00000000">
      <w:pPr>
        <w:spacing w:after="0"/>
        <w:ind w:left="6" w:right="44"/>
      </w:pPr>
      <w:r>
        <w:t xml:space="preserve">The discussion of sustainability in planning is often dominated by a technocratic approach that focuses on economic, scientific, and metrics, neglecting the cultural and perceptual value of projects. Moving from the early eco-design movements of the 1970s and 1980s to a broader understanding of environmental and social responsibility, there has been a recognition since 2014 that architectural sustainability is not only about building techniques, but also about shaping the cultural and economic infrastructure of communities. Culture as the “fourth pillar” of sustainable development is recognized as an essential element in building identity, cohesion and resilience in communities. Incorporating traditional elements into contemporary design is key to fostering identity appropriation of places and promoting a more balanced relationship between Man and Nature. This approach is particularly relevant in the Chinese context, where the relationship between architecture, environment, and landscape has historically been codified. Through two examples, this article explores the concept of cultural ecology, emphasizing how space design can embrace the cultural and historical complexity of places to create spaces that foster not only environmental sustainability but also a sense of belonging and social cohesion. The Olympic Forest Park in Beijing, for instance, integrates traditional Chinese landscape elements within a contemporary urban setting, promoting ecological balance and cultural identity, during international events, such as the 2008 Olympics. Similarly, the Campus du </w:t>
      </w:r>
      <w:proofErr w:type="spellStart"/>
      <w:r>
        <w:t>Huangzhou</w:t>
      </w:r>
      <w:proofErr w:type="spellEnd"/>
      <w:r>
        <w:t xml:space="preserve"> at the Academy of Fine Arts, designed by Wang Shu, exemplifies how landscape planning can blend traditional techniques with modern architecture to create spaces that strengthen local identity, facilitate social interaction, and ensure cultural continuity.  </w:t>
      </w:r>
    </w:p>
    <w:p w14:paraId="58140BB8" w14:textId="77777777" w:rsidR="00933087" w:rsidRDefault="00000000">
      <w:pPr>
        <w:spacing w:after="25" w:line="259" w:lineRule="auto"/>
        <w:ind w:left="11" w:right="0" w:firstLine="0"/>
        <w:jc w:val="left"/>
      </w:pPr>
      <w:r>
        <w:t xml:space="preserve"> </w:t>
      </w:r>
    </w:p>
    <w:p w14:paraId="14127055" w14:textId="77777777" w:rsidR="00933087" w:rsidRDefault="00000000">
      <w:pPr>
        <w:pStyle w:val="Heading1"/>
        <w:spacing w:after="216"/>
        <w:ind w:left="6"/>
      </w:pPr>
      <w:r>
        <w:t xml:space="preserve">Introduction </w:t>
      </w:r>
    </w:p>
    <w:p w14:paraId="226C223B" w14:textId="77777777" w:rsidR="00933087" w:rsidRDefault="00000000">
      <w:pPr>
        <w:ind w:left="6" w:right="44"/>
      </w:pPr>
      <w:r>
        <w:t xml:space="preserve">The approach to landscape design has been changing in China over the past 20 years, with a shift in the discipline toward practices that seek to re-establish a deep connection with the environment, history, and cultural tradition.  </w:t>
      </w:r>
    </w:p>
    <w:p w14:paraId="2969F180" w14:textId="77777777" w:rsidR="00933087" w:rsidRDefault="00000000">
      <w:pPr>
        <w:ind w:left="6" w:right="44"/>
      </w:pPr>
      <w:r>
        <w:t xml:space="preserve">This trend is reinforced by a widespread concern of a complete loss of identity in cities, generated by uncontrolled urbanization since the last century, which has led not only to the abrupt growth of metropolises but also to the demolition of historic urban fabric and the uncritical adoption of international architectural and urban planning models.  </w:t>
      </w:r>
    </w:p>
    <w:p w14:paraId="60627A97" w14:textId="77777777" w:rsidR="00933087" w:rsidRDefault="00000000" w:rsidP="006C1BDF">
      <w:pPr>
        <w:spacing w:after="6" w:line="247" w:lineRule="auto"/>
        <w:ind w:left="14" w:right="43" w:hanging="14"/>
        <w:contextualSpacing/>
      </w:pPr>
      <w:r>
        <w:lastRenderedPageBreak/>
        <w:t>The previous socialist city model, influenced by Russian engineers during the Mao era (Hoa, 2006), had already led to urban uniformity, exacerbated by rapid urban growth and the exodus of the population to metropolises</w:t>
      </w:r>
      <w:r>
        <w:rPr>
          <w:vertAlign w:val="superscript"/>
        </w:rPr>
        <w:t>1</w:t>
      </w:r>
      <w:r>
        <w:t xml:space="preserve"> (Xing &amp; Zhang, 2017). The massive adoption of the European </w:t>
      </w:r>
    </w:p>
    <w:p w14:paraId="22345E38" w14:textId="51AF4E3E" w:rsidR="00933087" w:rsidRDefault="00000000" w:rsidP="006C1BDF">
      <w:pPr>
        <w:spacing w:line="247" w:lineRule="auto"/>
        <w:ind w:left="14" w:right="43" w:hanging="14"/>
        <w:contextualSpacing/>
      </w:pPr>
      <w:r>
        <w:t xml:space="preserve">American architectural model in the 1990s and the growing demand for housing for the emerging  </w:t>
      </w:r>
    </w:p>
    <w:p w14:paraId="4E0F45E9" w14:textId="77777777" w:rsidR="00933087" w:rsidRDefault="00000000">
      <w:pPr>
        <w:ind w:left="6" w:right="44"/>
      </w:pPr>
      <w:r>
        <w:t xml:space="preserve">upper-middle class (Li, 2010) further accelerated the urban landscape's homogenization. </w:t>
      </w:r>
    </w:p>
    <w:p w14:paraId="3AF9E4FF" w14:textId="77777777" w:rsidR="00933087" w:rsidRDefault="00000000">
      <w:pPr>
        <w:ind w:left="6" w:right="44"/>
      </w:pPr>
      <w:r>
        <w:t xml:space="preserve">The result has been eroding local building traditions, alienating individuals, and weakening ties to the local area. </w:t>
      </w:r>
    </w:p>
    <w:p w14:paraId="1FD2CCF3" w14:textId="77777777" w:rsidR="00933087" w:rsidRDefault="00000000">
      <w:pPr>
        <w:ind w:left="6" w:right="44"/>
      </w:pPr>
      <w:r>
        <w:t xml:space="preserve">The problem, of course, is not uniquely Chinese; global practice today is often flattened by a dynamic capital flow and a collective imaginary promoted even by international architects (Frampton, 2013), who tend to ignore the local context in favor of hegemonic and magniloquent projects that are more concerned with showmanship than sensitivity to place. </w:t>
      </w:r>
    </w:p>
    <w:p w14:paraId="750D5699" w14:textId="77777777" w:rsidR="00933087" w:rsidRDefault="00000000">
      <w:pPr>
        <w:ind w:left="6" w:right="44"/>
      </w:pPr>
      <w:r>
        <w:t xml:space="preserve">However, there is a recent reversal in China, supported by architectural and urban heritage preservation policies, which has paved the way for a new phase in which modernization sometimes integrates the recovery of historical memory, thus embracing some of the approaches to sustainability explored internationally over the past decade, involving the human, aesthetic and cultural spheres. </w:t>
      </w:r>
    </w:p>
    <w:p w14:paraId="1BC020FF" w14:textId="77777777" w:rsidR="00933087" w:rsidRDefault="00000000">
      <w:pPr>
        <w:ind w:left="6" w:right="44"/>
      </w:pPr>
      <w:r>
        <w:t xml:space="preserve">As supported by countless sociologists, the artificial environment cannot be reduced to a purely physical calculable entity. However, it must be understood as a social and discursive product shaped by practices and beliefs that vary among different groups and local contexts (Hedlund-de Witt, 2011) (Benton and Short, 1999) (Woodgate &amp; </w:t>
      </w:r>
      <w:proofErr w:type="spellStart"/>
      <w:r>
        <w:t>Redclift</w:t>
      </w:r>
      <w:proofErr w:type="spellEnd"/>
      <w:r>
        <w:t>, 1998). In the design discipline</w:t>
      </w:r>
      <w:proofErr w:type="gramStart"/>
      <w:r>
        <w:t>, in particular, it</w:t>
      </w:r>
      <w:proofErr w:type="gramEnd"/>
      <w:r>
        <w:t xml:space="preserve"> is considered insufficient to respond to contemporary challenges exclusively through solely technical solutions, given how sustainable development (which should aim to improve the quality of life) is at least partly shaped by the values and opinions of individuals or groups (De Vries and Petersen, 2009). </w:t>
      </w:r>
    </w:p>
    <w:p w14:paraId="34BEA264" w14:textId="77777777" w:rsidR="00933087" w:rsidRDefault="00000000">
      <w:pPr>
        <w:ind w:left="6" w:right="44"/>
      </w:pPr>
      <w:r>
        <w:t xml:space="preserve">In practical terms, the approach to sustainable design has evolved considerably from the early </w:t>
      </w:r>
      <w:proofErr w:type="spellStart"/>
      <w:r>
        <w:t>ecodesign</w:t>
      </w:r>
      <w:proofErr w:type="spellEnd"/>
      <w:r>
        <w:t xml:space="preserve"> movements of the 1970s and 1980s to a broader understanding of environmental and social responsibility (</w:t>
      </w:r>
      <w:proofErr w:type="spellStart"/>
      <w:r>
        <w:t>Nikezić</w:t>
      </w:r>
      <w:proofErr w:type="spellEnd"/>
      <w:r>
        <w:t xml:space="preserve"> et al., 2021; </w:t>
      </w:r>
      <w:proofErr w:type="spellStart"/>
      <w:r>
        <w:t>Røstvik</w:t>
      </w:r>
      <w:proofErr w:type="spellEnd"/>
      <w:r>
        <w:t xml:space="preserve">, 2021).  </w:t>
      </w:r>
    </w:p>
    <w:p w14:paraId="1068A24F" w14:textId="77777777" w:rsidR="00933087" w:rsidRDefault="00000000">
      <w:pPr>
        <w:ind w:left="6" w:right="44"/>
      </w:pPr>
      <w:r>
        <w:t xml:space="preserve">Even today, the discussion of sustainability is generally dominated by technocratic supremacy, which wants a monopolization of instrumentalist disciplines in addressing research. The main issues addressed are generally economic, scientific, and geographic planning management issues that focus on concepts such as "ecological modernization," "integrated environmental assessment," "environmental accounting," and "climate regime analysis," often forgetting the cultural, historical, or perceptual framework in which projects operate.  </w:t>
      </w:r>
    </w:p>
    <w:p w14:paraId="19276B39" w14:textId="77777777" w:rsidR="00933087" w:rsidRDefault="00000000">
      <w:pPr>
        <w:ind w:left="6" w:right="44"/>
      </w:pPr>
      <w:r>
        <w:t>A new awareness is emerging today: sustainability is no longer limited to eco-oriented technologies alone but includes the ability to shape the cultural and economic infrastructure of communities (</w:t>
      </w:r>
      <w:proofErr w:type="spellStart"/>
      <w:r>
        <w:t>Daugėlaitė</w:t>
      </w:r>
      <w:proofErr w:type="spellEnd"/>
      <w:r>
        <w:t xml:space="preserve"> &amp; </w:t>
      </w:r>
      <w:proofErr w:type="spellStart"/>
      <w:r>
        <w:t>Gražulevičiūtė-Vileniškė</w:t>
      </w:r>
      <w:proofErr w:type="spellEnd"/>
      <w:r>
        <w:t xml:space="preserve">, 2020). Cultural sustainability has gained centrality with UNESCO's introduction of "sustainability in real life," marking a crucial advance. Since 2014, culture has been recognized as the "fourth pillar" of sustainable development, essential for building identity, cohesion, and resilience in communities (UCLG, 2010; UNESCO, 2014). </w:t>
      </w:r>
    </w:p>
    <w:p w14:paraId="184917DE" w14:textId="77777777" w:rsidR="00933087" w:rsidRDefault="00000000">
      <w:pPr>
        <w:ind w:left="6" w:right="44"/>
      </w:pPr>
      <w:r>
        <w:t xml:space="preserve">On this basis, it is recognized that designers and planners must embrace an integrated approach to sustainability, overcoming the tendency to objectify the issue merely. With their sense of empathy and belonging, human beings become key agents of progress.  </w:t>
      </w:r>
    </w:p>
    <w:p w14:paraId="47254EEE" w14:textId="77777777" w:rsidR="00933087" w:rsidRDefault="00000000">
      <w:pPr>
        <w:ind w:left="6" w:right="44"/>
      </w:pPr>
      <w:r>
        <w:lastRenderedPageBreak/>
        <w:t xml:space="preserve">This article explores the central role of aesthetics and feelings of identity as key sustainable design elements. It is argued that projects should not merely be strategic plans or designed ecosystems but should take on a cultural role capable of arousing genuine public interest in environmental preservation. Such an eco-cultural approach enhances local traditions by adapting architecture to cultural and regional specificities, promoting cultural continuity through local technologies and vernacular materials (Guy and Farmer, 2001). </w:t>
      </w:r>
    </w:p>
    <w:p w14:paraId="7D51CB89" w14:textId="77777777" w:rsidR="00933087" w:rsidRDefault="00000000">
      <w:pPr>
        <w:ind w:left="6" w:right="44"/>
      </w:pPr>
      <w:r>
        <w:t xml:space="preserve">This approach finds particular relevance in the Chinese context, where the relationship between architecture, environment, and landscape is historically codified according to the four pillars of the Chinese philosophy of harmony: with the sky (form and environmental quality), with the earth (space and building quality), with human beings (social cohesion), and with the self (personal quality of life) (Zhang, 2013). </w:t>
      </w:r>
    </w:p>
    <w:p w14:paraId="45FA471F" w14:textId="77777777" w:rsidR="00933087" w:rsidRDefault="00000000">
      <w:pPr>
        <w:pStyle w:val="Heading1"/>
        <w:ind w:left="6"/>
      </w:pPr>
      <w:r>
        <w:t xml:space="preserve">The case of China </w:t>
      </w:r>
    </w:p>
    <w:p w14:paraId="2D874FF2" w14:textId="77777777" w:rsidR="00933087" w:rsidRDefault="00000000">
      <w:pPr>
        <w:ind w:left="6" w:right="44"/>
      </w:pPr>
      <w:r>
        <w:t xml:space="preserve">China has made numerous efforts to integrate cultural and environmental sustainability issues into its development plans. Beginning in 2006, joint initiatives with the European Union, such as the Joint Statement of the Ninth EU-China Summit in Helsinki, outlined a framework for collaboration on climate change, later incorporated into strategic planning documents, including the 13th </w:t>
      </w:r>
      <w:proofErr w:type="spellStart"/>
      <w:r>
        <w:t>FiveYear</w:t>
      </w:r>
      <w:proofErr w:type="spellEnd"/>
      <w:r>
        <w:t xml:space="preserve"> Plan (2016-2020). </w:t>
      </w:r>
    </w:p>
    <w:p w14:paraId="3B12CF08" w14:textId="77777777" w:rsidR="00933087" w:rsidRDefault="00000000">
      <w:pPr>
        <w:ind w:left="6" w:right="44"/>
      </w:pPr>
      <w:r>
        <w:t>The very concept of "ecological civilization" (</w:t>
      </w:r>
      <w:proofErr w:type="spellStart"/>
      <w:r>
        <w:rPr>
          <w:rFonts w:ascii="SimSun" w:eastAsia="SimSun" w:hAnsi="SimSun" w:cs="SimSun"/>
        </w:rPr>
        <w:t>生态文明</w:t>
      </w:r>
      <w:proofErr w:type="spellEnd"/>
      <w:r>
        <w:t xml:space="preserve">, </w:t>
      </w:r>
      <w:proofErr w:type="spellStart"/>
      <w:r>
        <w:t>shēngtài</w:t>
      </w:r>
      <w:proofErr w:type="spellEnd"/>
      <w:r>
        <w:t xml:space="preserve"> </w:t>
      </w:r>
      <w:proofErr w:type="spellStart"/>
      <w:r>
        <w:t>wénmíng</w:t>
      </w:r>
      <w:proofErr w:type="spellEnd"/>
      <w:r>
        <w:t>) adopted in 2007 is a cornerstone of China's approach to sustainability. It aims to make China a model of environmental awareness, sustainable urbanization, and natural resource conservation by combining scientific, economic, and philosophical perspectives (</w:t>
      </w:r>
      <w:proofErr w:type="spellStart"/>
      <w:r>
        <w:t>Brombal</w:t>
      </w:r>
      <w:proofErr w:type="spellEnd"/>
      <w:r>
        <w:t xml:space="preserve">, 2015). Officially adopted in the Report of the 17th National Congress of the Communist Party of China, the Chinese government described the concept of eco-civilization as "a socialist-ecological future with Chinese characteristics" (Jiang, 2013; Hansen, 2018). It emphasizes geographical and cultural diversity, promoting a harmonious relationship between humans and nature, in tune with traditional beliefs (Huang and Westman, 2021). </w:t>
      </w:r>
    </w:p>
    <w:p w14:paraId="5B9D30C2" w14:textId="77777777" w:rsidR="00933087" w:rsidRDefault="00000000">
      <w:pPr>
        <w:ind w:left="6" w:right="44"/>
      </w:pPr>
      <w:r>
        <w:t xml:space="preserve">The National New Urbanization Plan 2014-2020 is a significant example of this vision. Vice Minister Xu </w:t>
      </w:r>
      <w:proofErr w:type="spellStart"/>
      <w:r>
        <w:t>Xianping</w:t>
      </w:r>
      <w:proofErr w:type="spellEnd"/>
      <w:r>
        <w:t xml:space="preserve"> emphasized the central role of human well-being, eco-sustainability, and the enhancement of cultural traditions.  </w:t>
      </w:r>
    </w:p>
    <w:p w14:paraId="38646DED" w14:textId="77777777" w:rsidR="00933087" w:rsidRDefault="00000000">
      <w:pPr>
        <w:ind w:left="6" w:right="44"/>
      </w:pPr>
      <w:r>
        <w:t xml:space="preserve">In parallel with an interest in sustainability, since 2005, the introduction of the Planning Code for Historic Towns has led to the approval of more than 3,000 architectural artifacts as national heritage sites, highlighting how much interest in cultural reappraisal is also taking place. Moreover, since 2010, 110 cities have been recognized by UNESCO as historically and culturally significant, a step accompanied by the enactment of the first National Law for the Protection of Cultural Heritage in 2009. Such initiatives have stimulated the preservation of historical heritage and encouraged designs capable of integrating modernity and tradition. </w:t>
      </w:r>
    </w:p>
    <w:p w14:paraId="7FD9E2B4" w14:textId="77777777" w:rsidR="00933087" w:rsidRDefault="00000000">
      <w:pPr>
        <w:ind w:left="6" w:right="44"/>
      </w:pPr>
      <w:r>
        <w:t xml:space="preserve">Speaking of landscape design is intended to reflect the Chinese garden as a highly emblematic space both in terms of the techniques adopted in line with sustainable design and as a powerful and recognizable identity symbol. </w:t>
      </w:r>
    </w:p>
    <w:p w14:paraId="1C92E722" w14:textId="77777777" w:rsidR="002C7346" w:rsidRDefault="00000000" w:rsidP="002C7346">
      <w:pPr>
        <w:spacing w:after="134"/>
        <w:ind w:right="44"/>
      </w:pPr>
      <w:r>
        <w:lastRenderedPageBreak/>
        <w:t>The Chinese Garden represents the heights of dialogue between individual, culture, and landscape; it is a perfect earthly microcosm where man celebrates the profound balance between nature, universe, and memory, a place whose beauty drives a process of emotional resonance.</w:t>
      </w:r>
      <w:r>
        <w:rPr>
          <w:vertAlign w:val="superscript"/>
        </w:rPr>
        <w:footnoteReference w:id="2"/>
      </w:r>
      <w:r>
        <w:t xml:space="preserve">  </w:t>
      </w:r>
    </w:p>
    <w:p w14:paraId="49DF3B71" w14:textId="65A596B1" w:rsidR="002C7346" w:rsidRDefault="002C7346" w:rsidP="002C7346">
      <w:pPr>
        <w:spacing w:after="134" w:line="240" w:lineRule="auto"/>
        <w:ind w:left="14" w:right="44"/>
        <w:contextualSpacing/>
      </w:pPr>
      <w:r>
        <w:t xml:space="preserve">As Professor Chen </w:t>
      </w:r>
      <w:proofErr w:type="spellStart"/>
      <w:r>
        <w:t>Wangheng</w:t>
      </w:r>
      <w:proofErr w:type="spellEnd"/>
      <w:r>
        <w:t xml:space="preserve"> (2018) stated, classical Chinese gardens possess a multifaceted value</w:t>
      </w:r>
    </w:p>
    <w:p w14:paraId="55032E05" w14:textId="7450A536" w:rsidR="002C7346" w:rsidRDefault="002C7346" w:rsidP="002C7346">
      <w:pPr>
        <w:spacing w:line="240" w:lineRule="auto"/>
        <w:ind w:left="14" w:right="43" w:hanging="14"/>
      </w:pPr>
      <w:r>
        <w:t>that is substantial in today's world and surpasses other forms of design. He believes that understanding or experiencing the garden enables ecological and civilizational awareness through simply being.</w:t>
      </w:r>
    </w:p>
    <w:p w14:paraId="36C34087" w14:textId="0FE8D290" w:rsidR="00933087" w:rsidRDefault="00000000" w:rsidP="002C7346">
      <w:pPr>
        <w:ind w:left="11" w:right="44" w:firstLine="0"/>
      </w:pPr>
      <w:r>
        <w:t xml:space="preserve">In contemporary design practice, these concepts are translated into a design that can modernize the distinctive features of classical Chinese garden design, deeply in line with the ecological paradigms of this century, with an architectural language that is innovative but deeply rooted in cultural heritage. Indeed, this approach enriches modern design by enhancing a sense of belonging and creating spaces that stimulate social relations and community cohesion.  </w:t>
      </w:r>
    </w:p>
    <w:p w14:paraId="7B8F5BD9" w14:textId="77777777" w:rsidR="00933087" w:rsidRDefault="00000000">
      <w:pPr>
        <w:ind w:left="6" w:right="44"/>
      </w:pPr>
      <w:r>
        <w:t xml:space="preserve">This article grew out of prior research exploring the link between architecture and landscape, focusing on the Chinese garden and its design methodologies. A key concept that emerged from that research is that of borrowed landscape or the idea that a surrounding landscape is "borrowed" to amplify and enrich the experience of the garden itself, as explored in depth by scholars including internationally renowned Alison Hardie, Stanislaus Fung, Craig </w:t>
      </w:r>
      <w:proofErr w:type="spellStart"/>
      <w:r>
        <w:t>Clunas</w:t>
      </w:r>
      <w:proofErr w:type="spellEnd"/>
      <w:r>
        <w:t xml:space="preserve">, Chen </w:t>
      </w:r>
      <w:proofErr w:type="spellStart"/>
      <w:r>
        <w:t>Congzhou</w:t>
      </w:r>
      <w:proofErr w:type="spellEnd"/>
      <w:r>
        <w:t xml:space="preserve">, </w:t>
      </w:r>
      <w:proofErr w:type="spellStart"/>
      <w:r>
        <w:t>Wybe</w:t>
      </w:r>
      <w:proofErr w:type="spellEnd"/>
      <w:r>
        <w:t xml:space="preserve"> </w:t>
      </w:r>
      <w:proofErr w:type="spellStart"/>
      <w:r>
        <w:t>Kuitert</w:t>
      </w:r>
      <w:proofErr w:type="spellEnd"/>
      <w:r>
        <w:t xml:space="preserve">, and Handlin Smith. </w:t>
      </w:r>
    </w:p>
    <w:p w14:paraId="45C387BF" w14:textId="77777777" w:rsidR="00933087" w:rsidRDefault="00000000">
      <w:pPr>
        <w:ind w:left="6" w:right="44"/>
      </w:pPr>
      <w:r>
        <w:t xml:space="preserve">The article attempts to translate these considerations, developed in an architectural context, to the realm of public spaces, exploring how similar principles can be applied to design parks and landscapes that are in tune with local context and culture.  </w:t>
      </w:r>
    </w:p>
    <w:p w14:paraId="793B8439" w14:textId="77777777" w:rsidR="00933087" w:rsidRDefault="00000000">
      <w:pPr>
        <w:spacing w:after="96" w:line="259" w:lineRule="auto"/>
        <w:ind w:left="11" w:right="0" w:firstLine="0"/>
        <w:jc w:val="left"/>
      </w:pPr>
      <w:r>
        <w:t xml:space="preserve"> </w:t>
      </w:r>
    </w:p>
    <w:p w14:paraId="7B4C76BD" w14:textId="77777777" w:rsidR="00933087" w:rsidRDefault="00000000">
      <w:pPr>
        <w:pStyle w:val="Heading1"/>
        <w:ind w:left="6"/>
      </w:pPr>
      <w:r>
        <w:t xml:space="preserve">Methodology </w:t>
      </w:r>
    </w:p>
    <w:p w14:paraId="3F74306A" w14:textId="77777777" w:rsidR="00933087" w:rsidRDefault="00000000">
      <w:pPr>
        <w:ind w:left="6" w:right="44"/>
      </w:pPr>
      <w:r>
        <w:t xml:space="preserve">The methodology adopted in this research is based on a combination of theoretical and empirical approaches to explore the role of traditional elements in contemporary Chinese architecture. On the one hand, the literature review provided the historical and cultural context necessary to frame the phenomenon. On the other hand, using examples allows the impact of such elements in contemporary projects to be concretized. </w:t>
      </w:r>
    </w:p>
    <w:p w14:paraId="677220CE" w14:textId="77777777" w:rsidR="00933087" w:rsidRDefault="00000000">
      <w:pPr>
        <w:ind w:left="6" w:right="44"/>
      </w:pPr>
      <w:r>
        <w:t xml:space="preserve">Field analysis was an essential component of the research, which allowed theoretical data to be compared with direct on-site observations. This approach made a qualitative investigation of the perception of spaces possible, enriching the interpretation of projects with direct and reasoned considerations. The research also drew on a wide range of international and Chinese sources, combining global academic publications with lesser-known studies available through specialized databases such as CNKI. </w:t>
      </w:r>
    </w:p>
    <w:p w14:paraId="206177EC" w14:textId="77777777" w:rsidR="00933087" w:rsidRDefault="00000000">
      <w:pPr>
        <w:ind w:left="6" w:right="44"/>
      </w:pPr>
      <w:r>
        <w:t xml:space="preserve">The two selected examples, the Olympic Forest Park in Beijing and the Xiangshan Campus of the China Academy of Art in Hangzhou are illustrative of the dynamics between cultural sustainability, identity, and the integration of tradition and modernity. These well-known and widely studied </w:t>
      </w:r>
      <w:r>
        <w:lastRenderedPageBreak/>
        <w:t xml:space="preserve">projects offer a unique perspective for analyzing the dialogue between past and future, demonstrating how architecture can build cultural continuity and strengthen a sense of belonging in communities. </w:t>
      </w:r>
    </w:p>
    <w:p w14:paraId="56426097" w14:textId="77777777" w:rsidR="00933087" w:rsidRDefault="00000000">
      <w:pPr>
        <w:spacing w:after="96" w:line="259" w:lineRule="auto"/>
        <w:ind w:left="11" w:right="0" w:firstLine="0"/>
        <w:jc w:val="left"/>
      </w:pPr>
      <w:r>
        <w:t xml:space="preserve"> </w:t>
      </w:r>
    </w:p>
    <w:p w14:paraId="4B80621D" w14:textId="77777777" w:rsidR="00933087" w:rsidRDefault="00000000">
      <w:pPr>
        <w:pStyle w:val="Heading1"/>
        <w:ind w:left="6"/>
      </w:pPr>
      <w:r>
        <w:t xml:space="preserve">The Chinese Garden  </w:t>
      </w:r>
    </w:p>
    <w:p w14:paraId="1740C389" w14:textId="77777777" w:rsidR="00933087" w:rsidRDefault="00000000">
      <w:pPr>
        <w:ind w:left="6" w:right="44"/>
      </w:pPr>
      <w:r>
        <w:t xml:space="preserve">The case of the Chinese garden is fascinating as it reflects the link between the individual, nature, and identity, given the historical evolution of the Chinese garden over the past century and its representative role through the centuries. </w:t>
      </w:r>
    </w:p>
    <w:p w14:paraId="2A9A1FCF" w14:textId="77777777" w:rsidR="00933087" w:rsidRDefault="00000000">
      <w:pPr>
        <w:ind w:left="6" w:right="44"/>
      </w:pPr>
      <w:r>
        <w:t xml:space="preserve">Since the Wei-Jin period (220-589), private gardens represented one of the most prestigious spaces for the </w:t>
      </w:r>
      <w:proofErr w:type="spellStart"/>
      <w:r>
        <w:t>shi</w:t>
      </w:r>
      <w:proofErr w:type="spellEnd"/>
      <w:r>
        <w:t xml:space="preserve"> (</w:t>
      </w:r>
      <w:r>
        <w:rPr>
          <w:rFonts w:ascii="SimSun" w:eastAsia="SimSun" w:hAnsi="SimSun" w:cs="SimSun"/>
        </w:rPr>
        <w:t>士</w:t>
      </w:r>
      <w:r>
        <w:t xml:space="preserve">), the literati. Garden design was not simply an aesthetic act but a vehicle to convey a sense of elitism within privileged circles (Wang 2022). </w:t>
      </w:r>
    </w:p>
    <w:p w14:paraId="75C31526" w14:textId="77777777" w:rsidR="00933087" w:rsidRDefault="00000000">
      <w:pPr>
        <w:ind w:left="6" w:right="44"/>
      </w:pPr>
      <w:r>
        <w:t xml:space="preserve">The private garden in the city, a place of intellectual interaction and aesthetic debate, and the garden, as a refuge in the rustic countryside away from the vicissitudes of public duty, embodied an ideal of higher living (Chi 2001). Urban gardens gave rise to a culture that consolidated the cultural identity of the noble class (Hammond 1999). </w:t>
      </w:r>
    </w:p>
    <w:p w14:paraId="580F418C" w14:textId="77777777" w:rsidR="00933087" w:rsidRDefault="00000000">
      <w:pPr>
        <w:ind w:left="6" w:right="44"/>
      </w:pPr>
      <w:r>
        <w:t xml:space="preserve">During the Mao era, public parks became community-accessible spaces, reflecting the socialist ideology of democratizing green spaces. Some of the literati's gardens, such as Shen Garden (1881) and Yu Garden (1890) in Shanghai, were opened to the public while creating new green spaces for the community was encouraged. Movements such as the Patriotic Health Campaign (Zhao 2008) contributed to this transformation. Countless volunteers worked to create these spaces, creating a solid sense of belonging toward a place, albeit in a nation with formalist tendencies that alienated the relationship with the land. </w:t>
      </w:r>
    </w:p>
    <w:p w14:paraId="5C528388" w14:textId="77777777" w:rsidR="00933087" w:rsidRDefault="00000000">
      <w:pPr>
        <w:ind w:left="6" w:right="44"/>
      </w:pPr>
      <w:r>
        <w:t xml:space="preserve">Although Western-derived rational models were initially introduced, the importance of preserving and reworking historical elements and indigenous traditions was soon recognized. </w:t>
      </w:r>
    </w:p>
    <w:p w14:paraId="648CD2EB" w14:textId="77777777" w:rsidR="00933087" w:rsidRDefault="00000000">
      <w:pPr>
        <w:ind w:left="6" w:right="44"/>
      </w:pPr>
      <w:r>
        <w:t xml:space="preserve">These elements were an aesthetic value and a symbol of cultural identity. Thus, the design of parks used traditional heritage as a starting point for expressing nationalistic values while adapting to the new principles of accessibility and functionality of the Maoist era (Zhao 2008). </w:t>
      </w:r>
    </w:p>
    <w:p w14:paraId="09846B66" w14:textId="77777777" w:rsidR="00933087" w:rsidRDefault="00000000">
      <w:pPr>
        <w:ind w:left="6" w:right="44"/>
      </w:pPr>
      <w:r>
        <w:t xml:space="preserve">Since the beginning of the new millennium, the garden has reassumed its role and image as a distinctive symbol after a century in which it became a public space. It emerges as an element reserved for an educated and privileged elite in private projects but also as a place of recreation, meditation, and representation in public parks. Avant-garde architecture inspired by critical regionalism that reinterprets the </w:t>
      </w:r>
      <w:proofErr w:type="spellStart"/>
      <w:r>
        <w:t>spatialities</w:t>
      </w:r>
      <w:proofErr w:type="spellEnd"/>
      <w:r>
        <w:t xml:space="preserve"> of the classical garden, including Wang Shu's projects and iconic landscapes such as those in the Olympic Park, are evidence of this evolution. This renewed interest in the garden as a place of exclusivity and cultural significance represents a broader phenomenon that sees the garden not only as a space for recreation but also as an aesthetic and social expression. </w:t>
      </w:r>
    </w:p>
    <w:p w14:paraId="3818DC5B" w14:textId="77777777" w:rsidR="00933087" w:rsidRDefault="00000000">
      <w:pPr>
        <w:ind w:left="6" w:right="44"/>
      </w:pPr>
      <w:r>
        <w:t xml:space="preserve">In contemporary times, the resurgence of the garden as a distinctive element takes different forms, reflected mainly in three types: urban parks, country villas, and urban gardens. The country villa is characterized by an intimate relationship with nature, a return to a larger and more natural space, where the architectural design expresses a deep connection with the rural context. </w:t>
      </w:r>
    </w:p>
    <w:p w14:paraId="2CCA60A8" w14:textId="77777777" w:rsidR="00933087" w:rsidRDefault="00000000">
      <w:pPr>
        <w:ind w:left="6" w:right="44"/>
      </w:pPr>
      <w:r>
        <w:lastRenderedPageBreak/>
        <w:t xml:space="preserve">These solutions respond to different environmental, social, and cultural needs. However, they are proposed as places for reflection, escapism, and aesthetic research, addressing a public that, while diverse, shares the need for a space that goes beyond mere functionality. In this sense, public gardens and parks become instruments of cultural sustainability, capable of preserving and reinterpreting local traditions while promoting a sense of belonging and historical continuity. </w:t>
      </w:r>
    </w:p>
    <w:p w14:paraId="6AEADF73" w14:textId="77777777" w:rsidR="00933087" w:rsidRDefault="00000000">
      <w:pPr>
        <w:ind w:left="6" w:right="44"/>
      </w:pPr>
      <w:r>
        <w:t xml:space="preserve">The hybridization of classical and modern elements is also not a recent phenomenon. However, it has taken on different meanings throughout the twentieth century, culminating in projects that have contributed to the evolution of Chinese aesthetics. Beijing's Olympic Forest Park represents one of the most significant examples of this trend that has evolved into the new millennium. Its scale, design complexity, and relevance in the context of the 2008 Olympics make it particularly important to the development of contemporary Chinese landscape design. </w:t>
      </w:r>
    </w:p>
    <w:p w14:paraId="4F8B377C" w14:textId="77777777" w:rsidR="00933087" w:rsidRDefault="00000000">
      <w:pPr>
        <w:ind w:left="6" w:right="44"/>
      </w:pPr>
      <w:r>
        <w:t xml:space="preserve">The park fits along Beijing's central axis, symbolically extending the backbone that connects the Forbidden City to the future of modern China. Designed as an integral part of the Olympic area, the park reinterprets traditional Chinese garden elements, such as artificial hills and winding waterways, creating a metaphorical and spatial dialogue between the historical past and the contemporary present. (Rinaldi 2011) </w:t>
      </w:r>
    </w:p>
    <w:p w14:paraId="2ADC81DD" w14:textId="77777777" w:rsidR="00933087" w:rsidRDefault="00000000">
      <w:pPr>
        <w:ind w:left="6" w:right="44"/>
      </w:pPr>
      <w:r>
        <w:t xml:space="preserve">The design approach is not limited to the mere reproduction of traditional elements. Instead, it adapts them to the needs of a modern public space, capable of interacting with the surrounding urban context through, for example, the use of devices in the design that allow glimpses of elements of the metropolis. </w:t>
      </w:r>
    </w:p>
    <w:p w14:paraId="686ED1C0" w14:textId="77777777" w:rsidR="00933087" w:rsidRDefault="00000000">
      <w:pPr>
        <w:ind w:left="6" w:right="44"/>
      </w:pPr>
      <w:r>
        <w:t xml:space="preserve">In addition to its aesthetic and symbolic component, the Olympic Forest Park is an example of ecological design, adopting strategies to mitigate climate change and promote biodiversity. Not only does the park provide a recreational space for the citizenry, but it is also a point of environmental education, contributing to strengthening the bond between the community and China's natural and cultural heritage. During internationally important events such as the Olympics, the park has played a key role in promoting China as a global power and reaffirming the value of China's cultural tradition in the international context. </w:t>
      </w:r>
    </w:p>
    <w:p w14:paraId="7E71A41D" w14:textId="77777777" w:rsidR="00933087" w:rsidRDefault="00000000">
      <w:pPr>
        <w:ind w:left="6" w:right="44"/>
      </w:pPr>
      <w:r>
        <w:t xml:space="preserve">Studies on the park have emphasized its ability to evoke a strong sense of belonging among visitors. Zhang Ting (2020) showed that the impact of perceived value and place attachment positively influenced tourists' ecologically responsible behavior. On the other hand, Liang </w:t>
      </w:r>
      <w:proofErr w:type="spellStart"/>
      <w:r>
        <w:t>Siji</w:t>
      </w:r>
      <w:proofErr w:type="spellEnd"/>
      <w:r>
        <w:t xml:space="preserve"> (2023) showed that park design has a positive emotional impact on users. Sun Nan (2011), analyzing the project's ecological impact, highlighted improvements in water, energy production, and the urban ecosystem, as well as people's appreciation for the park's presence in the city. </w:t>
      </w:r>
    </w:p>
    <w:p w14:paraId="68B1E5EB" w14:textId="77777777" w:rsidR="00933087" w:rsidRDefault="00000000">
      <w:pPr>
        <w:ind w:left="6" w:right="44"/>
      </w:pPr>
      <w:r>
        <w:t xml:space="preserve">Even during field research, the inhabitants' use of the spaces and the place's attractiveness are clear signs of a successful and socially impactful design. The traditional elements of the imperial garden are recognizable, but they have been rethought to meet the needs of a contemporary function, finding broad public appreciation. </w:t>
      </w:r>
    </w:p>
    <w:p w14:paraId="0BCE4C1B" w14:textId="77777777" w:rsidR="00933087" w:rsidRDefault="00000000">
      <w:pPr>
        <w:spacing w:after="210" w:line="259" w:lineRule="auto"/>
        <w:ind w:left="0" w:right="1113" w:firstLine="0"/>
        <w:jc w:val="right"/>
      </w:pPr>
      <w:r>
        <w:rPr>
          <w:noProof/>
        </w:rPr>
        <w:lastRenderedPageBreak/>
        <w:drawing>
          <wp:inline distT="0" distB="0" distL="0" distR="0" wp14:anchorId="66637989" wp14:editId="113A5E1B">
            <wp:extent cx="5262372" cy="2939415"/>
            <wp:effectExtent l="0" t="0" r="0" b="0"/>
            <wp:docPr id="969" name="Picture 969" descr="Figure 1. The Beijing Olympic Forest Park (Beijing,China) –  (October 2023)"/>
            <wp:cNvGraphicFramePr/>
            <a:graphic xmlns:a="http://schemas.openxmlformats.org/drawingml/2006/main">
              <a:graphicData uri="http://schemas.openxmlformats.org/drawingml/2006/picture">
                <pic:pic xmlns:pic="http://schemas.openxmlformats.org/drawingml/2006/picture">
                  <pic:nvPicPr>
                    <pic:cNvPr id="969" name="Picture 969"/>
                    <pic:cNvPicPr/>
                  </pic:nvPicPr>
                  <pic:blipFill>
                    <a:blip r:embed="rId6"/>
                    <a:stretch>
                      <a:fillRect/>
                    </a:stretch>
                  </pic:blipFill>
                  <pic:spPr>
                    <a:xfrm>
                      <a:off x="0" y="0"/>
                      <a:ext cx="5262372" cy="2939415"/>
                    </a:xfrm>
                    <a:prstGeom prst="rect">
                      <a:avLst/>
                    </a:prstGeom>
                  </pic:spPr>
                </pic:pic>
              </a:graphicData>
            </a:graphic>
          </wp:inline>
        </w:drawing>
      </w:r>
      <w:r>
        <w:t xml:space="preserve"> </w:t>
      </w:r>
    </w:p>
    <w:p w14:paraId="714A7B40" w14:textId="425F5D3F" w:rsidR="002C7346" w:rsidRDefault="00000000" w:rsidP="002C7346">
      <w:pPr>
        <w:spacing w:after="119" w:line="239" w:lineRule="auto"/>
        <w:ind w:left="6" w:right="0"/>
        <w:jc w:val="center"/>
        <w:rPr>
          <w:i/>
        </w:rPr>
      </w:pPr>
      <w:r>
        <w:rPr>
          <w:i/>
        </w:rPr>
        <w:t xml:space="preserve">Figure 1. The Beijing Olympic Forest Park, Observatory Towel, </w:t>
      </w:r>
      <w:proofErr w:type="spellStart"/>
      <w:proofErr w:type="gramStart"/>
      <w:r>
        <w:rPr>
          <w:i/>
        </w:rPr>
        <w:t>Beijing,China</w:t>
      </w:r>
      <w:proofErr w:type="spellEnd"/>
      <w:proofErr w:type="gramEnd"/>
      <w:r>
        <w:rPr>
          <w:i/>
        </w:rPr>
        <w:t xml:space="preserve"> (October 2023)</w:t>
      </w:r>
    </w:p>
    <w:p w14:paraId="044A5239" w14:textId="7144A3BD" w:rsidR="00933087" w:rsidRDefault="00000000">
      <w:pPr>
        <w:spacing w:after="119" w:line="239" w:lineRule="auto"/>
        <w:ind w:left="6" w:right="0"/>
        <w:jc w:val="left"/>
      </w:pPr>
      <w:r>
        <w:t xml:space="preserve">The Xiangshan Campus of the Chinese Academy of Art, designed by Wang Shu and Lu Wenyu, in turn, represents a significant example of how contemporary architecture can harmonize tradition and modernity, creating a landscape that is at once cultural, aesthetic, and functional.  </w:t>
      </w:r>
    </w:p>
    <w:p w14:paraId="324100D7" w14:textId="77777777" w:rsidR="00933087" w:rsidRDefault="00000000">
      <w:pPr>
        <w:ind w:left="6" w:right="44"/>
      </w:pPr>
      <w:r>
        <w:t xml:space="preserve">Opened in September 2013 in Hangzhou, the complex is located at the foot of the southern slope of Xiangshan and near a small river. The structure, imposing with its roof unifying various volumes, conceals architectural details of great simplicity and harmony. The design is inspired by traditional Chinese landscape painting, which has its roots in the Wei and Jin dynasties and depicts the profound relationship between man and nature. Wang Shu, who is pass </w:t>
      </w:r>
      <w:proofErr w:type="spellStart"/>
      <w:r>
        <w:t>ionate</w:t>
      </w:r>
      <w:proofErr w:type="spellEnd"/>
      <w:r>
        <w:t xml:space="preserve"> about this art form, incorporates the principles of traditional painting into his designs, such as "feasibility," "promise," "walkability," and "habitability," concepts that are also made explicit in the treatise of Guo Xi, a Song Dynasty painter (Yang, 2021). </w:t>
      </w:r>
    </w:p>
    <w:p w14:paraId="02CA116D" w14:textId="77777777" w:rsidR="00933087" w:rsidRDefault="00000000">
      <w:pPr>
        <w:ind w:left="6" w:right="44"/>
      </w:pPr>
      <w:r>
        <w:t xml:space="preserve">Functionally, the center is divided into four main areas: tea, conference, catering, and accommodation spaces. The arrangement of spaces creates a fluid connection, where each area connects to the other through carefully designed pathways. The network of pathways, which includes a riverside path, an indoor pathway through terraces and courtyards, and a mountainous rooftop path, allows for dynamic interaction with the natural surroundings. </w:t>
      </w:r>
    </w:p>
    <w:p w14:paraId="1D0B237E" w14:textId="77777777" w:rsidR="00933087" w:rsidRDefault="00000000">
      <w:pPr>
        <w:ind w:left="6" w:right="44"/>
      </w:pPr>
      <w:r>
        <w:t xml:space="preserve">These free, multidirectional paths visually and spatially connect the different parts of the building, creating harmony between the architecture and the landscape. Walking through the Xiangshan campus is like entering a world that relives the past but reworks it in a contemporary way. The layout of the buildings, the use of natural materials such as stone and wood, and the integration with the natural landscape help create an atmosphere that students describe as imbued with "traditional beauty and Chinese flavor." This unique atmosphere is an aesthetic exercise and an authentic sensory experience that invites users to experience and interact with space. </w:t>
      </w:r>
    </w:p>
    <w:p w14:paraId="4F5D68A6" w14:textId="77777777" w:rsidR="00933087" w:rsidRDefault="00000000">
      <w:pPr>
        <w:ind w:left="6" w:right="44"/>
      </w:pPr>
      <w:r>
        <w:lastRenderedPageBreak/>
        <w:t xml:space="preserve">The goal of the campus is not just to construct buildings but to create a world where people can have meaningful experiences. Spaces are designed to be welcoming and inspiring, where past and present intertwine, and collective memory finds expression. The landscape that emerges in the project, with the reconstruction of abandoned bricks and tiles transformed into walls, streets, or new buildings, is not just an act of physical reclamation but a way to honor and preserve the memory of the cultural landscape that once defined urban space. This new space, built from the remnants of the past, carries something ancient: memories, cultures, and traditions intertwined with the present. </w:t>
      </w:r>
    </w:p>
    <w:p w14:paraId="4D848AE9" w14:textId="77777777" w:rsidR="00933087" w:rsidRDefault="00000000">
      <w:pPr>
        <w:ind w:left="6" w:right="44"/>
      </w:pPr>
      <w:r>
        <w:t xml:space="preserve">In this context, the urban landscape is not only the result of a modernization process but also a narrative that unites the old and the new. Through this "reconstruction" of the landscape, not only the aesthetics but also the cultural value is preserved, becoming a reflection of how the landscape itself can be a living document of transformation and continuity.  </w:t>
      </w:r>
    </w:p>
    <w:p w14:paraId="70D1E7FB" w14:textId="77777777" w:rsidR="00933087" w:rsidRDefault="00000000">
      <w:pPr>
        <w:spacing w:after="96" w:line="259" w:lineRule="auto"/>
        <w:ind w:left="11" w:right="0" w:firstLine="0"/>
        <w:jc w:val="left"/>
      </w:pPr>
      <w:r>
        <w:t xml:space="preserve"> </w:t>
      </w:r>
    </w:p>
    <w:p w14:paraId="3FBD7222" w14:textId="77777777" w:rsidR="00933087" w:rsidRDefault="00000000">
      <w:pPr>
        <w:pStyle w:val="Heading1"/>
        <w:ind w:left="6"/>
      </w:pPr>
      <w:r>
        <w:t xml:space="preserve">Conclusions </w:t>
      </w:r>
    </w:p>
    <w:p w14:paraId="61D0560B" w14:textId="77777777" w:rsidR="00933087" w:rsidRDefault="00000000">
      <w:pPr>
        <w:ind w:left="6" w:right="44"/>
      </w:pPr>
      <w:r>
        <w:t xml:space="preserve">In the current global context, marked by an increasing interconnection between ecological and socioeconomic systems, the pressure exerted by globalization processes profoundly affects the landscape and the environment. Within this framework, the presence of projects sensitive to the cultural dimension takes the form of an active tool for the regeneration of the urban landscape, fostering a change in the perception of spaces by the community. </w:t>
      </w:r>
    </w:p>
    <w:p w14:paraId="1081E015" w14:textId="5A3B108C" w:rsidR="00933087" w:rsidRDefault="00933087" w:rsidP="002C7346">
      <w:pPr>
        <w:spacing w:after="96" w:line="259" w:lineRule="auto"/>
        <w:ind w:left="0" w:right="0" w:firstLine="0"/>
        <w:jc w:val="left"/>
      </w:pPr>
    </w:p>
    <w:p w14:paraId="617E314F" w14:textId="77777777" w:rsidR="00933087" w:rsidRDefault="00000000">
      <w:pPr>
        <w:ind w:left="6" w:right="44"/>
      </w:pPr>
      <w:r>
        <w:t xml:space="preserve">The Olympic Forest Park fits within a broader strategy of national representation aimed at building a culturally recognizable image of contemporary China. However, to interpret it solely as a celebratory device would be to overlook its evolution and lasting impact on the urban and social environment. The continued use of the park in subsequent years and its ability to generate a sense of belonging by incentivizing more environmentally conscious behaviors demonstrate how the symbolic value of space can have a lasting impact on daily practices and the collective perception of the urban environment. </w:t>
      </w:r>
    </w:p>
    <w:p w14:paraId="41369FEE" w14:textId="77777777" w:rsidR="00933087" w:rsidRDefault="00000000">
      <w:pPr>
        <w:ind w:left="6" w:right="44"/>
      </w:pPr>
      <w:r>
        <w:t xml:space="preserve">The Xiangshan Campus, on the other hand, stands out for its relevance in education and for its design ability to reinterpret the traditional cultural landscape from a contemporary perspective. The project proposes a model in which memory and innovation are coherently integrated, offering young users a non-sanctioning view of the contemporary. In this sense, project culture is configured as an active tool for landscape regeneration, potentially transferable to ordinary contexts outside institutional frames. </w:t>
      </w:r>
    </w:p>
    <w:p w14:paraId="67A24D71" w14:textId="77777777" w:rsidR="00933087" w:rsidRDefault="00000000">
      <w:pPr>
        <w:spacing w:after="211"/>
        <w:ind w:left="6" w:right="44"/>
      </w:pPr>
      <w:r>
        <w:t xml:space="preserve">At a time when China is assuming an increasingly central role in international politics, the global economy and environmental governance, its sustainable development efforts can contribute significantly to the global debate on sustainable urbanization. The two projects analyzed exemplify how built space can play a key role in building belonging, identity, and social cohesion by strengthening the link between people and the environment. </w:t>
      </w:r>
    </w:p>
    <w:p w14:paraId="5881DC0A" w14:textId="77777777" w:rsidR="00933087" w:rsidRDefault="00000000">
      <w:pPr>
        <w:spacing w:after="177" w:line="259" w:lineRule="auto"/>
        <w:ind w:left="11" w:right="0" w:firstLine="0"/>
        <w:jc w:val="left"/>
      </w:pPr>
      <w:r>
        <w:rPr>
          <w:b/>
        </w:rPr>
        <w:t xml:space="preserve"> </w:t>
      </w:r>
    </w:p>
    <w:p w14:paraId="08E34C5E" w14:textId="77777777" w:rsidR="00933087" w:rsidRDefault="00000000">
      <w:pPr>
        <w:pStyle w:val="Heading1"/>
        <w:spacing w:after="175"/>
        <w:ind w:left="6"/>
      </w:pPr>
      <w:r>
        <w:lastRenderedPageBreak/>
        <w:t xml:space="preserve">References </w:t>
      </w:r>
    </w:p>
    <w:p w14:paraId="12F578BC" w14:textId="77777777" w:rsidR="00933087" w:rsidRDefault="00000000">
      <w:pPr>
        <w:spacing w:after="189"/>
        <w:ind w:left="6" w:right="44"/>
      </w:pPr>
      <w:r>
        <w:t xml:space="preserve">Benton, Lisa, and John Rennie Short. </w:t>
      </w:r>
      <w:r>
        <w:rPr>
          <w:i/>
        </w:rPr>
        <w:t>Environmental Discourses and Practice</w:t>
      </w:r>
      <w:r>
        <w:t xml:space="preserve">. Oxford: Blackwell, 1999 </w:t>
      </w:r>
    </w:p>
    <w:p w14:paraId="6E257BD1" w14:textId="77777777" w:rsidR="00933087" w:rsidRDefault="00000000">
      <w:pPr>
        <w:spacing w:after="87" w:line="335" w:lineRule="auto"/>
        <w:ind w:left="6" w:right="1534"/>
        <w:jc w:val="left"/>
      </w:pPr>
      <w:proofErr w:type="spellStart"/>
      <w:r>
        <w:t>Brombal</w:t>
      </w:r>
      <w:proofErr w:type="spellEnd"/>
      <w:r>
        <w:t>, Daniele. "</w:t>
      </w:r>
      <w:proofErr w:type="spellStart"/>
      <w:r>
        <w:t>Urbanizzazione</w:t>
      </w:r>
      <w:proofErr w:type="spellEnd"/>
      <w:r>
        <w:t xml:space="preserve"> e </w:t>
      </w:r>
      <w:proofErr w:type="spellStart"/>
      <w:r>
        <w:t>sostenibilità</w:t>
      </w:r>
      <w:proofErr w:type="spellEnd"/>
      <w:r>
        <w:t xml:space="preserve"> in Cina: Verso un </w:t>
      </w:r>
      <w:proofErr w:type="spellStart"/>
      <w:r>
        <w:t>cambiamento</w:t>
      </w:r>
      <w:proofErr w:type="spellEnd"/>
      <w:r>
        <w:t xml:space="preserve"> </w:t>
      </w:r>
      <w:proofErr w:type="spellStart"/>
      <w:r>
        <w:t>trasformativo</w:t>
      </w:r>
      <w:proofErr w:type="spellEnd"/>
      <w:r>
        <w:t xml:space="preserve">?" </w:t>
      </w:r>
      <w:proofErr w:type="spellStart"/>
      <w:r>
        <w:rPr>
          <w:i/>
        </w:rPr>
        <w:t>Annali</w:t>
      </w:r>
      <w:proofErr w:type="spellEnd"/>
      <w:r>
        <w:rPr>
          <w:i/>
        </w:rPr>
        <w:t xml:space="preserve"> di Ca’ Foscari. Serie orientale</w:t>
      </w:r>
      <w:r>
        <w:t xml:space="preserve"> 53 (2017): 305–335 Chen, W., and Cipriani, G. </w:t>
      </w:r>
      <w:r>
        <w:rPr>
          <w:i/>
        </w:rPr>
        <w:t>Chinese Environmental Aesthetics</w:t>
      </w:r>
      <w:r>
        <w:t xml:space="preserve">. 2015 </w:t>
      </w:r>
    </w:p>
    <w:p w14:paraId="2F0BF19F" w14:textId="77777777" w:rsidR="00933087" w:rsidRDefault="00000000">
      <w:pPr>
        <w:spacing w:after="11"/>
        <w:ind w:left="6" w:right="44"/>
      </w:pPr>
      <w:r>
        <w:t xml:space="preserve">de Vries, Bert J. M., and Arthur C. Petersen. "Conceptualizing Sustainable Development: An </w:t>
      </w:r>
    </w:p>
    <w:p w14:paraId="78411B6D" w14:textId="77777777" w:rsidR="00933087" w:rsidRDefault="00000000">
      <w:pPr>
        <w:spacing w:after="192"/>
        <w:ind w:left="6" w:right="44"/>
      </w:pPr>
      <w:r>
        <w:t xml:space="preserve">Assessment Methodology Connecting Values, Knowledge, Worldviews, and Scenarios." </w:t>
      </w:r>
      <w:r>
        <w:rPr>
          <w:i/>
        </w:rPr>
        <w:t>Ecological Economics</w:t>
      </w:r>
      <w:r>
        <w:t xml:space="preserve"> 68, no. 4 (2009): 1006–1019 </w:t>
      </w:r>
    </w:p>
    <w:p w14:paraId="74C62D6A" w14:textId="77777777" w:rsidR="00933087" w:rsidRDefault="00000000">
      <w:pPr>
        <w:spacing w:after="217"/>
        <w:ind w:left="6" w:right="44"/>
      </w:pPr>
      <w:proofErr w:type="spellStart"/>
      <w:r>
        <w:t>Daugelaite</w:t>
      </w:r>
      <w:proofErr w:type="spellEnd"/>
      <w:r>
        <w:t xml:space="preserve">, Aurelija, and </w:t>
      </w:r>
      <w:proofErr w:type="spellStart"/>
      <w:r>
        <w:t>Grazuleviciute-Vileniske</w:t>
      </w:r>
      <w:proofErr w:type="spellEnd"/>
      <w:r>
        <w:t xml:space="preserve">, Indre. "Aesthetics of Sustainability and Architecture: An Overview." </w:t>
      </w:r>
      <w:r>
        <w:rPr>
          <w:i/>
        </w:rPr>
        <w:t>Architecture and Urban Planning</w:t>
      </w:r>
      <w:r>
        <w:t xml:space="preserve"> 16 (2020): 48–55 </w:t>
      </w:r>
    </w:p>
    <w:p w14:paraId="71C92F45" w14:textId="77777777" w:rsidR="00933087" w:rsidRDefault="00000000">
      <w:pPr>
        <w:spacing w:after="11"/>
        <w:ind w:left="6" w:right="44"/>
      </w:pPr>
      <w:r>
        <w:t xml:space="preserve">Frampton, Kenneth. "Verso </w:t>
      </w:r>
      <w:proofErr w:type="spellStart"/>
      <w:r>
        <w:t>un’architettura</w:t>
      </w:r>
      <w:proofErr w:type="spellEnd"/>
      <w:r>
        <w:t xml:space="preserve"> </w:t>
      </w:r>
      <w:proofErr w:type="spellStart"/>
      <w:r>
        <w:t>agonistica</w:t>
      </w:r>
      <w:proofErr w:type="spellEnd"/>
      <w:r>
        <w:t xml:space="preserve">." </w:t>
      </w:r>
      <w:proofErr w:type="spellStart"/>
      <w:r>
        <w:rPr>
          <w:i/>
        </w:rPr>
        <w:t>Domusweb</w:t>
      </w:r>
      <w:proofErr w:type="spellEnd"/>
      <w:r>
        <w:t xml:space="preserve">. Last modified October 3, </w:t>
      </w:r>
    </w:p>
    <w:p w14:paraId="4E275C55" w14:textId="77777777" w:rsidR="00933087" w:rsidRDefault="00000000">
      <w:pPr>
        <w:spacing w:after="175" w:line="259" w:lineRule="auto"/>
        <w:ind w:left="11" w:right="0" w:firstLine="0"/>
        <w:jc w:val="left"/>
      </w:pPr>
      <w:r>
        <w:t xml:space="preserve">2013. </w:t>
      </w:r>
      <w:hyperlink r:id="rId7">
        <w:r w:rsidR="00933087">
          <w:rPr>
            <w:color w:val="0000FF"/>
            <w:u w:val="single" w:color="0000FF"/>
          </w:rPr>
          <w:t>https://www.domusweb.it/it/opinion/2013/10/03/verso_un_architettura_agonistica_0.html</w:t>
        </w:r>
      </w:hyperlink>
      <w:hyperlink r:id="rId8">
        <w:r w:rsidR="00933087">
          <w:t xml:space="preserve"> </w:t>
        </w:r>
      </w:hyperlink>
    </w:p>
    <w:p w14:paraId="570E02DE" w14:textId="77777777" w:rsidR="00933087" w:rsidRDefault="00000000">
      <w:pPr>
        <w:spacing w:after="191"/>
        <w:ind w:left="6" w:right="44"/>
      </w:pPr>
      <w:r>
        <w:t xml:space="preserve">Guy, Simon, and Graham Farmer. "Reinterpreting Sustainable Architecture: The Place of Technology." </w:t>
      </w:r>
      <w:r>
        <w:rPr>
          <w:i/>
        </w:rPr>
        <w:t>Journal of Architectural Education</w:t>
      </w:r>
      <w:r>
        <w:t xml:space="preserve"> 54 (2001): 140–148 </w:t>
      </w:r>
    </w:p>
    <w:p w14:paraId="4F90DE42" w14:textId="77777777" w:rsidR="00933087" w:rsidRDefault="00000000">
      <w:pPr>
        <w:spacing w:after="1" w:line="239" w:lineRule="auto"/>
        <w:ind w:left="6" w:right="0"/>
        <w:jc w:val="left"/>
      </w:pPr>
      <w:r>
        <w:t xml:space="preserve">Hammond, K. "Wang </w:t>
      </w:r>
      <w:proofErr w:type="spellStart"/>
      <w:r>
        <w:t>Shizhen’s</w:t>
      </w:r>
      <w:proofErr w:type="spellEnd"/>
      <w:r>
        <w:t xml:space="preserve"> Yan Shan Garden Essays: Narrating a Literati Landscape." </w:t>
      </w:r>
      <w:r>
        <w:rPr>
          <w:i/>
        </w:rPr>
        <w:t>Studies in the History of Gardens &amp; Designed Landscapes</w:t>
      </w:r>
      <w:r>
        <w:t xml:space="preserve"> 19, no. 3–4 (1999): 276–287 Hedlund-de Witt, A. "The Rising Culture and Worldview of Contemporary Spirituality: A </w:t>
      </w:r>
    </w:p>
    <w:p w14:paraId="03AB5B21" w14:textId="77777777" w:rsidR="00933087" w:rsidRDefault="00000000">
      <w:pPr>
        <w:spacing w:after="191"/>
        <w:ind w:left="6" w:right="44"/>
      </w:pPr>
      <w:r>
        <w:t xml:space="preserve">Sociological Study of Potentials and Pitfalls for Sustainable Development." </w:t>
      </w:r>
      <w:r>
        <w:rPr>
          <w:i/>
        </w:rPr>
        <w:t>Ecological Economics</w:t>
      </w:r>
      <w:r>
        <w:t xml:space="preserve"> 70, no. 6 (2011): 1057–1065 </w:t>
      </w:r>
    </w:p>
    <w:p w14:paraId="5FD3A999" w14:textId="77777777" w:rsidR="00933087" w:rsidRDefault="00000000">
      <w:pPr>
        <w:spacing w:after="219" w:line="239" w:lineRule="auto"/>
        <w:ind w:left="6" w:right="0"/>
        <w:jc w:val="left"/>
      </w:pPr>
      <w:r>
        <w:t xml:space="preserve">Huang, Ping, and Linda Westman. "China's Imaginary of Ecological Civilization: A Resonance Between the State-Led Discourse and Sociocultural Dynamics." </w:t>
      </w:r>
      <w:r>
        <w:rPr>
          <w:i/>
        </w:rPr>
        <w:t>Energy Research &amp; Social Science</w:t>
      </w:r>
      <w:r>
        <w:t xml:space="preserve"> 81 (2021) </w:t>
      </w:r>
    </w:p>
    <w:p w14:paraId="561E3DA7" w14:textId="77777777" w:rsidR="00933087" w:rsidRDefault="00000000">
      <w:pPr>
        <w:spacing w:after="198"/>
        <w:ind w:left="6" w:right="44"/>
      </w:pPr>
      <w:r>
        <w:t xml:space="preserve">Hu, Jie, Wu </w:t>
      </w:r>
      <w:proofErr w:type="spellStart"/>
      <w:r>
        <w:t>Yixia</w:t>
      </w:r>
      <w:proofErr w:type="spellEnd"/>
      <w:r>
        <w:t>, and Zhang Yan. "</w:t>
      </w:r>
      <w:proofErr w:type="spellStart"/>
      <w:r>
        <w:rPr>
          <w:rFonts w:ascii="SimSun" w:eastAsia="SimSun" w:hAnsi="SimSun" w:cs="SimSun"/>
        </w:rPr>
        <w:t>北京奥林匹克森林公园种植规划设计</w:t>
      </w:r>
      <w:proofErr w:type="spellEnd"/>
      <w:r>
        <w:t xml:space="preserve">." </w:t>
      </w:r>
      <w:proofErr w:type="spellStart"/>
      <w:r>
        <w:rPr>
          <w:rFonts w:ascii="SimSun" w:eastAsia="SimSun" w:hAnsi="SimSun" w:cs="SimSun"/>
          <w:sz w:val="25"/>
        </w:rPr>
        <w:t>中国园林</w:t>
      </w:r>
      <w:proofErr w:type="spellEnd"/>
      <w:r>
        <w:t xml:space="preserve"> 06 (2006): 25–31 </w:t>
      </w:r>
    </w:p>
    <w:p w14:paraId="61301F29" w14:textId="77777777" w:rsidR="00933087" w:rsidRDefault="00000000">
      <w:pPr>
        <w:spacing w:after="10" w:line="249" w:lineRule="auto"/>
        <w:ind w:left="6" w:right="0"/>
        <w:jc w:val="left"/>
      </w:pPr>
      <w:r>
        <w:t xml:space="preserve">Li, Cheng, ed. </w:t>
      </w:r>
      <w:r>
        <w:rPr>
          <w:i/>
        </w:rPr>
        <w:t>China’s Emerging Middle Class: Beyond Economic Transformation</w:t>
      </w:r>
      <w:r>
        <w:t xml:space="preserve">. Brookings </w:t>
      </w:r>
    </w:p>
    <w:p w14:paraId="0E284C87" w14:textId="77777777" w:rsidR="00933087" w:rsidRDefault="00000000">
      <w:pPr>
        <w:spacing w:after="209"/>
        <w:ind w:left="6" w:right="44"/>
      </w:pPr>
      <w:r>
        <w:t xml:space="preserve">Institution Press, 2010 </w:t>
      </w:r>
    </w:p>
    <w:p w14:paraId="3B0C8859" w14:textId="77777777" w:rsidR="00933087" w:rsidRDefault="00000000">
      <w:pPr>
        <w:spacing w:after="200"/>
        <w:ind w:left="6" w:right="44"/>
      </w:pPr>
      <w:r>
        <w:t xml:space="preserve">Liang, </w:t>
      </w:r>
      <w:proofErr w:type="spellStart"/>
      <w:r>
        <w:t>Sijia</w:t>
      </w:r>
      <w:proofErr w:type="spellEnd"/>
      <w:r>
        <w:t xml:space="preserve">, Zheng </w:t>
      </w:r>
      <w:proofErr w:type="spellStart"/>
      <w:r>
        <w:t>Jinghong</w:t>
      </w:r>
      <w:proofErr w:type="spellEnd"/>
      <w:r>
        <w:t xml:space="preserve">, and Zhao </w:t>
      </w:r>
      <w:proofErr w:type="spellStart"/>
      <w:r>
        <w:t>Zhichong</w:t>
      </w:r>
      <w:proofErr w:type="spellEnd"/>
      <w:r>
        <w:t>. "</w:t>
      </w:r>
      <w:proofErr w:type="spellStart"/>
      <w:r>
        <w:rPr>
          <w:rFonts w:ascii="SimSun" w:eastAsia="SimSun" w:hAnsi="SimSun" w:cs="SimSun"/>
        </w:rPr>
        <w:t>基于情感认知特征的北京奥林匹克森林公园绿色城市景观社会绩效研究</w:t>
      </w:r>
      <w:proofErr w:type="spellEnd"/>
      <w:r>
        <w:t xml:space="preserve">." </w:t>
      </w:r>
      <w:proofErr w:type="spellStart"/>
      <w:r>
        <w:rPr>
          <w:rFonts w:ascii="SimSun" w:eastAsia="SimSun" w:hAnsi="SimSun" w:cs="SimSun"/>
          <w:sz w:val="25"/>
        </w:rPr>
        <w:t>园林</w:t>
      </w:r>
      <w:proofErr w:type="spellEnd"/>
      <w:r>
        <w:t xml:space="preserve"> 40, no. 11 (2023): 54–61 </w:t>
      </w:r>
    </w:p>
    <w:p w14:paraId="6AD785BD" w14:textId="77777777" w:rsidR="00933087" w:rsidRDefault="00000000">
      <w:pPr>
        <w:spacing w:after="189"/>
        <w:ind w:left="6" w:right="44"/>
      </w:pPr>
      <w:proofErr w:type="spellStart"/>
      <w:r>
        <w:t>Nikezic</w:t>
      </w:r>
      <w:proofErr w:type="spellEnd"/>
      <w:r>
        <w:t xml:space="preserve">, Ana, </w:t>
      </w:r>
      <w:proofErr w:type="spellStart"/>
      <w:r>
        <w:t>Ristic</w:t>
      </w:r>
      <w:proofErr w:type="spellEnd"/>
      <w:r>
        <w:t xml:space="preserve"> </w:t>
      </w:r>
      <w:proofErr w:type="spellStart"/>
      <w:r>
        <w:t>Trajkovic</w:t>
      </w:r>
      <w:proofErr w:type="spellEnd"/>
      <w:r>
        <w:t xml:space="preserve">, Jelena, and </w:t>
      </w:r>
      <w:proofErr w:type="spellStart"/>
      <w:r>
        <w:t>Milovanović</w:t>
      </w:r>
      <w:proofErr w:type="spellEnd"/>
      <w:r>
        <w:t xml:space="preserve">, Aleksandra. "Future Housing Identities: Designing in Line with the Contemporary Sustainable Urban Lifestyle." </w:t>
      </w:r>
      <w:r>
        <w:rPr>
          <w:i/>
        </w:rPr>
        <w:t>Buildings</w:t>
      </w:r>
      <w:r>
        <w:t xml:space="preserve"> 11 (2021): 18 </w:t>
      </w:r>
    </w:p>
    <w:p w14:paraId="69328178" w14:textId="77777777" w:rsidR="00933087" w:rsidRDefault="00000000">
      <w:pPr>
        <w:spacing w:after="200" w:line="249" w:lineRule="auto"/>
        <w:ind w:left="6" w:right="0"/>
        <w:jc w:val="left"/>
      </w:pPr>
      <w:r>
        <w:t xml:space="preserve">Rinaldi, B.M. </w:t>
      </w:r>
      <w:r>
        <w:rPr>
          <w:i/>
        </w:rPr>
        <w:t>The Chinese Garden: Garden Types for Contemporary Landscape Architecture</w:t>
      </w:r>
      <w:r>
        <w:t xml:space="preserve">. Walter de Gruyter, 2012 </w:t>
      </w:r>
    </w:p>
    <w:p w14:paraId="519DC251" w14:textId="77777777" w:rsidR="00933087" w:rsidRDefault="00000000">
      <w:pPr>
        <w:spacing w:after="211"/>
        <w:ind w:left="6" w:right="44"/>
      </w:pPr>
      <w:proofErr w:type="spellStart"/>
      <w:r>
        <w:t>Røstvik</w:t>
      </w:r>
      <w:proofErr w:type="spellEnd"/>
      <w:r>
        <w:t xml:space="preserve">, Harald. "Sustainable Architecture–What’s Next?" </w:t>
      </w:r>
      <w:r>
        <w:rPr>
          <w:i/>
        </w:rPr>
        <w:t>Encyclopedia</w:t>
      </w:r>
      <w:r>
        <w:t xml:space="preserve"> 1 (2021): 293–313 </w:t>
      </w:r>
    </w:p>
    <w:p w14:paraId="2C348295" w14:textId="77777777" w:rsidR="00933087" w:rsidRDefault="00000000">
      <w:pPr>
        <w:spacing w:after="11"/>
        <w:ind w:left="6" w:right="44"/>
      </w:pPr>
      <w:r>
        <w:lastRenderedPageBreak/>
        <w:t xml:space="preserve">Sun, Nan, Luo Yi, and Li </w:t>
      </w:r>
      <w:proofErr w:type="spellStart"/>
      <w:r>
        <w:t>Minghan</w:t>
      </w:r>
      <w:proofErr w:type="spellEnd"/>
      <w:r>
        <w:t>. "</w:t>
      </w:r>
      <w:r>
        <w:rPr>
          <w:rFonts w:ascii="SimSun" w:eastAsia="SimSun" w:hAnsi="SimSun" w:cs="SimSun"/>
        </w:rPr>
        <w:t xml:space="preserve">在 </w:t>
      </w:r>
      <w:r>
        <w:t xml:space="preserve">LAF </w:t>
      </w:r>
      <w:proofErr w:type="spellStart"/>
      <w:proofErr w:type="gramStart"/>
      <w:r>
        <w:rPr>
          <w:rFonts w:ascii="SimSun" w:eastAsia="SimSun" w:hAnsi="SimSun" w:cs="SimSun"/>
        </w:rPr>
        <w:t>的</w:t>
      </w:r>
      <w:r>
        <w:t>“</w:t>
      </w:r>
      <w:proofErr w:type="gramEnd"/>
      <w:r>
        <w:rPr>
          <w:rFonts w:ascii="SimSun" w:eastAsia="SimSun" w:hAnsi="SimSun" w:cs="SimSun"/>
        </w:rPr>
        <w:t>景观绩效系列</w:t>
      </w:r>
      <w:proofErr w:type="spellEnd"/>
      <w:r>
        <w:t>(LPS)”</w:t>
      </w:r>
      <w:proofErr w:type="spellStart"/>
      <w:r>
        <w:rPr>
          <w:rFonts w:ascii="SimSun" w:eastAsia="SimSun" w:hAnsi="SimSun" w:cs="SimSun"/>
        </w:rPr>
        <w:t>计划指导下进行建成项</w:t>
      </w:r>
      <w:proofErr w:type="spellEnd"/>
    </w:p>
    <w:p w14:paraId="758249D8" w14:textId="77777777" w:rsidR="00933087" w:rsidRDefault="00000000">
      <w:pPr>
        <w:spacing w:after="0" w:line="259" w:lineRule="auto"/>
        <w:ind w:left="6" w:right="0"/>
        <w:jc w:val="left"/>
      </w:pPr>
      <w:proofErr w:type="spellStart"/>
      <w:r>
        <w:rPr>
          <w:rFonts w:ascii="SimSun" w:eastAsia="SimSun" w:hAnsi="SimSun" w:cs="SimSun"/>
        </w:rPr>
        <w:t>目景观绩效的量化</w:t>
      </w:r>
      <w:proofErr w:type="spellEnd"/>
      <w:r>
        <w:t>——</w:t>
      </w:r>
      <w:proofErr w:type="spellStart"/>
      <w:r>
        <w:rPr>
          <w:rFonts w:ascii="SimSun" w:eastAsia="SimSun" w:hAnsi="SimSun" w:cs="SimSun"/>
        </w:rPr>
        <w:t>以北京奥林匹克森林公园和唐山南湖生态城中央公园为例</w:t>
      </w:r>
      <w:proofErr w:type="spellEnd"/>
      <w:r>
        <w:t xml:space="preserve">." In </w:t>
      </w:r>
      <w:proofErr w:type="spellStart"/>
      <w:r>
        <w:rPr>
          <w:rFonts w:ascii="SimSun" w:eastAsia="SimSun" w:hAnsi="SimSun" w:cs="SimSun"/>
          <w:sz w:val="25"/>
        </w:rPr>
        <w:t>中国</w:t>
      </w:r>
      <w:proofErr w:type="spellEnd"/>
    </w:p>
    <w:p w14:paraId="2257DAC2" w14:textId="77777777" w:rsidR="00933087" w:rsidRDefault="00000000">
      <w:pPr>
        <w:spacing w:after="182"/>
        <w:ind w:left="6" w:right="44"/>
      </w:pPr>
      <w:r>
        <w:rPr>
          <w:rFonts w:ascii="SimSun" w:eastAsia="SimSun" w:hAnsi="SimSun" w:cs="SimSun"/>
          <w:sz w:val="25"/>
        </w:rPr>
        <w:t>风景园林学会</w:t>
      </w:r>
      <w:r>
        <w:rPr>
          <w:i/>
        </w:rPr>
        <w:t>2013</w:t>
      </w:r>
      <w:proofErr w:type="spellStart"/>
      <w:r>
        <w:rPr>
          <w:rFonts w:ascii="SimSun" w:eastAsia="SimSun" w:hAnsi="SimSun" w:cs="SimSun"/>
          <w:sz w:val="25"/>
        </w:rPr>
        <w:t>年会论文集（上册</w:t>
      </w:r>
      <w:proofErr w:type="spellEnd"/>
      <w:r>
        <w:rPr>
          <w:rFonts w:ascii="SimSun" w:eastAsia="SimSun" w:hAnsi="SimSun" w:cs="SimSun"/>
          <w:sz w:val="25"/>
        </w:rPr>
        <w:t>）</w:t>
      </w:r>
      <w:r>
        <w:t xml:space="preserve">, edited by </w:t>
      </w:r>
      <w:proofErr w:type="spellStart"/>
      <w:r>
        <w:rPr>
          <w:rFonts w:ascii="SimSun" w:eastAsia="SimSun" w:hAnsi="SimSun" w:cs="SimSun"/>
        </w:rPr>
        <w:t>中国风景园林学会</w:t>
      </w:r>
      <w:proofErr w:type="spellEnd"/>
      <w:r>
        <w:t xml:space="preserve">, 610–615. Beijing: </w:t>
      </w:r>
      <w:proofErr w:type="spellStart"/>
      <w:r>
        <w:rPr>
          <w:rFonts w:ascii="SimSun" w:eastAsia="SimSun" w:hAnsi="SimSun" w:cs="SimSun"/>
        </w:rPr>
        <w:t>中国建筑工业出版社</w:t>
      </w:r>
      <w:proofErr w:type="spellEnd"/>
      <w:r>
        <w:t xml:space="preserve">, 2013 </w:t>
      </w:r>
    </w:p>
    <w:p w14:paraId="1F6FFE8C" w14:textId="77777777" w:rsidR="00933087" w:rsidRDefault="00000000">
      <w:pPr>
        <w:spacing w:after="11"/>
        <w:ind w:left="6" w:right="44"/>
      </w:pPr>
      <w:r>
        <w:t xml:space="preserve">Wang, </w:t>
      </w:r>
      <w:proofErr w:type="spellStart"/>
      <w:r>
        <w:t>Tongxin</w:t>
      </w:r>
      <w:proofErr w:type="spellEnd"/>
      <w:r>
        <w:t xml:space="preserve">. "History of Chinese Classical Gardens—Taking the Mature Gardens of the Song </w:t>
      </w:r>
    </w:p>
    <w:p w14:paraId="268511EF" w14:textId="77777777" w:rsidR="00933087" w:rsidRDefault="00000000">
      <w:pPr>
        <w:spacing w:after="213" w:line="249" w:lineRule="auto"/>
        <w:ind w:left="6" w:right="0"/>
        <w:jc w:val="left"/>
      </w:pPr>
      <w:r>
        <w:t xml:space="preserve">Dynasty as an Example." </w:t>
      </w:r>
      <w:r>
        <w:rPr>
          <w:i/>
        </w:rPr>
        <w:t>International Journal of Education and Humanities</w:t>
      </w:r>
      <w:r>
        <w:t xml:space="preserve"> 4, no. 3 (2022): 235 </w:t>
      </w:r>
    </w:p>
    <w:p w14:paraId="5A0DC5D4" w14:textId="77777777" w:rsidR="00933087" w:rsidRDefault="00000000">
      <w:pPr>
        <w:spacing w:after="0" w:line="259" w:lineRule="auto"/>
        <w:ind w:left="6" w:right="0"/>
        <w:jc w:val="left"/>
      </w:pPr>
      <w:r>
        <w:t>Zhang, Ting, et al. "</w:t>
      </w:r>
      <w:proofErr w:type="spellStart"/>
      <w:r>
        <w:rPr>
          <w:rFonts w:ascii="SimSun" w:eastAsia="SimSun" w:hAnsi="SimSun" w:cs="SimSun"/>
        </w:rPr>
        <w:t>感知价值、地方依恋对游客环境责任行为的影响</w:t>
      </w:r>
      <w:proofErr w:type="spellEnd"/>
      <w:r>
        <w:t>——</w:t>
      </w:r>
      <w:proofErr w:type="spellStart"/>
      <w:r>
        <w:rPr>
          <w:rFonts w:ascii="SimSun" w:eastAsia="SimSun" w:hAnsi="SimSun" w:cs="SimSun"/>
        </w:rPr>
        <w:t>以北京奥林匹克森</w:t>
      </w:r>
      <w:proofErr w:type="spellEnd"/>
    </w:p>
    <w:p w14:paraId="5D6B4535" w14:textId="77777777" w:rsidR="00933087" w:rsidRDefault="00000000">
      <w:pPr>
        <w:spacing w:after="158"/>
        <w:ind w:left="6" w:right="44"/>
      </w:pPr>
      <w:proofErr w:type="spellStart"/>
      <w:r>
        <w:rPr>
          <w:rFonts w:ascii="SimSun" w:eastAsia="SimSun" w:hAnsi="SimSun" w:cs="SimSun"/>
        </w:rPr>
        <w:t>林公园为例</w:t>
      </w:r>
      <w:proofErr w:type="spellEnd"/>
      <w:r>
        <w:t xml:space="preserve">." </w:t>
      </w:r>
      <w:proofErr w:type="spellStart"/>
      <w:r>
        <w:rPr>
          <w:rFonts w:ascii="SimSun" w:eastAsia="SimSun" w:hAnsi="SimSun" w:cs="SimSun"/>
          <w:sz w:val="25"/>
        </w:rPr>
        <w:t>干旱区资源与环境</w:t>
      </w:r>
      <w:proofErr w:type="spellEnd"/>
      <w:r>
        <w:t xml:space="preserve"> 34, no. 06 (2020): 202–208 </w:t>
      </w:r>
    </w:p>
    <w:p w14:paraId="774AF15F" w14:textId="77777777" w:rsidR="00933087" w:rsidRDefault="00000000">
      <w:pPr>
        <w:spacing w:after="189"/>
        <w:ind w:left="6" w:right="44"/>
      </w:pPr>
      <w:r>
        <w:t xml:space="preserve">Xiao, Chi. "The Chinese Garden as Lyric Enclave: A Generic Study of The Story of the Stone." </w:t>
      </w:r>
      <w:r>
        <w:rPr>
          <w:i/>
        </w:rPr>
        <w:t>Michigan Monographs in Chinese Studies</w:t>
      </w:r>
      <w:r>
        <w:t xml:space="preserve">, January 2001 </w:t>
      </w:r>
    </w:p>
    <w:p w14:paraId="111AB1AA" w14:textId="77777777" w:rsidR="00933087" w:rsidRDefault="00000000">
      <w:pPr>
        <w:spacing w:after="192"/>
        <w:ind w:left="6" w:right="44"/>
      </w:pPr>
      <w:r>
        <w:t xml:space="preserve">Xing, C., and Zhang, J. "The Preference for Larger Cities in China: Evidence from Rural-Urban Migrants." </w:t>
      </w:r>
      <w:r>
        <w:rPr>
          <w:i/>
        </w:rPr>
        <w:t>China Economic Review</w:t>
      </w:r>
      <w:r>
        <w:t xml:space="preserve"> 43 (2017): 72–90 </w:t>
      </w:r>
    </w:p>
    <w:p w14:paraId="481E8CAA" w14:textId="77777777" w:rsidR="00933087" w:rsidRDefault="00000000">
      <w:pPr>
        <w:spacing w:after="0" w:line="259" w:lineRule="auto"/>
        <w:ind w:left="11" w:right="0" w:firstLine="0"/>
        <w:jc w:val="left"/>
      </w:pPr>
      <w:r>
        <w:t xml:space="preserve"> </w:t>
      </w:r>
    </w:p>
    <w:sectPr w:rsidR="00933087">
      <w:headerReference w:type="even" r:id="rId9"/>
      <w:headerReference w:type="default" r:id="rId10"/>
      <w:headerReference w:type="first" r:id="rId11"/>
      <w:pgSz w:w="12242" w:h="15842"/>
      <w:pgMar w:top="1426" w:right="1364" w:bottom="1416" w:left="1405"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0CA9D8" w14:textId="77777777" w:rsidR="00055734" w:rsidRDefault="00055734">
      <w:pPr>
        <w:spacing w:after="0" w:line="240" w:lineRule="auto"/>
      </w:pPr>
      <w:r>
        <w:separator/>
      </w:r>
    </w:p>
  </w:endnote>
  <w:endnote w:type="continuationSeparator" w:id="0">
    <w:p w14:paraId="7837A714" w14:textId="77777777" w:rsidR="00055734" w:rsidRDefault="000557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927846" w14:textId="77777777" w:rsidR="00055734" w:rsidRDefault="00055734">
      <w:pPr>
        <w:spacing w:after="0" w:line="266" w:lineRule="auto"/>
        <w:ind w:left="349" w:right="0" w:hanging="338"/>
        <w:jc w:val="left"/>
      </w:pPr>
      <w:r>
        <w:separator/>
      </w:r>
    </w:p>
  </w:footnote>
  <w:footnote w:type="continuationSeparator" w:id="0">
    <w:p w14:paraId="7DDAA9D5" w14:textId="77777777" w:rsidR="00055734" w:rsidRDefault="00055734">
      <w:pPr>
        <w:spacing w:after="0" w:line="266" w:lineRule="auto"/>
        <w:ind w:left="349" w:right="0" w:hanging="338"/>
        <w:jc w:val="left"/>
      </w:pPr>
      <w:r>
        <w:continuationSeparator/>
      </w:r>
    </w:p>
  </w:footnote>
  <w:footnote w:id="1">
    <w:p w14:paraId="3365B4C1" w14:textId="77777777" w:rsidR="00933087" w:rsidRDefault="00000000">
      <w:pPr>
        <w:pStyle w:val="footnotedescription"/>
        <w:spacing w:line="266" w:lineRule="auto"/>
      </w:pPr>
      <w:r>
        <w:rPr>
          <w:rStyle w:val="footnotemark"/>
        </w:rPr>
        <w:footnoteRef/>
      </w:r>
      <w:r>
        <w:t xml:space="preserve"> </w:t>
      </w:r>
      <w:r>
        <w:rPr>
          <w:i w:val="0"/>
        </w:rPr>
        <w:t xml:space="preserve">In 1995, about 80 million Chinese rural-urban migrants moved to cities, but retained their rural hukou, which limited their access to urban services. By 2008, this number had risen to 140 million, highlighting the growing migration to cities in search of better economic opportunities. </w:t>
      </w:r>
    </w:p>
  </w:footnote>
  <w:footnote w:id="2">
    <w:p w14:paraId="5FD4108D" w14:textId="77777777" w:rsidR="00933087" w:rsidRDefault="00000000">
      <w:pPr>
        <w:pStyle w:val="footnotedescription"/>
        <w:spacing w:line="269" w:lineRule="auto"/>
      </w:pPr>
      <w:r>
        <w:rPr>
          <w:rStyle w:val="footnotemark"/>
        </w:rPr>
        <w:footnoteRef/>
      </w:r>
      <w:r>
        <w:t xml:space="preserve"> </w:t>
      </w:r>
      <w:r>
        <w:rPr>
          <w:i w:val="0"/>
        </w:rPr>
        <w:t>For example, Ji Cheng's Yuan Ye Manual (1635) describes the design process as the designer's intimate moment with the environment:</w:t>
      </w:r>
      <w:r>
        <w:t xml:space="preserve"> </w:t>
      </w:r>
      <w:proofErr w:type="spellStart"/>
      <w:r>
        <w:rPr>
          <w:rFonts w:ascii="SimSun" w:eastAsia="SimSun" w:hAnsi="SimSun" w:cs="SimSun"/>
          <w:i w:val="0"/>
          <w:sz w:val="21"/>
        </w:rPr>
        <w:t>然物情所逗，目寄心期，</w:t>
      </w:r>
      <w:r>
        <w:t>Then</w:t>
      </w:r>
      <w:proofErr w:type="spellEnd"/>
      <w:r>
        <w:t xml:space="preserve"> the things of nature elicit sentiments: depending on the eye, as well as what touches the heart. </w:t>
      </w:r>
      <w:proofErr w:type="spellStart"/>
      <w:r>
        <w:rPr>
          <w:rFonts w:ascii="SimSun" w:eastAsia="SimSun" w:hAnsi="SimSun" w:cs="SimSun"/>
          <w:i w:val="0"/>
          <w:sz w:val="21"/>
        </w:rPr>
        <w:t>似意在筆先，庻幾描寫之盡哉。</w:t>
      </w:r>
      <w:r>
        <w:t>Intentions</w:t>
      </w:r>
      <w:proofErr w:type="spellEnd"/>
      <w:r>
        <w:t xml:space="preserve"> are now at the tip of the brush, to make representation instantaneous and exhaustively complete.</w:t>
      </w:r>
      <w:r>
        <w:rPr>
          <w:i w:val="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9D7B0" w14:textId="77777777" w:rsidR="00933087" w:rsidRDefault="00933087">
    <w:pPr>
      <w:spacing w:after="160" w:line="259" w:lineRule="auto"/>
      <w:ind w:left="0" w:righ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24DD3F" w14:textId="77777777" w:rsidR="00933087" w:rsidRDefault="00000000">
    <w:pPr>
      <w:spacing w:after="27" w:line="259" w:lineRule="auto"/>
      <w:ind w:left="11" w:right="0" w:firstLine="0"/>
      <w:jc w:val="left"/>
    </w:pPr>
    <w:r>
      <w:rPr>
        <w:b/>
      </w:rPr>
      <w:t xml:space="preserve">8th Fábos Conference on Landscape and Greenway Planning </w:t>
    </w:r>
  </w:p>
  <w:p w14:paraId="1648B42C" w14:textId="77777777" w:rsidR="00933087" w:rsidRDefault="00000000">
    <w:pPr>
      <w:spacing w:after="0" w:line="259" w:lineRule="auto"/>
      <w:ind w:left="11" w:right="0" w:firstLine="0"/>
      <w:jc w:val="left"/>
    </w:pPr>
    <w:r>
      <w:rPr>
        <w:b/>
      </w:rPr>
      <w:t xml:space="preserve">________________________________________________________________________ </w:t>
    </w:r>
  </w:p>
  <w:p w14:paraId="7E34C03E" w14:textId="77777777" w:rsidR="00933087" w:rsidRDefault="00000000">
    <w:pPr>
      <w:spacing w:after="0" w:line="259" w:lineRule="auto"/>
      <w:ind w:left="11" w:right="0" w:firstLine="0"/>
      <w:jc w:val="left"/>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31609" w14:textId="77777777" w:rsidR="00933087" w:rsidRDefault="00000000">
    <w:pPr>
      <w:spacing w:after="27" w:line="259" w:lineRule="auto"/>
      <w:ind w:left="11" w:right="0" w:firstLine="0"/>
      <w:jc w:val="left"/>
    </w:pPr>
    <w:r>
      <w:rPr>
        <w:b/>
      </w:rPr>
      <w:t xml:space="preserve">8th Fábos Conference on Landscape and Greenway Planning </w:t>
    </w:r>
  </w:p>
  <w:p w14:paraId="7F510652" w14:textId="77777777" w:rsidR="00933087" w:rsidRDefault="00000000">
    <w:pPr>
      <w:spacing w:after="0" w:line="259" w:lineRule="auto"/>
      <w:ind w:left="11" w:right="0" w:firstLine="0"/>
      <w:jc w:val="left"/>
    </w:pPr>
    <w:r>
      <w:rPr>
        <w:b/>
      </w:rPr>
      <w:t xml:space="preserve">________________________________________________________________________ </w:t>
    </w:r>
  </w:p>
  <w:p w14:paraId="626C7AB0" w14:textId="77777777" w:rsidR="00933087" w:rsidRDefault="00000000">
    <w:pPr>
      <w:spacing w:after="0" w:line="259" w:lineRule="auto"/>
      <w:ind w:left="11" w:right="0" w:firstLine="0"/>
      <w:jc w:val="left"/>
    </w:pP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3087"/>
    <w:rsid w:val="00055734"/>
    <w:rsid w:val="00070F28"/>
    <w:rsid w:val="002C7346"/>
    <w:rsid w:val="006C1BDF"/>
    <w:rsid w:val="00933087"/>
    <w:rsid w:val="00CF1C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C2678A1"/>
  <w15:docId w15:val="{E4CB95C3-3066-3D49-A9DE-F7468AF00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09" w:line="248" w:lineRule="auto"/>
      <w:ind w:left="21" w:right="54" w:hanging="10"/>
      <w:jc w:val="both"/>
    </w:pPr>
    <w:rPr>
      <w:rFonts w:ascii="Times New Roman" w:eastAsia="Times New Roman" w:hAnsi="Times New Roman" w:cs="Times New Roman"/>
      <w:color w:val="000000"/>
      <w:lang w:val="en" w:eastAsia="en"/>
    </w:rPr>
  </w:style>
  <w:style w:type="paragraph" w:styleId="Heading1">
    <w:name w:val="heading 1"/>
    <w:next w:val="Normal"/>
    <w:link w:val="Heading1Char"/>
    <w:uiPriority w:val="9"/>
    <w:qFormat/>
    <w:pPr>
      <w:keepNext/>
      <w:keepLines/>
      <w:spacing w:after="96" w:line="259" w:lineRule="auto"/>
      <w:ind w:left="21" w:hanging="10"/>
      <w:outlineLvl w:val="0"/>
    </w:pPr>
    <w:rPr>
      <w:rFonts w:ascii="Times New Roman" w:eastAsia="Times New Roman" w:hAnsi="Times New Roman" w:cs="Times New Roman"/>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paragraph" w:customStyle="1" w:styleId="footnotedescription">
    <w:name w:val="footnote description"/>
    <w:next w:val="Normal"/>
    <w:link w:val="footnotedescriptionChar"/>
    <w:hidden/>
    <w:pPr>
      <w:spacing w:after="0" w:line="268" w:lineRule="auto"/>
      <w:ind w:left="349" w:hanging="338"/>
    </w:pPr>
    <w:rPr>
      <w:rFonts w:ascii="Times New Roman" w:eastAsia="Times New Roman" w:hAnsi="Times New Roman" w:cs="Times New Roman"/>
      <w:i/>
      <w:color w:val="000000"/>
      <w:sz w:val="20"/>
    </w:rPr>
  </w:style>
  <w:style w:type="character" w:customStyle="1" w:styleId="footnotedescriptionChar">
    <w:name w:val="footnote description Char"/>
    <w:link w:val="footnotedescription"/>
    <w:rPr>
      <w:rFonts w:ascii="Times New Roman" w:eastAsia="Times New Roman" w:hAnsi="Times New Roman" w:cs="Times New Roman"/>
      <w:i/>
      <w:color w:val="000000"/>
      <w:sz w:val="20"/>
    </w:rPr>
  </w:style>
  <w:style w:type="character" w:customStyle="1" w:styleId="footnotemark">
    <w:name w:val="footnote mark"/>
    <w:hidden/>
    <w:rPr>
      <w:rFonts w:ascii="Times New Roman" w:eastAsia="Times New Roman" w:hAnsi="Times New Roman" w:cs="Times New Roman"/>
      <w:color w:val="000000"/>
      <w:sz w:val="20"/>
      <w:vertAlign w:val="superscript"/>
    </w:rPr>
  </w:style>
  <w:style w:type="paragraph" w:styleId="Footer">
    <w:name w:val="footer"/>
    <w:basedOn w:val="Normal"/>
    <w:link w:val="FooterChar"/>
    <w:uiPriority w:val="99"/>
    <w:unhideWhenUsed/>
    <w:rsid w:val="002C73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7346"/>
    <w:rPr>
      <w:rFonts w:ascii="Times New Roman" w:eastAsia="Times New Roman" w:hAnsi="Times New Roman" w:cs="Times New Roman"/>
      <w:color w:val="000000"/>
      <w:lang w:val="en" w:eastAsia="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domusweb.it/it/opinion/2013/10/03/verso_un_architettura_agonistica_0.html"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domusweb.it/it/opinion/2013/10/03/verso_un_architettura_agonistica_0.html"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10</Pages>
  <Words>4150</Words>
  <Characters>23657</Characters>
  <Application>Microsoft Office Word</Application>
  <DocSecurity>0</DocSecurity>
  <Lines>197</Lines>
  <Paragraphs>55</Paragraphs>
  <ScaleCrop>false</ScaleCrop>
  <Company/>
  <LinksUpToDate>false</LinksUpToDate>
  <CharactersWithSpaces>27752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Cataldo</dc:creator>
  <cp:keywords/>
  <cp:lastModifiedBy>Leah Cataldo</cp:lastModifiedBy>
  <cp:revision>3</cp:revision>
  <dcterms:created xsi:type="dcterms:W3CDTF">2025-03-30T00:07:00Z</dcterms:created>
  <dcterms:modified xsi:type="dcterms:W3CDTF">2025-04-02T00:22:00Z</dcterms:modified>
</cp:coreProperties>
</file>