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D49CB0" w14:textId="361046B1" w:rsidR="00982AB1" w:rsidRPr="00896A33" w:rsidRDefault="00982AB1" w:rsidP="00773F1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NimbusRomNo9L-Medi" w:hAnsi="Times New Roman" w:cs="Times New Roman"/>
          <w:b/>
          <w:bCs/>
          <w:sz w:val="28"/>
          <w:szCs w:val="28"/>
          <w:lang w:val="it-IT"/>
        </w:rPr>
      </w:pPr>
      <w:r w:rsidRPr="00896A33">
        <w:rPr>
          <w:rFonts w:ascii="Times New Roman" w:eastAsia="NimbusRomNo9L-Medi" w:hAnsi="Times New Roman" w:cs="Times New Roman"/>
          <w:b/>
          <w:bCs/>
          <w:sz w:val="28"/>
          <w:szCs w:val="28"/>
          <w:lang w:val="it-IT"/>
        </w:rPr>
        <w:t>Analisi</w:t>
      </w:r>
      <w:r w:rsidR="004E786C">
        <w:rPr>
          <w:rFonts w:ascii="Times New Roman" w:eastAsia="NimbusRomNo9L-Medi" w:hAnsi="Times New Roman" w:cs="Times New Roman"/>
          <w:b/>
          <w:bCs/>
          <w:sz w:val="28"/>
          <w:szCs w:val="28"/>
          <w:lang w:val="it-IT"/>
        </w:rPr>
        <w:t xml:space="preserve"> </w:t>
      </w:r>
      <w:r w:rsidR="006C213D">
        <w:rPr>
          <w:rFonts w:ascii="Times New Roman" w:eastAsia="NimbusRomNo9L-Medi" w:hAnsi="Times New Roman" w:cs="Times New Roman"/>
          <w:b/>
          <w:bCs/>
          <w:sz w:val="28"/>
          <w:szCs w:val="28"/>
          <w:lang w:val="it-IT"/>
        </w:rPr>
        <w:t>del danneggiamento a trazione</w:t>
      </w:r>
      <w:r w:rsidR="00773F1A">
        <w:rPr>
          <w:rFonts w:ascii="Times New Roman" w:eastAsia="NimbusRomNo9L-Medi" w:hAnsi="Times New Roman" w:cs="Times New Roman"/>
          <w:b/>
          <w:bCs/>
          <w:sz w:val="28"/>
          <w:szCs w:val="28"/>
          <w:lang w:val="it-IT"/>
        </w:rPr>
        <w:t xml:space="preserve"> </w:t>
      </w:r>
      <w:r w:rsidRPr="00896A33">
        <w:rPr>
          <w:rFonts w:ascii="Times New Roman" w:eastAsia="NimbusRomNo9L-Medi" w:hAnsi="Times New Roman" w:cs="Times New Roman"/>
          <w:b/>
          <w:bCs/>
          <w:sz w:val="28"/>
          <w:szCs w:val="28"/>
          <w:lang w:val="it-IT"/>
        </w:rPr>
        <w:t xml:space="preserve">di un composito a matrice metallica per </w:t>
      </w:r>
    </w:p>
    <w:p w14:paraId="57210CD5" w14:textId="0F6F679B" w:rsidR="00982AB1" w:rsidRPr="00896A33" w:rsidRDefault="00982AB1" w:rsidP="00773F1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NimbusRomNo9L-Medi" w:hAnsi="Times New Roman" w:cs="Times New Roman"/>
          <w:b/>
          <w:bCs/>
          <w:sz w:val="28"/>
          <w:szCs w:val="28"/>
          <w:lang w:val="it-IT"/>
        </w:rPr>
      </w:pPr>
      <w:r w:rsidRPr="00896A33">
        <w:rPr>
          <w:rFonts w:ascii="Times New Roman" w:eastAsia="NimbusRomNo9L-Medi" w:hAnsi="Times New Roman" w:cs="Times New Roman"/>
          <w:b/>
          <w:bCs/>
          <w:sz w:val="28"/>
          <w:szCs w:val="28"/>
          <w:lang w:val="it-IT"/>
        </w:rPr>
        <w:t xml:space="preserve">camere di spinta di motori spaziali processati tramite </w:t>
      </w:r>
      <w:r w:rsidR="004E786C">
        <w:rPr>
          <w:rFonts w:ascii="Times New Roman" w:eastAsia="NimbusRomNo9L-Medi" w:hAnsi="Times New Roman" w:cs="Times New Roman"/>
          <w:b/>
          <w:bCs/>
          <w:sz w:val="28"/>
          <w:szCs w:val="28"/>
          <w:lang w:val="it-IT"/>
        </w:rPr>
        <w:t xml:space="preserve">Additive Manufacturing </w:t>
      </w:r>
    </w:p>
    <w:p w14:paraId="29F6305B" w14:textId="77777777" w:rsidR="00982AB1" w:rsidRPr="00896A33" w:rsidRDefault="00982AB1" w:rsidP="00982AB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NimbusRomNo9L-Regu" w:hAnsi="Times New Roman" w:cs="Times New Roman"/>
          <w:b/>
          <w:bCs/>
          <w:sz w:val="18"/>
          <w:szCs w:val="18"/>
          <w:lang w:val="it-IT"/>
        </w:rPr>
      </w:pPr>
    </w:p>
    <w:p w14:paraId="62F287C1" w14:textId="77777777" w:rsidR="00982AB1" w:rsidRPr="00896A33" w:rsidRDefault="00982AB1" w:rsidP="00982AB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NimbusRomNo9L-Regu" w:hAnsi="Times New Roman" w:cs="Times New Roman"/>
          <w:i/>
          <w:iCs/>
          <w:sz w:val="24"/>
          <w:szCs w:val="24"/>
          <w:lang w:val="it-IT"/>
        </w:rPr>
      </w:pPr>
      <w:r w:rsidRPr="00896A33">
        <w:rPr>
          <w:rFonts w:ascii="Times New Roman" w:eastAsia="NimbusRomNo9L-Regu" w:hAnsi="Times New Roman" w:cs="Times New Roman"/>
          <w:i/>
          <w:iCs/>
          <w:sz w:val="24"/>
          <w:szCs w:val="24"/>
          <w:lang w:val="it-IT"/>
        </w:rPr>
        <w:t xml:space="preserve">51° Congresso AIAS </w:t>
      </w:r>
    </w:p>
    <w:p w14:paraId="0D4EEAA8" w14:textId="77777777" w:rsidR="00982AB1" w:rsidRPr="00896A33" w:rsidRDefault="00982AB1" w:rsidP="00982A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NimbusRomNo9L-Regu" w:hAnsi="Times New Roman" w:cs="Times New Roman"/>
          <w:sz w:val="24"/>
          <w:szCs w:val="24"/>
          <w:lang w:val="it-IT"/>
        </w:rPr>
      </w:pPr>
    </w:p>
    <w:p w14:paraId="0DBFA178" w14:textId="14D3963D" w:rsidR="00982AB1" w:rsidRPr="00896A33" w:rsidRDefault="00982AB1" w:rsidP="00982A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NimbusRomNo9L-Regu" w:hAnsi="Times New Roman" w:cs="Times New Roman"/>
          <w:sz w:val="20"/>
          <w:szCs w:val="20"/>
          <w:lang w:val="it-IT"/>
        </w:rPr>
      </w:pPr>
      <w:r w:rsidRPr="00896A33">
        <w:rPr>
          <w:rFonts w:ascii="Times New Roman" w:eastAsia="NimbusRomNo9L-Regu" w:hAnsi="Times New Roman" w:cs="Times New Roman"/>
          <w:sz w:val="20"/>
          <w:szCs w:val="20"/>
          <w:lang w:val="it-IT"/>
        </w:rPr>
        <w:t>Matteo Crachi</w:t>
      </w:r>
      <w:r w:rsidR="00773F1A">
        <w:rPr>
          <w:rFonts w:ascii="Times New Roman" w:eastAsia="NimbusRomNo9L-Regu" w:hAnsi="Times New Roman" w:cs="Times New Roman"/>
          <w:sz w:val="20"/>
          <w:szCs w:val="20"/>
          <w:lang w:val="it-IT"/>
        </w:rPr>
        <w:t>,</w:t>
      </w:r>
      <w:r w:rsidR="004E786C">
        <w:rPr>
          <w:rFonts w:ascii="Times New Roman" w:eastAsia="NimbusRomNo9L-Regu" w:hAnsi="Times New Roman" w:cs="Times New Roman"/>
          <w:sz w:val="20"/>
          <w:szCs w:val="20"/>
          <w:lang w:val="it-IT"/>
        </w:rPr>
        <w:t xml:space="preserve"> </w:t>
      </w:r>
      <w:r w:rsidRPr="00896A33">
        <w:rPr>
          <w:rFonts w:ascii="Times New Roman" w:eastAsia="NimbusRomNo9L-Regu" w:hAnsi="Times New Roman" w:cs="Times New Roman"/>
          <w:sz w:val="20"/>
          <w:szCs w:val="20"/>
          <w:lang w:val="it-IT"/>
        </w:rPr>
        <w:t>Raffaella Sesana, Cristiana Delprete</w:t>
      </w:r>
      <w:r w:rsidR="00773F1A">
        <w:rPr>
          <w:rFonts w:ascii="Times New Roman" w:eastAsia="NimbusRomNo9L-Regu" w:hAnsi="Times New Roman" w:cs="Times New Roman"/>
          <w:sz w:val="20"/>
          <w:szCs w:val="20"/>
          <w:lang w:val="it-IT"/>
        </w:rPr>
        <w:t>,</w:t>
      </w:r>
      <w:r w:rsidR="004E786C">
        <w:rPr>
          <w:rFonts w:ascii="Times New Roman" w:eastAsia="NimbusRomNo9L-Regu" w:hAnsi="Times New Roman" w:cs="Times New Roman"/>
          <w:sz w:val="20"/>
          <w:szCs w:val="20"/>
          <w:lang w:val="it-IT"/>
        </w:rPr>
        <w:t xml:space="preserve"> </w:t>
      </w:r>
      <w:r w:rsidRPr="00896A33">
        <w:rPr>
          <w:rFonts w:ascii="Times New Roman" w:eastAsia="NimbusRomNo9L-Regu" w:hAnsi="Times New Roman" w:cs="Times New Roman"/>
          <w:sz w:val="20"/>
          <w:szCs w:val="20"/>
          <w:lang w:val="it-IT"/>
        </w:rPr>
        <w:t>Marco Pizzarelli, Domenico Borrelli</w:t>
      </w:r>
    </w:p>
    <w:p w14:paraId="0BA23BCF" w14:textId="77777777" w:rsidR="00982AB1" w:rsidRPr="00896A33" w:rsidRDefault="00982AB1" w:rsidP="00982A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NimbusRomNo9L-Regu" w:hAnsi="Times New Roman" w:cs="Times New Roman"/>
          <w:sz w:val="20"/>
          <w:szCs w:val="20"/>
          <w:lang w:val="it-IT"/>
        </w:rPr>
      </w:pPr>
    </w:p>
    <w:p w14:paraId="2235F289" w14:textId="77777777" w:rsidR="00982AB1" w:rsidRPr="00773F1A" w:rsidRDefault="00982AB1" w:rsidP="00982A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NimbusRomNo9L-Regu" w:hAnsi="Times New Roman" w:cs="Times New Roman"/>
          <w:sz w:val="20"/>
          <w:szCs w:val="20"/>
          <w:lang w:val="it-IT"/>
        </w:rPr>
      </w:pPr>
    </w:p>
    <w:p w14:paraId="0AA632E3" w14:textId="77777777" w:rsidR="00982AB1" w:rsidRPr="00896A33" w:rsidRDefault="00982AB1" w:rsidP="00982A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NimbusRomNo9L-Regu" w:hAnsi="Times New Roman" w:cs="Times New Roman"/>
          <w:b/>
          <w:bCs/>
          <w:i/>
          <w:iCs/>
          <w:sz w:val="24"/>
          <w:szCs w:val="24"/>
          <w:lang w:val="it-IT"/>
        </w:rPr>
      </w:pPr>
      <w:r w:rsidRPr="00896A33">
        <w:rPr>
          <w:rFonts w:ascii="Times New Roman" w:eastAsia="NimbusRomNo9L-Regu" w:hAnsi="Times New Roman" w:cs="Times New Roman"/>
          <w:b/>
          <w:bCs/>
          <w:i/>
          <w:iCs/>
          <w:sz w:val="24"/>
          <w:szCs w:val="24"/>
          <w:lang w:val="it-IT"/>
        </w:rPr>
        <w:t>Abstract</w:t>
      </w:r>
    </w:p>
    <w:p w14:paraId="24FADC06" w14:textId="00A583EA" w:rsidR="00982AB1" w:rsidRPr="005A57B1" w:rsidRDefault="00982AB1" w:rsidP="00982A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NimbusRomNo9L-Regu" w:hAnsi="Times New Roman" w:cs="Times New Roman"/>
          <w:sz w:val="24"/>
          <w:szCs w:val="24"/>
          <w:lang w:val="it-IT"/>
        </w:rPr>
      </w:pPr>
      <w:r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La camera di spinta di motori spaziali a bi-propellente liquido </w:t>
      </w:r>
      <w:r w:rsidR="00773F1A">
        <w:rPr>
          <w:rFonts w:ascii="Times New Roman" w:eastAsia="NimbusRomNo9L-Regu" w:hAnsi="Times New Roman" w:cs="Times New Roman"/>
          <w:sz w:val="24"/>
          <w:szCs w:val="24"/>
          <w:lang w:val="it-IT"/>
        </w:rPr>
        <w:t>è</w:t>
      </w:r>
      <w:r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 uno dei componenti critici per un veicolo di lancio a causa delle</w:t>
      </w:r>
      <w:r w:rsidRPr="005A57B1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 ordinarie condizioni operative a cui è sottoposto</w:t>
      </w:r>
      <w:r>
        <w:rPr>
          <w:rFonts w:ascii="Times New Roman" w:eastAsia="NimbusRomNo9L-Regu" w:hAnsi="Times New Roman" w:cs="Times New Roman"/>
          <w:sz w:val="24"/>
          <w:szCs w:val="24"/>
          <w:lang w:val="it-IT"/>
        </w:rPr>
        <w:t>, le quali possono essere identificate tra le più complesse all’interno del panorama ingegneristico.</w:t>
      </w:r>
    </w:p>
    <w:p w14:paraId="46D79670" w14:textId="68C26419" w:rsidR="00982AB1" w:rsidRPr="004C7A11" w:rsidRDefault="00982AB1" w:rsidP="00982A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NimbusRomNo9L-Regu" w:hAnsi="Times New Roman" w:cs="Times New Roman"/>
          <w:sz w:val="24"/>
          <w:szCs w:val="24"/>
          <w:lang w:val="it-IT"/>
        </w:rPr>
      </w:pPr>
      <w:r>
        <w:rPr>
          <w:rFonts w:ascii="Times New Roman" w:eastAsia="NimbusRomNo9L-Regu" w:hAnsi="Times New Roman" w:cs="Times New Roman"/>
          <w:sz w:val="24"/>
          <w:szCs w:val="24"/>
          <w:lang w:val="it-IT"/>
        </w:rPr>
        <w:t>La necessità di ridurre la temperatura delle pareti esposte ai caldi gas combusti viene comunemente adempita utilizzando leghe a base rame altamente conduttive</w:t>
      </w:r>
      <w:r w:rsidRPr="004C7A11">
        <w:rPr>
          <w:rFonts w:ascii="Times New Roman" w:eastAsia="NimbusRomNo9L-Regu" w:hAnsi="Times New Roman" w:cs="Times New Roman"/>
          <w:sz w:val="24"/>
          <w:szCs w:val="24"/>
          <w:lang w:val="it-IT"/>
        </w:rPr>
        <w:t>; la resistenza meccanica è invece raggiunta attraverso leghe ad alto snervamento, oppure tramite leghe a base nickel.</w:t>
      </w:r>
    </w:p>
    <w:p w14:paraId="57B332BC" w14:textId="4B1E8A20" w:rsidR="00982AB1" w:rsidRPr="004C7A11" w:rsidRDefault="00982AB1" w:rsidP="00982A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NimbusRomNo9L-Regu" w:hAnsi="Times New Roman" w:cs="Times New Roman"/>
          <w:sz w:val="24"/>
          <w:szCs w:val="24"/>
          <w:lang w:val="it-IT"/>
        </w:rPr>
      </w:pPr>
      <w:r w:rsidRPr="004C7A11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Poiché il comportamento </w:t>
      </w:r>
      <w:r w:rsidR="00773F1A">
        <w:rPr>
          <w:rFonts w:ascii="Times New Roman" w:eastAsia="NimbusRomNo9L-Regu" w:hAnsi="Times New Roman" w:cs="Times New Roman"/>
          <w:sz w:val="24"/>
          <w:szCs w:val="24"/>
          <w:lang w:val="it-IT"/>
        </w:rPr>
        <w:t>tensione</w:t>
      </w:r>
      <w:r w:rsidRPr="004C7A11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-deformazione delle camere di spinta rigenerative è direttamente correlato con l’attitudine dell’intero componente </w:t>
      </w:r>
      <w:r>
        <w:rPr>
          <w:rFonts w:ascii="Times New Roman" w:eastAsia="NimbusRomNo9L-Regu" w:hAnsi="Times New Roman" w:cs="Times New Roman"/>
          <w:sz w:val="24"/>
          <w:szCs w:val="24"/>
          <w:lang w:val="it-IT"/>
        </w:rPr>
        <w:t>di resistere alle</w:t>
      </w:r>
      <w:r w:rsidRPr="004C7A11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 alte temperature, </w:t>
      </w:r>
      <w:r w:rsidR="00773F1A">
        <w:rPr>
          <w:rFonts w:ascii="Times New Roman" w:eastAsia="NimbusRomNo9L-Regu" w:hAnsi="Times New Roman" w:cs="Times New Roman"/>
          <w:sz w:val="24"/>
          <w:szCs w:val="24"/>
          <w:lang w:val="it-IT"/>
        </w:rPr>
        <w:t>è</w:t>
      </w:r>
      <w:r w:rsidRPr="004C7A11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 di fondamentale importanza selezione </w:t>
      </w:r>
      <w:r w:rsidR="00773F1A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la </w:t>
      </w:r>
      <w:r w:rsidRPr="004C7A11">
        <w:rPr>
          <w:rFonts w:ascii="Times New Roman" w:eastAsia="NimbusRomNo9L-Regu" w:hAnsi="Times New Roman" w:cs="Times New Roman"/>
          <w:sz w:val="24"/>
          <w:szCs w:val="24"/>
          <w:lang w:val="it-IT"/>
        </w:rPr>
        <w:t>lega corretta per l’applicazione.</w:t>
      </w:r>
    </w:p>
    <w:p w14:paraId="10AE2D4B" w14:textId="57073031" w:rsidR="00982AB1" w:rsidRPr="004C7A11" w:rsidRDefault="00982AB1" w:rsidP="00982A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NimbusRomNo9L-Regu" w:hAnsi="Times New Roman" w:cs="Times New Roman"/>
          <w:sz w:val="24"/>
          <w:szCs w:val="24"/>
          <w:lang w:val="it-IT"/>
        </w:rPr>
      </w:pPr>
      <w:r w:rsidRPr="004C7A11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Al giorno d’oggi i processi di manifattura additiva ricoprono un ruolo importante all’interno dell’industria globale, con un’enfasi particolare </w:t>
      </w:r>
      <w:r>
        <w:rPr>
          <w:rFonts w:ascii="Times New Roman" w:eastAsia="NimbusRomNo9L-Regu" w:hAnsi="Times New Roman" w:cs="Times New Roman"/>
          <w:sz w:val="24"/>
          <w:szCs w:val="24"/>
          <w:lang w:val="it-IT"/>
        </w:rPr>
        <w:t>verso la</w:t>
      </w:r>
      <w:r w:rsidRPr="004C7A11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 propulsione spaziale. In quest’ottica è stat</w:t>
      </w:r>
      <w:r w:rsidR="00773F1A">
        <w:rPr>
          <w:rFonts w:ascii="Times New Roman" w:eastAsia="NimbusRomNo9L-Regu" w:hAnsi="Times New Roman" w:cs="Times New Roman"/>
          <w:sz w:val="24"/>
          <w:szCs w:val="24"/>
          <w:lang w:val="it-IT"/>
        </w:rPr>
        <w:t>o</w:t>
      </w:r>
      <w:r w:rsidRPr="004C7A11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 sviluppat</w:t>
      </w:r>
      <w:r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o un nuovo composito rame-acciaio a matrice metallica, processato tramite </w:t>
      </w:r>
      <w:proofErr w:type="spellStart"/>
      <w:r w:rsidRPr="004C7A11">
        <w:rPr>
          <w:rFonts w:ascii="Times New Roman" w:eastAsia="NimbusRomNo9L-Regu" w:hAnsi="Times New Roman" w:cs="Times New Roman"/>
          <w:i/>
          <w:iCs/>
          <w:sz w:val="24"/>
          <w:szCs w:val="24"/>
          <w:lang w:val="it-IT"/>
        </w:rPr>
        <w:t>Selective</w:t>
      </w:r>
      <w:proofErr w:type="spellEnd"/>
      <w:r w:rsidRPr="004C7A11">
        <w:rPr>
          <w:rFonts w:ascii="Times New Roman" w:eastAsia="NimbusRomNo9L-Regu" w:hAnsi="Times New Roman" w:cs="Times New Roman"/>
          <w:i/>
          <w:iCs/>
          <w:sz w:val="24"/>
          <w:szCs w:val="24"/>
          <w:lang w:val="it-IT"/>
        </w:rPr>
        <w:t xml:space="preserve"> Laser Melting</w:t>
      </w:r>
      <w:r>
        <w:rPr>
          <w:rFonts w:ascii="Times New Roman" w:eastAsia="NimbusRomNo9L-Regu" w:hAnsi="Times New Roman" w:cs="Times New Roman"/>
          <w:sz w:val="24"/>
          <w:szCs w:val="24"/>
          <w:lang w:val="it-IT"/>
        </w:rPr>
        <w:t>, partendo da due diverse polveri metalliche miscelate mediante un innovativo e brevettato sistema.</w:t>
      </w:r>
    </w:p>
    <w:p w14:paraId="050C454E" w14:textId="7B93574C" w:rsidR="00982AB1" w:rsidRPr="004C7A11" w:rsidRDefault="00982AB1" w:rsidP="00982AB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NimbusRomNo9L-Regu" w:hAnsi="Times New Roman" w:cs="Times New Roman"/>
          <w:sz w:val="24"/>
          <w:szCs w:val="24"/>
          <w:lang w:val="it-IT"/>
        </w:rPr>
      </w:pPr>
      <w:r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Il presente studio propone </w:t>
      </w:r>
      <w:r w:rsidR="003C2173">
        <w:rPr>
          <w:rFonts w:ascii="Times New Roman" w:eastAsia="NimbusRomNo9L-Regu" w:hAnsi="Times New Roman" w:cs="Times New Roman"/>
          <w:sz w:val="24"/>
          <w:szCs w:val="24"/>
          <w:lang w:val="it-IT"/>
        </w:rPr>
        <w:t>un approfondimento dei meccanismi di rottura del materiale composito a matrice metallica. In particolare</w:t>
      </w:r>
      <w:r w:rsidR="00773F1A">
        <w:rPr>
          <w:rFonts w:ascii="Times New Roman" w:eastAsia="NimbusRomNo9L-Regu" w:hAnsi="Times New Roman" w:cs="Times New Roman"/>
          <w:sz w:val="24"/>
          <w:szCs w:val="24"/>
          <w:lang w:val="it-IT"/>
        </w:rPr>
        <w:t>,</w:t>
      </w:r>
      <w:r w:rsidR="003C2173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 è stata analizzata la propagazione </w:t>
      </w:r>
      <w:r w:rsidR="00773F1A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dei </w:t>
      </w:r>
      <w:r w:rsidR="003C2173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difetti intrinsechi nel materiale derivati dal processo produttivo di manifattura additiva. L’attività sperimentale è stata realizzata mediante microscopio a scansione elettromagnetica (SEM) attraverso il monitoraggio in loco della microstruttura e </w:t>
      </w:r>
      <w:r w:rsidR="00773F1A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delle </w:t>
      </w:r>
      <w:r w:rsidR="003C2173">
        <w:rPr>
          <w:rFonts w:ascii="Times New Roman" w:eastAsia="NimbusRomNo9L-Regu" w:hAnsi="Times New Roman" w:cs="Times New Roman"/>
          <w:sz w:val="24"/>
          <w:szCs w:val="24"/>
          <w:lang w:val="it-IT"/>
        </w:rPr>
        <w:t>relative difettosità durante test di trazione a incrementi di deformazione costanti.</w:t>
      </w:r>
    </w:p>
    <w:p w14:paraId="0C9D178B" w14:textId="624ABFCE" w:rsidR="003C2173" w:rsidRDefault="003C2173" w:rsidP="003C21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NimbusRomNo9L-Regu" w:hAnsi="Times New Roman" w:cs="Times New Roman"/>
          <w:sz w:val="24"/>
          <w:szCs w:val="24"/>
          <w:lang w:val="it-IT"/>
        </w:rPr>
      </w:pPr>
      <w:r>
        <w:rPr>
          <w:rFonts w:ascii="Times New Roman" w:eastAsia="NimbusRomNo9L-Regu" w:hAnsi="Times New Roman" w:cs="Times New Roman"/>
          <w:sz w:val="24"/>
          <w:szCs w:val="24"/>
          <w:lang w:val="it-IT"/>
        </w:rPr>
        <w:t>La propagazione dei difetti esistenti nel materiale governa il danneggiamento dello stesso. Lo studio della propagazione de</w:t>
      </w:r>
      <w:r w:rsidR="00773F1A">
        <w:rPr>
          <w:rFonts w:ascii="Times New Roman" w:eastAsia="NimbusRomNo9L-Regu" w:hAnsi="Times New Roman" w:cs="Times New Roman"/>
          <w:sz w:val="24"/>
          <w:szCs w:val="24"/>
          <w:lang w:val="it-IT"/>
        </w:rPr>
        <w:t>l</w:t>
      </w:r>
      <w:r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le cricche mostra </w:t>
      </w:r>
      <w:r w:rsidR="007548CA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come queste ultime si propaghino all’interno della matrice di rame </w:t>
      </w:r>
      <w:r w:rsidR="00773F1A">
        <w:rPr>
          <w:rFonts w:ascii="Times New Roman" w:eastAsia="NimbusRomNo9L-Regu" w:hAnsi="Times New Roman" w:cs="Times New Roman"/>
          <w:sz w:val="24"/>
          <w:szCs w:val="24"/>
          <w:lang w:val="it-IT"/>
        </w:rPr>
        <w:t>“</w:t>
      </w:r>
      <w:r w:rsidR="007548CA">
        <w:rPr>
          <w:rFonts w:ascii="Times New Roman" w:eastAsia="NimbusRomNo9L-Regu" w:hAnsi="Times New Roman" w:cs="Times New Roman"/>
          <w:sz w:val="24"/>
          <w:szCs w:val="24"/>
          <w:lang w:val="it-IT"/>
        </w:rPr>
        <w:t>circumnavigando</w:t>
      </w:r>
      <w:r w:rsidR="00773F1A">
        <w:rPr>
          <w:rFonts w:ascii="Times New Roman" w:eastAsia="NimbusRomNo9L-Regu" w:hAnsi="Times New Roman" w:cs="Times New Roman"/>
          <w:sz w:val="24"/>
          <w:szCs w:val="24"/>
          <w:lang w:val="it-IT"/>
        </w:rPr>
        <w:t>”</w:t>
      </w:r>
      <w:r w:rsidR="007548CA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 le isole di acciaio che compongono il materiale compos</w:t>
      </w:r>
      <w:r w:rsidR="00773F1A">
        <w:rPr>
          <w:rFonts w:ascii="Times New Roman" w:eastAsia="NimbusRomNo9L-Regu" w:hAnsi="Times New Roman" w:cs="Times New Roman"/>
          <w:sz w:val="24"/>
          <w:szCs w:val="24"/>
          <w:lang w:val="it-IT"/>
        </w:rPr>
        <w:t>i</w:t>
      </w:r>
      <w:r w:rsidR="007548CA">
        <w:rPr>
          <w:rFonts w:ascii="Times New Roman" w:eastAsia="NimbusRomNo9L-Regu" w:hAnsi="Times New Roman" w:cs="Times New Roman"/>
          <w:sz w:val="24"/>
          <w:szCs w:val="24"/>
          <w:lang w:val="it-IT"/>
        </w:rPr>
        <w:t>to.</w:t>
      </w:r>
    </w:p>
    <w:p w14:paraId="12B49C95" w14:textId="272A5212" w:rsidR="00982AB1" w:rsidRPr="008F3C1B" w:rsidRDefault="00773F1A" w:rsidP="003C217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lang w:val="it-IT"/>
        </w:rPr>
      </w:pPr>
      <w:r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È </w:t>
      </w:r>
      <w:r w:rsidR="00982AB1" w:rsidRPr="00A169EA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stato </w:t>
      </w:r>
      <w:r w:rsidR="007548CA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inoltre </w:t>
      </w:r>
      <w:r w:rsidR="00982AB1" w:rsidRPr="00A169EA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identificato </w:t>
      </w:r>
      <w:r w:rsidR="007548CA" w:rsidRPr="00A169EA">
        <w:rPr>
          <w:rFonts w:ascii="Times New Roman" w:eastAsia="NimbusRomNo9L-Regu" w:hAnsi="Times New Roman" w:cs="Times New Roman"/>
          <w:sz w:val="24"/>
          <w:szCs w:val="24"/>
          <w:lang w:val="it-IT"/>
        </w:rPr>
        <w:t>un</w:t>
      </w:r>
      <w:r w:rsidR="007548CA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 inaspettato</w:t>
      </w:r>
      <w:r w:rsidR="00982AB1" w:rsidRPr="00A169EA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 </w:t>
      </w:r>
      <w:r w:rsidR="00982AB1">
        <w:rPr>
          <w:rFonts w:ascii="Times New Roman" w:eastAsia="NimbusRomNo9L-Regu" w:hAnsi="Times New Roman" w:cs="Times New Roman"/>
          <w:sz w:val="24"/>
          <w:szCs w:val="24"/>
          <w:lang w:val="it-IT"/>
        </w:rPr>
        <w:t xml:space="preserve">comportamento </w:t>
      </w:r>
      <w:r w:rsidR="003C2173">
        <w:rPr>
          <w:rFonts w:ascii="Times New Roman" w:eastAsia="NimbusRomNo9L-Regu" w:hAnsi="Times New Roman" w:cs="Times New Roman"/>
          <w:sz w:val="24"/>
          <w:szCs w:val="24"/>
          <w:lang w:val="it-IT"/>
        </w:rPr>
        <w:t>di rilassazione delle tensioni.</w:t>
      </w:r>
    </w:p>
    <w:p w14:paraId="00830AAB" w14:textId="77777777" w:rsidR="002A5CF6" w:rsidRPr="00982AB1" w:rsidRDefault="00000000">
      <w:pPr>
        <w:rPr>
          <w:lang w:val="it-IT"/>
        </w:rPr>
      </w:pPr>
    </w:p>
    <w:sectPr w:rsidR="002A5CF6" w:rsidRPr="00982AB1" w:rsidSect="006E558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imbusRomNo9L-Medi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NimbusRomNo9L-Regu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AB1"/>
    <w:rsid w:val="00341B28"/>
    <w:rsid w:val="003C2173"/>
    <w:rsid w:val="004E4DBD"/>
    <w:rsid w:val="004E786C"/>
    <w:rsid w:val="00515755"/>
    <w:rsid w:val="00691A70"/>
    <w:rsid w:val="006C213D"/>
    <w:rsid w:val="007548CA"/>
    <w:rsid w:val="00773F1A"/>
    <w:rsid w:val="008559FD"/>
    <w:rsid w:val="00982AB1"/>
    <w:rsid w:val="00C32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72AB90"/>
  <w15:chartTrackingRefBased/>
  <w15:docId w15:val="{42180236-D61C-4ABD-B9F2-2B9E463A3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2AB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357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CRACHI MATTEO</dc:creator>
  <cp:keywords/>
  <dc:description/>
  <cp:lastModifiedBy>Matteo  Crachi</cp:lastModifiedBy>
  <cp:revision>2</cp:revision>
  <dcterms:created xsi:type="dcterms:W3CDTF">2023-05-31T15:18:00Z</dcterms:created>
  <dcterms:modified xsi:type="dcterms:W3CDTF">2023-05-31T15:18:00Z</dcterms:modified>
</cp:coreProperties>
</file>