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BDF887" w14:textId="5E5E8569" w:rsidR="00C92CB2" w:rsidRPr="00F768EE" w:rsidRDefault="00FC7DAF" w:rsidP="00F768EE">
      <w:pPr>
        <w:pStyle w:val="Titolo1"/>
        <w:jc w:val="both"/>
        <w:rPr>
          <w:b/>
          <w:bCs/>
          <w:sz w:val="28"/>
          <w:szCs w:val="28"/>
        </w:rPr>
      </w:pPr>
      <w:r w:rsidRPr="00F768EE">
        <w:rPr>
          <w:b/>
          <w:bCs/>
          <w:sz w:val="28"/>
          <w:szCs w:val="28"/>
        </w:rPr>
        <w:t>Impact of biochar on anaerobic digestion: meta-analysis and economic evaluation</w:t>
      </w:r>
    </w:p>
    <w:p w14:paraId="0D7D8E37" w14:textId="57FC6DBE" w:rsidR="00B6729F" w:rsidRPr="00F41965" w:rsidRDefault="00945297" w:rsidP="00F768EE">
      <w:pPr>
        <w:jc w:val="both"/>
        <w:rPr>
          <w:vertAlign w:val="superscript"/>
          <w:lang w:val="it-IT"/>
        </w:rPr>
      </w:pPr>
      <w:r>
        <w:rPr>
          <w:lang w:val="it-IT"/>
        </w:rPr>
        <w:t xml:space="preserve">Marco </w:t>
      </w:r>
      <w:r w:rsidR="00B6729F" w:rsidRPr="00F41965">
        <w:rPr>
          <w:lang w:val="it-IT"/>
        </w:rPr>
        <w:t>Chiappero</w:t>
      </w:r>
      <w:r w:rsidR="00B6729F" w:rsidRPr="00F41965">
        <w:rPr>
          <w:vertAlign w:val="superscript"/>
          <w:lang w:val="it-IT"/>
        </w:rPr>
        <w:t>a</w:t>
      </w:r>
      <w:r w:rsidR="00B6729F" w:rsidRPr="00F41965">
        <w:rPr>
          <w:lang w:val="it-IT"/>
        </w:rPr>
        <w:t>,</w:t>
      </w:r>
      <w:r w:rsidR="00F41965" w:rsidRPr="00F41965">
        <w:rPr>
          <w:lang w:val="it-IT"/>
        </w:rPr>
        <w:t xml:space="preserve"> </w:t>
      </w:r>
      <w:r>
        <w:rPr>
          <w:lang w:val="it-IT"/>
        </w:rPr>
        <w:t xml:space="preserve">Silvia </w:t>
      </w:r>
      <w:r w:rsidR="00B6729F" w:rsidRPr="00F41965">
        <w:rPr>
          <w:lang w:val="it-IT"/>
        </w:rPr>
        <w:t>Fiore</w:t>
      </w:r>
      <w:r w:rsidR="00B6729F" w:rsidRPr="00F41965">
        <w:rPr>
          <w:vertAlign w:val="superscript"/>
          <w:lang w:val="it-IT"/>
        </w:rPr>
        <w:t>a,*</w:t>
      </w:r>
      <w:r w:rsidR="00DC3BBD">
        <w:rPr>
          <w:vertAlign w:val="superscript"/>
          <w:lang w:val="it-IT"/>
        </w:rPr>
        <w:t xml:space="preserve"> </w:t>
      </w:r>
      <w:r w:rsidR="00DC3BBD">
        <w:rPr>
          <w:lang w:val="it-IT"/>
        </w:rPr>
        <w:t>,</w:t>
      </w:r>
      <w:r w:rsidR="00DC3BBD" w:rsidRPr="00DC3BBD">
        <w:rPr>
          <w:lang w:val="it-IT"/>
        </w:rPr>
        <w:t xml:space="preserve"> </w:t>
      </w:r>
      <w:r>
        <w:rPr>
          <w:lang w:val="it-IT"/>
        </w:rPr>
        <w:t xml:space="preserve">Franco </w:t>
      </w:r>
      <w:r w:rsidR="00DC3BBD" w:rsidRPr="00F41965">
        <w:rPr>
          <w:lang w:val="it-IT"/>
        </w:rPr>
        <w:t>Berruti</w:t>
      </w:r>
      <w:r w:rsidR="00DC3BBD" w:rsidRPr="00F41965">
        <w:rPr>
          <w:vertAlign w:val="superscript"/>
          <w:lang w:val="it-IT"/>
        </w:rPr>
        <w:t>b</w:t>
      </w:r>
    </w:p>
    <w:p w14:paraId="164EE20A" w14:textId="77777777" w:rsidR="00C92CB2" w:rsidRPr="0083539E" w:rsidRDefault="00C92CB2" w:rsidP="00F768EE">
      <w:pPr>
        <w:jc w:val="both"/>
        <w:rPr>
          <w:vertAlign w:val="superscript"/>
          <w:lang w:val="it-IT"/>
        </w:rPr>
      </w:pPr>
    </w:p>
    <w:p w14:paraId="06671A14" w14:textId="432CF348" w:rsidR="00F41965" w:rsidRDefault="00055F83" w:rsidP="00F768EE">
      <w:pPr>
        <w:jc w:val="both"/>
      </w:pPr>
      <w:r w:rsidRPr="0083539E">
        <w:rPr>
          <w:vertAlign w:val="superscript"/>
        </w:rPr>
        <w:t>a</w:t>
      </w:r>
      <w:r w:rsidRPr="00AA0527">
        <w:t xml:space="preserve"> </w:t>
      </w:r>
      <w:r w:rsidRPr="00055F83">
        <w:t>DIATI (Department of Engineering for Environment, Land and Infrastructure), Politecnico di Torino, Corso Duca degli Abruzzi 24, 10129, Torino, Italy</w:t>
      </w:r>
    </w:p>
    <w:p w14:paraId="2D5EC244" w14:textId="2FFFEC37" w:rsidR="00F41965" w:rsidRPr="00F41965" w:rsidRDefault="00934393" w:rsidP="00F768EE">
      <w:pPr>
        <w:jc w:val="both"/>
      </w:pPr>
      <w:r w:rsidRPr="0083539E">
        <w:rPr>
          <w:vertAlign w:val="superscript"/>
        </w:rPr>
        <w:t>b</w:t>
      </w:r>
      <w:r>
        <w:t xml:space="preserve"> </w:t>
      </w:r>
      <w:r w:rsidR="00F41965" w:rsidRPr="00F41965">
        <w:t>ICFAR</w:t>
      </w:r>
      <w:r w:rsidR="00F41965">
        <w:t xml:space="preserve"> (</w:t>
      </w:r>
      <w:r w:rsidR="00F41965" w:rsidRPr="00F41965">
        <w:t>Institute for Chemicals and Fuels from Alternative Resources</w:t>
      </w:r>
      <w:r w:rsidR="00F41965">
        <w:t>)</w:t>
      </w:r>
      <w:r w:rsidR="00F41965" w:rsidRPr="00F41965">
        <w:t>, Department of Chemical and Biochemical Engineering, Faculty of Engineering, Western University, London, Ontario, N6A 5B9, Canada</w:t>
      </w:r>
    </w:p>
    <w:p w14:paraId="26AD351E" w14:textId="77777777" w:rsidR="00F41965" w:rsidRDefault="00F41965" w:rsidP="00F768EE">
      <w:pPr>
        <w:jc w:val="both"/>
      </w:pPr>
    </w:p>
    <w:p w14:paraId="7B7BE24B" w14:textId="6D53DF12" w:rsidR="00055F83" w:rsidRPr="00B6729F" w:rsidRDefault="00055F83" w:rsidP="00F768EE">
      <w:pPr>
        <w:jc w:val="both"/>
        <w:rPr>
          <w:lang w:val="it-IT"/>
        </w:rPr>
      </w:pPr>
      <w:r w:rsidRPr="00055F83">
        <w:rPr>
          <w:lang w:val="it-IT"/>
        </w:rPr>
        <w:t>*corresponding author: Prof. Silvia Fiore, DIATI, Politecnico di Torino, Corso Duca degli Abruzzi, 24; 10129, Torino, Italy; E-mail: silvia.fiore@polito.it; Phone: +39 011 090 7613</w:t>
      </w:r>
    </w:p>
    <w:p w14:paraId="5150EFEA" w14:textId="77777777" w:rsidR="00C92CB2" w:rsidRPr="00AA0527" w:rsidRDefault="00C92CB2">
      <w:pPr>
        <w:rPr>
          <w:lang w:val="it-IT"/>
        </w:rPr>
      </w:pPr>
    </w:p>
    <w:p w14:paraId="629A05E8" w14:textId="64087B6D" w:rsidR="00C92CB2" w:rsidRPr="00F768EE" w:rsidRDefault="00016C9F" w:rsidP="00C92CB2">
      <w:pPr>
        <w:pStyle w:val="Titolo1"/>
        <w:rPr>
          <w:b/>
          <w:bCs/>
          <w:sz w:val="24"/>
          <w:szCs w:val="24"/>
        </w:rPr>
      </w:pPr>
      <w:r w:rsidRPr="00F768EE">
        <w:rPr>
          <w:b/>
          <w:bCs/>
          <w:sz w:val="24"/>
          <w:szCs w:val="24"/>
        </w:rPr>
        <w:t>Abstract</w:t>
      </w:r>
    </w:p>
    <w:p w14:paraId="6F9C6549" w14:textId="7DFDAE64" w:rsidR="002C78FF" w:rsidRPr="002C78FF" w:rsidRDefault="002C78FF" w:rsidP="00F768EE">
      <w:pPr>
        <w:jc w:val="both"/>
      </w:pPr>
      <w:r w:rsidRPr="002C78FF">
        <w:t xml:space="preserve">The growing global energy demand </w:t>
      </w:r>
      <w:r w:rsidR="00945297" w:rsidRPr="002C78FF">
        <w:t>encourag</w:t>
      </w:r>
      <w:r w:rsidR="00945297">
        <w:t>es</w:t>
      </w:r>
      <w:r w:rsidRPr="002C78FF">
        <w:t xml:space="preserve"> the </w:t>
      </w:r>
      <w:r w:rsidR="00CD64B3" w:rsidRPr="002C78FF">
        <w:t>request</w:t>
      </w:r>
      <w:r w:rsidRPr="002C78FF">
        <w:t xml:space="preserve"> for </w:t>
      </w:r>
      <w:r w:rsidR="00B806AB">
        <w:t>renewable</w:t>
      </w:r>
      <w:r w:rsidR="00922696">
        <w:t xml:space="preserve"> sources</w:t>
      </w:r>
      <w:r w:rsidRPr="002C78FF">
        <w:t xml:space="preserve">, as biomethane from the anaerobic digestion (AD) of waste biomass. Biochar </w:t>
      </w:r>
      <w:r w:rsidR="00011B3C">
        <w:t xml:space="preserve">(BC) </w:t>
      </w:r>
      <w:r w:rsidRPr="002C78FF">
        <w:t xml:space="preserve">can effectively increase methane production when </w:t>
      </w:r>
      <w:r w:rsidR="00B806AB">
        <w:t>supplemented</w:t>
      </w:r>
      <w:r w:rsidRPr="002C78FF">
        <w:t xml:space="preserve"> to AD</w:t>
      </w:r>
      <w:r w:rsidR="00B806AB">
        <w:t>, depending on BC</w:t>
      </w:r>
      <w:r w:rsidRPr="002C78FF">
        <w:t xml:space="preserve"> physico-chemical properties. </w:t>
      </w:r>
      <w:r w:rsidR="00011B3C">
        <w:t>This</w:t>
      </w:r>
      <w:r w:rsidRPr="002C78FF">
        <w:t xml:space="preserve"> study </w:t>
      </w:r>
      <w:r w:rsidR="00781AFA">
        <w:t>was developed in two phases. F</w:t>
      </w:r>
      <w:r w:rsidR="00142D29">
        <w:t>irstly</w:t>
      </w:r>
      <w:r w:rsidR="00781AFA">
        <w:t>,</w:t>
      </w:r>
      <w:r w:rsidR="00142D29">
        <w:t xml:space="preserve"> </w:t>
      </w:r>
      <w:r w:rsidRPr="002C78FF">
        <w:t xml:space="preserve">a systematic meta-analysis of current </w:t>
      </w:r>
      <w:r w:rsidR="00011B3C">
        <w:t>literature</w:t>
      </w:r>
      <w:r w:rsidRPr="002C78FF">
        <w:t xml:space="preserve"> </w:t>
      </w:r>
      <w:r w:rsidR="00781AFA">
        <w:t>was performed</w:t>
      </w:r>
      <w:r w:rsidR="00781AFA" w:rsidRPr="002C78FF">
        <w:t xml:space="preserve"> </w:t>
      </w:r>
      <w:r w:rsidRPr="002C78FF">
        <w:t xml:space="preserve">to correlate AD performance </w:t>
      </w:r>
      <w:r w:rsidR="00142D29" w:rsidRPr="002C78FF">
        <w:t>with BC properties</w:t>
      </w:r>
      <w:r w:rsidR="00142D29">
        <w:t>,</w:t>
      </w:r>
      <w:r w:rsidR="00142D29" w:rsidRPr="002C78FF">
        <w:t xml:space="preserve"> </w:t>
      </w:r>
      <w:r w:rsidRPr="002C78FF">
        <w:t xml:space="preserve">aiming to define their optimal range. </w:t>
      </w:r>
      <w:r w:rsidR="00D21FAF">
        <w:t>The obtained</w:t>
      </w:r>
      <w:r w:rsidRPr="002C78FF">
        <w:t xml:space="preserve"> </w:t>
      </w:r>
      <w:r w:rsidR="00D21FAF">
        <w:t>result</w:t>
      </w:r>
      <w:r w:rsidRPr="002C78FF">
        <w:t xml:space="preserve">s prove that </w:t>
      </w:r>
      <w:r w:rsidR="00142D29">
        <w:t>BC</w:t>
      </w:r>
      <w:r w:rsidRPr="002C78FF">
        <w:t xml:space="preserve"> enhances and accelerates biomethane production. Considering 408 experimental conditions of 76 studies in batch mode, biomethane yield and maximum production rate were significantly increased by </w:t>
      </w:r>
      <w:r w:rsidR="00142D29">
        <w:t>BC</w:t>
      </w:r>
      <w:r w:rsidR="00142D29" w:rsidRPr="002C78FF" w:rsidDel="00142D29">
        <w:t xml:space="preserve"> </w:t>
      </w:r>
      <w:r w:rsidR="00142D29">
        <w:t>addition</w:t>
      </w:r>
      <w:r w:rsidRPr="002C78FF">
        <w:t>. From the results of the subgroups meta-analysis, an optimal range of BC physico-chemical properties may be suggested as follows: high ash (≥ 20%) and low C contents (&lt; 50%), high O/C molar ratios (≥ 0.3), high contents of O (≥ 20%) and N (≥ 0.6%), acidic pH (&lt; 7.0), low surface area (&lt; 10 m</w:t>
      </w:r>
      <w:r w:rsidRPr="002C78FF">
        <w:rPr>
          <w:vertAlign w:val="superscript"/>
        </w:rPr>
        <w:t>2</w:t>
      </w:r>
      <w:r w:rsidRPr="002C78FF">
        <w:t xml:space="preserve"> g</w:t>
      </w:r>
      <w:r w:rsidRPr="002C78FF">
        <w:rPr>
          <w:vertAlign w:val="superscript"/>
        </w:rPr>
        <w:t>-1</w:t>
      </w:r>
      <w:r w:rsidRPr="002C78FF">
        <w:t xml:space="preserve">). </w:t>
      </w:r>
      <w:r w:rsidR="00142D29">
        <w:t>Secondly, an</w:t>
      </w:r>
      <w:r w:rsidRPr="002C78FF">
        <w:t xml:space="preserve"> economic analysis </w:t>
      </w:r>
      <w:r w:rsidR="00D21FAF">
        <w:t xml:space="preserve">aimed at assessing the economic profitability of BC addition to an existing AD plant </w:t>
      </w:r>
      <w:r w:rsidRPr="002C78FF">
        <w:t>sugges</w:t>
      </w:r>
      <w:r w:rsidR="00945297">
        <w:t>t</w:t>
      </w:r>
      <w:r w:rsidRPr="002C78FF">
        <w:t xml:space="preserve"> </w:t>
      </w:r>
      <w:r w:rsidR="002B2E1D" w:rsidRPr="002C78FF">
        <w:t>avoiding</w:t>
      </w:r>
      <w:r w:rsidRPr="002C78FF">
        <w:t xml:space="preserve"> a dose above 0.45-0.76 g</w:t>
      </w:r>
      <w:r w:rsidRPr="002C78FF">
        <w:rPr>
          <w:vertAlign w:val="subscript"/>
        </w:rPr>
        <w:t>BC</w:t>
      </w:r>
      <w:r w:rsidRPr="002C78FF">
        <w:t xml:space="preserve"> g</w:t>
      </w:r>
      <w:r w:rsidRPr="002C78FF">
        <w:rPr>
          <w:vertAlign w:val="subscript"/>
        </w:rPr>
        <w:t>VS</w:t>
      </w:r>
      <w:r w:rsidRPr="002C78FF">
        <w:rPr>
          <w:vertAlign w:val="superscript"/>
        </w:rPr>
        <w:t>-1</w:t>
      </w:r>
      <w:r w:rsidRPr="002C78FF">
        <w:t xml:space="preserve">, </w:t>
      </w:r>
      <w:r w:rsidR="00D21FAF">
        <w:t>independently of</w:t>
      </w:r>
      <w:r w:rsidRPr="002C78FF">
        <w:t xml:space="preserve"> </w:t>
      </w:r>
      <w:r w:rsidR="00D21FAF">
        <w:t>the</w:t>
      </w:r>
      <w:r w:rsidRPr="002C78FF">
        <w:t xml:space="preserve"> </w:t>
      </w:r>
      <w:r w:rsidR="00142D29">
        <w:t xml:space="preserve">specific </w:t>
      </w:r>
      <w:r w:rsidRPr="002C78FF">
        <w:t xml:space="preserve">AD operating conditions. </w:t>
      </w:r>
      <w:r w:rsidR="00B806AB">
        <w:t xml:space="preserve">In conclusion, </w:t>
      </w:r>
      <w:r w:rsidR="00142D29">
        <w:t>BC</w:t>
      </w:r>
      <w:r w:rsidRPr="002C78FF">
        <w:t xml:space="preserve"> application </w:t>
      </w:r>
      <w:r w:rsidR="008972A1">
        <w:t>in</w:t>
      </w:r>
      <w:r w:rsidRPr="002C78FF">
        <w:t xml:space="preserve"> full-scale digesters</w:t>
      </w:r>
      <w:r w:rsidR="00B806AB">
        <w:t xml:space="preserve"> </w:t>
      </w:r>
      <w:r w:rsidR="00037C1C">
        <w:t>is</w:t>
      </w:r>
      <w:r w:rsidR="00B806AB">
        <w:t xml:space="preserve"> able to </w:t>
      </w:r>
      <w:r w:rsidR="00781AFA" w:rsidRPr="002C78FF">
        <w:t>maximize biomethane production and economic</w:t>
      </w:r>
      <w:r w:rsidR="00781AFA">
        <w:t>ally</w:t>
      </w:r>
      <w:r w:rsidR="00781AFA" w:rsidRPr="002C78FF">
        <w:t xml:space="preserve"> feasible</w:t>
      </w:r>
      <w:r w:rsidRPr="002C78FF">
        <w:t>.</w:t>
      </w:r>
    </w:p>
    <w:p w14:paraId="4DEE468A" w14:textId="0C848B4B" w:rsidR="00C92CB2" w:rsidRDefault="00C92CB2"/>
    <w:p w14:paraId="53E06408" w14:textId="77777777" w:rsidR="002B2E1D" w:rsidRDefault="002B2E1D"/>
    <w:p w14:paraId="5DC4B454" w14:textId="4032163A" w:rsidR="00AC15BF" w:rsidRDefault="00AC15BF">
      <w:pPr>
        <w:rPr>
          <w:b/>
          <w:bCs/>
        </w:rPr>
      </w:pPr>
      <w:r w:rsidRPr="00AC15BF">
        <w:rPr>
          <w:b/>
          <w:bCs/>
        </w:rPr>
        <w:lastRenderedPageBreak/>
        <w:t>Highlights</w:t>
      </w:r>
    </w:p>
    <w:p w14:paraId="6DB19F9A" w14:textId="77777777" w:rsidR="00AC15BF" w:rsidRPr="002F551A" w:rsidRDefault="00AC15BF" w:rsidP="00AC15BF">
      <w:pPr>
        <w:pStyle w:val="Paragrafoelenco"/>
        <w:numPr>
          <w:ilvl w:val="0"/>
          <w:numId w:val="15"/>
        </w:numPr>
        <w:tabs>
          <w:tab w:val="left" w:pos="284"/>
        </w:tabs>
        <w:ind w:hanging="720"/>
        <w:rPr>
          <w:rFonts w:cs="Times New Roman"/>
        </w:rPr>
      </w:pPr>
      <w:r w:rsidRPr="002F551A">
        <w:rPr>
          <w:rFonts w:cs="Times New Roman"/>
        </w:rPr>
        <w:t>Biochar addition enhances and accelerates biomethane production from waste biomass</w:t>
      </w:r>
    </w:p>
    <w:p w14:paraId="5244C9E2" w14:textId="27D574BF" w:rsidR="00AC15BF" w:rsidRPr="002F551A" w:rsidRDefault="00B700DB" w:rsidP="00AC15BF">
      <w:pPr>
        <w:pStyle w:val="Paragrafoelenco"/>
        <w:numPr>
          <w:ilvl w:val="0"/>
          <w:numId w:val="15"/>
        </w:numPr>
        <w:tabs>
          <w:tab w:val="left" w:pos="284"/>
        </w:tabs>
        <w:ind w:hanging="720"/>
        <w:rPr>
          <w:rFonts w:cs="Times New Roman"/>
        </w:rPr>
      </w:pPr>
      <w:r>
        <w:rPr>
          <w:rFonts w:cs="Times New Roman"/>
        </w:rPr>
        <w:t>A</w:t>
      </w:r>
      <w:r w:rsidR="001C00D9">
        <w:rPr>
          <w:rFonts w:cs="Times New Roman"/>
        </w:rPr>
        <w:t>n</w:t>
      </w:r>
      <w:r>
        <w:rPr>
          <w:rFonts w:cs="Times New Roman"/>
        </w:rPr>
        <w:t xml:space="preserve"> </w:t>
      </w:r>
      <w:r w:rsidR="001C00D9">
        <w:rPr>
          <w:rFonts w:cs="Times New Roman"/>
        </w:rPr>
        <w:t>inventory</w:t>
      </w:r>
      <w:r w:rsidR="00FF5DB9">
        <w:rPr>
          <w:rFonts w:cs="Times New Roman"/>
        </w:rPr>
        <w:t xml:space="preserve"> </w:t>
      </w:r>
      <w:r w:rsidR="00AC15BF" w:rsidRPr="002F551A">
        <w:rPr>
          <w:rFonts w:cs="Times New Roman"/>
        </w:rPr>
        <w:t xml:space="preserve">of </w:t>
      </w:r>
      <w:r w:rsidR="00FF5DB9">
        <w:rPr>
          <w:rFonts w:cs="Times New Roman"/>
        </w:rPr>
        <w:t xml:space="preserve">literature </w:t>
      </w:r>
      <w:r w:rsidR="00AC15BF" w:rsidRPr="002F551A">
        <w:rPr>
          <w:rFonts w:cs="Times New Roman"/>
        </w:rPr>
        <w:t xml:space="preserve">on biochar addition to anaerobic digestion is </w:t>
      </w:r>
      <w:r w:rsidR="00FF5DB9">
        <w:rPr>
          <w:rFonts w:cs="Times New Roman"/>
        </w:rPr>
        <w:t>provided</w:t>
      </w:r>
    </w:p>
    <w:p w14:paraId="3401D585" w14:textId="77777777" w:rsidR="00AC15BF" w:rsidRPr="002F551A" w:rsidRDefault="00AC15BF" w:rsidP="00AC15BF">
      <w:pPr>
        <w:pStyle w:val="Paragrafoelenco"/>
        <w:numPr>
          <w:ilvl w:val="0"/>
          <w:numId w:val="15"/>
        </w:numPr>
        <w:tabs>
          <w:tab w:val="left" w:pos="284"/>
        </w:tabs>
        <w:ind w:hanging="720"/>
        <w:rPr>
          <w:rFonts w:cs="Times New Roman"/>
        </w:rPr>
      </w:pPr>
      <w:r w:rsidRPr="002F551A">
        <w:rPr>
          <w:rFonts w:cs="Times New Roman"/>
        </w:rPr>
        <w:t>Meta-analysis defined the optimal range of biochar properties for this application</w:t>
      </w:r>
    </w:p>
    <w:p w14:paraId="456910CE" w14:textId="77777777" w:rsidR="00AC15BF" w:rsidRPr="002F551A" w:rsidRDefault="00AC15BF" w:rsidP="00AC15BF">
      <w:pPr>
        <w:pStyle w:val="Paragrafoelenco"/>
        <w:numPr>
          <w:ilvl w:val="0"/>
          <w:numId w:val="15"/>
        </w:numPr>
        <w:tabs>
          <w:tab w:val="left" w:pos="284"/>
        </w:tabs>
        <w:ind w:hanging="720"/>
        <w:rPr>
          <w:rFonts w:cs="Times New Roman"/>
        </w:rPr>
      </w:pPr>
      <w:r w:rsidRPr="002F551A">
        <w:rPr>
          <w:rFonts w:cs="Times New Roman"/>
        </w:rPr>
        <w:t>An economic analysis suggested to use biochar doses below 0.45-0.76 g</w:t>
      </w:r>
      <w:r w:rsidRPr="002F551A">
        <w:rPr>
          <w:rFonts w:cs="Times New Roman"/>
          <w:vertAlign w:val="subscript"/>
        </w:rPr>
        <w:t>BC</w:t>
      </w:r>
      <w:r w:rsidRPr="002F551A">
        <w:rPr>
          <w:rFonts w:cs="Times New Roman"/>
        </w:rPr>
        <w:t xml:space="preserve"> g</w:t>
      </w:r>
      <w:r w:rsidRPr="002F551A">
        <w:rPr>
          <w:rFonts w:cs="Times New Roman"/>
          <w:vertAlign w:val="subscript"/>
        </w:rPr>
        <w:t>VS</w:t>
      </w:r>
      <w:r w:rsidRPr="002F551A">
        <w:rPr>
          <w:rFonts w:cs="Times New Roman"/>
          <w:vertAlign w:val="superscript"/>
        </w:rPr>
        <w:t>-1</w:t>
      </w:r>
    </w:p>
    <w:p w14:paraId="5C8B7919" w14:textId="298C9582" w:rsidR="00AC15BF" w:rsidRDefault="00AC15BF"/>
    <w:p w14:paraId="6AEEED39" w14:textId="19A79AE7" w:rsidR="00C92CB2" w:rsidRPr="00781AFA" w:rsidRDefault="002E703A" w:rsidP="00C92CB2">
      <w:pPr>
        <w:pStyle w:val="Titolo1"/>
        <w:rPr>
          <w:b/>
          <w:bCs/>
          <w:sz w:val="24"/>
          <w:szCs w:val="24"/>
        </w:rPr>
      </w:pPr>
      <w:r w:rsidRPr="00781AFA">
        <w:rPr>
          <w:b/>
          <w:bCs/>
          <w:sz w:val="24"/>
          <w:szCs w:val="24"/>
        </w:rPr>
        <w:t>Keywords</w:t>
      </w:r>
      <w:r w:rsidR="00A84700" w:rsidRPr="00781AFA">
        <w:rPr>
          <w:b/>
          <w:bCs/>
          <w:sz w:val="24"/>
          <w:szCs w:val="24"/>
        </w:rPr>
        <w:t xml:space="preserve"> </w:t>
      </w:r>
    </w:p>
    <w:p w14:paraId="5D2D5AD8" w14:textId="1831BC91" w:rsidR="00E248C1" w:rsidRDefault="00781AFA">
      <w:r>
        <w:t xml:space="preserve">anaerobic </w:t>
      </w:r>
      <w:r w:rsidR="00E248C1">
        <w:t xml:space="preserve">digestion; </w:t>
      </w:r>
      <w:r>
        <w:t>biochar</w:t>
      </w:r>
      <w:r w:rsidR="00E248C1">
        <w:t xml:space="preserve">; </w:t>
      </w:r>
      <w:r>
        <w:t xml:space="preserve">economic </w:t>
      </w:r>
      <w:r w:rsidR="00E248C1">
        <w:t xml:space="preserve">analysis; </w:t>
      </w:r>
      <w:r>
        <w:t>methane</w:t>
      </w:r>
      <w:r w:rsidR="00E248C1">
        <w:t xml:space="preserve">; </w:t>
      </w:r>
      <w:r>
        <w:t>meta</w:t>
      </w:r>
      <w:r w:rsidR="00E248C1">
        <w:t>-analysis</w:t>
      </w:r>
      <w:r w:rsidR="001C00D9">
        <w:t>.</w:t>
      </w:r>
    </w:p>
    <w:p w14:paraId="471BD7D3" w14:textId="77777777" w:rsidR="003E6B30" w:rsidRDefault="003E6B30"/>
    <w:p w14:paraId="4D94A3BB" w14:textId="3FD2F3E6" w:rsidR="00F020BD" w:rsidRDefault="003E6B30" w:rsidP="00C40114">
      <w:pPr>
        <w:snapToGrid w:val="0"/>
        <w:spacing w:after="0"/>
        <w:contextualSpacing w:val="0"/>
        <w:jc w:val="both"/>
        <w:rPr>
          <w:b/>
          <w:bCs/>
        </w:rPr>
      </w:pPr>
      <w:r w:rsidRPr="00C40114">
        <w:rPr>
          <w:b/>
          <w:bCs/>
        </w:rPr>
        <w:t>Abbreviations</w:t>
      </w:r>
    </w:p>
    <w:p w14:paraId="57617292" w14:textId="407D9EDB" w:rsidR="003E6316" w:rsidRDefault="003E6316" w:rsidP="003E6316">
      <w:pPr>
        <w:snapToGrid w:val="0"/>
        <w:spacing w:after="0"/>
        <w:contextualSpacing w:val="0"/>
        <w:jc w:val="both"/>
        <w:rPr>
          <w:szCs w:val="24"/>
        </w:rPr>
      </w:pPr>
      <w:r w:rsidRPr="00C40114">
        <w:rPr>
          <w:szCs w:val="24"/>
        </w:rPr>
        <w:t>AD</w:t>
      </w:r>
      <w:r w:rsidRPr="008A2C5C">
        <w:rPr>
          <w:szCs w:val="24"/>
        </w:rPr>
        <w:t xml:space="preserve">: anaerobic digestion; </w:t>
      </w:r>
      <w:r w:rsidRPr="00C40114">
        <w:rPr>
          <w:szCs w:val="24"/>
        </w:rPr>
        <w:t>ANOVA</w:t>
      </w:r>
      <w:r w:rsidRPr="008A2C5C">
        <w:rPr>
          <w:szCs w:val="24"/>
        </w:rPr>
        <w:t xml:space="preserve">: analysis of variance; </w:t>
      </w:r>
      <w:r w:rsidRPr="00C40114">
        <w:rPr>
          <w:szCs w:val="24"/>
        </w:rPr>
        <w:t>BC</w:t>
      </w:r>
      <w:r w:rsidRPr="008A2C5C">
        <w:rPr>
          <w:szCs w:val="24"/>
        </w:rPr>
        <w:t xml:space="preserve">: biochar; </w:t>
      </w:r>
      <w:r w:rsidRPr="00C40114">
        <w:rPr>
          <w:szCs w:val="24"/>
        </w:rPr>
        <w:t>BET</w:t>
      </w:r>
      <w:r w:rsidRPr="008A2C5C">
        <w:rPr>
          <w:szCs w:val="24"/>
        </w:rPr>
        <w:t xml:space="preserve">: Brunauer–Emmett–Teller; </w:t>
      </w:r>
      <w:r w:rsidRPr="00C40114">
        <w:rPr>
          <w:szCs w:val="24"/>
        </w:rPr>
        <w:t>C</w:t>
      </w:r>
      <w:r w:rsidRPr="008A2C5C">
        <w:rPr>
          <w:szCs w:val="24"/>
        </w:rPr>
        <w:t xml:space="preserve">: total carbon; </w:t>
      </w:r>
      <w:r w:rsidRPr="00C40114">
        <w:rPr>
          <w:szCs w:val="24"/>
        </w:rPr>
        <w:t>CEC</w:t>
      </w:r>
      <w:r w:rsidRPr="008A2C5C">
        <w:rPr>
          <w:szCs w:val="24"/>
        </w:rPr>
        <w:t xml:space="preserve">: cationic exchange capacity; </w:t>
      </w:r>
      <w:r w:rsidRPr="00C40114">
        <w:rPr>
          <w:szCs w:val="24"/>
        </w:rPr>
        <w:t>CI</w:t>
      </w:r>
      <w:r w:rsidRPr="008A2C5C">
        <w:rPr>
          <w:szCs w:val="24"/>
        </w:rPr>
        <w:t xml:space="preserve">: confidence intervals; </w:t>
      </w:r>
      <w:r w:rsidRPr="00C40114">
        <w:rPr>
          <w:szCs w:val="24"/>
        </w:rPr>
        <w:t>CHP</w:t>
      </w:r>
      <w:r w:rsidRPr="008A2C5C">
        <w:rPr>
          <w:szCs w:val="24"/>
        </w:rPr>
        <w:t xml:space="preserve">: combined heat and power; COD: chemical oxygen demand; </w:t>
      </w:r>
      <w:r w:rsidRPr="00C40114">
        <w:rPr>
          <w:szCs w:val="24"/>
        </w:rPr>
        <w:t>DF</w:t>
      </w:r>
      <w:r w:rsidRPr="008A2C5C">
        <w:rPr>
          <w:szCs w:val="24"/>
        </w:rPr>
        <w:t>: degrees of freedom; EAC: electron accepting capacity;</w:t>
      </w:r>
      <w:r w:rsidR="008A2C5C" w:rsidRPr="008A2C5C">
        <w:rPr>
          <w:szCs w:val="24"/>
        </w:rPr>
        <w:t xml:space="preserve"> </w:t>
      </w:r>
      <w:r w:rsidR="008A2C5C" w:rsidRPr="00C40114">
        <w:rPr>
          <w:szCs w:val="24"/>
        </w:rPr>
        <w:t>EC</w:t>
      </w:r>
      <w:r w:rsidR="008A2C5C" w:rsidRPr="008A2C5C">
        <w:rPr>
          <w:szCs w:val="24"/>
        </w:rPr>
        <w:t xml:space="preserve">: electrical conductivity; </w:t>
      </w:r>
      <w:r w:rsidRPr="008A2C5C">
        <w:rPr>
          <w:szCs w:val="24"/>
        </w:rPr>
        <w:t xml:space="preserve"> EDC: electron donating capacity; </w:t>
      </w:r>
      <w:r w:rsidRPr="00C40114">
        <w:rPr>
          <w:szCs w:val="24"/>
        </w:rPr>
        <w:t>FC</w:t>
      </w:r>
      <w:r w:rsidRPr="008A2C5C">
        <w:rPr>
          <w:szCs w:val="24"/>
        </w:rPr>
        <w:t xml:space="preserve">: fixed carbon; </w:t>
      </w:r>
      <w:r w:rsidRPr="00C40114">
        <w:rPr>
          <w:szCs w:val="24"/>
        </w:rPr>
        <w:t>GHG</w:t>
      </w:r>
      <w:r w:rsidRPr="008A2C5C">
        <w:rPr>
          <w:szCs w:val="24"/>
        </w:rPr>
        <w:t xml:space="preserve">: green-house gas; </w:t>
      </w:r>
      <w:r w:rsidRPr="00C40114">
        <w:rPr>
          <w:szCs w:val="24"/>
        </w:rPr>
        <w:t>H: herbaceous</w:t>
      </w:r>
      <w:r w:rsidRPr="008A2C5C">
        <w:rPr>
          <w:szCs w:val="24"/>
        </w:rPr>
        <w:t xml:space="preserve">; HRT: hydraulic retention time; </w:t>
      </w:r>
      <w:r w:rsidRPr="00C40114">
        <w:rPr>
          <w:szCs w:val="24"/>
        </w:rPr>
        <w:t>HSD</w:t>
      </w:r>
      <w:r w:rsidRPr="008A2C5C">
        <w:rPr>
          <w:szCs w:val="24"/>
        </w:rPr>
        <w:t xml:space="preserve">: </w:t>
      </w:r>
      <w:r w:rsidRPr="008A2C5C">
        <w:rPr>
          <w:rFonts w:eastAsiaTheme="minorEastAsia"/>
        </w:rPr>
        <w:t>honestly significant difference;</w:t>
      </w:r>
      <w:r w:rsidRPr="008A2C5C">
        <w:rPr>
          <w:szCs w:val="24"/>
        </w:rPr>
        <w:t xml:space="preserve"> </w:t>
      </w:r>
      <w:r w:rsidRPr="00C40114">
        <w:rPr>
          <w:rFonts w:cs="Times New Roman"/>
        </w:rPr>
        <w:t>λ</w:t>
      </w:r>
      <w:r w:rsidRPr="008A2C5C">
        <w:rPr>
          <w:rFonts w:cs="Times New Roman"/>
        </w:rPr>
        <w:t>: lag-phase;</w:t>
      </w:r>
      <w:r w:rsidRPr="008A2C5C">
        <w:rPr>
          <w:szCs w:val="24"/>
        </w:rPr>
        <w:t xml:space="preserve"> </w:t>
      </w:r>
      <w:r w:rsidRPr="00C40114">
        <w:rPr>
          <w:szCs w:val="24"/>
        </w:rPr>
        <w:t>LR</w:t>
      </w:r>
      <w:r w:rsidRPr="008A2C5C">
        <w:rPr>
          <w:szCs w:val="24"/>
        </w:rPr>
        <w:t xml:space="preserve">: lignocellulosic residue/crops; </w:t>
      </w:r>
      <w:r w:rsidRPr="00C40114">
        <w:t>M</w:t>
      </w:r>
      <w:r w:rsidRPr="008A2C5C">
        <w:t>: Manure or animal-based residue;</w:t>
      </w:r>
      <w:r w:rsidRPr="008A2C5C">
        <w:rPr>
          <w:szCs w:val="24"/>
        </w:rPr>
        <w:t xml:space="preserve"> </w:t>
      </w:r>
      <w:r w:rsidRPr="00C40114">
        <w:t>NLR</w:t>
      </w:r>
      <w:r w:rsidRPr="008A2C5C">
        <w:t>: Non-lignocellulosic residue;</w:t>
      </w:r>
      <w:r w:rsidRPr="008A2C5C">
        <w:rPr>
          <w:szCs w:val="24"/>
        </w:rPr>
        <w:t xml:space="preserve"> </w:t>
      </w:r>
      <w:r w:rsidRPr="00C40114">
        <w:rPr>
          <w:szCs w:val="24"/>
        </w:rPr>
        <w:t>OFMSW</w:t>
      </w:r>
      <w:r w:rsidRPr="008A2C5C">
        <w:rPr>
          <w:szCs w:val="24"/>
        </w:rPr>
        <w:t xml:space="preserve">: organic fraction of municipal solid waste; OLR: organic loading rate; P: biomethane potential; </w:t>
      </w:r>
      <w:r w:rsidRPr="00C40114">
        <w:rPr>
          <w:szCs w:val="24"/>
        </w:rPr>
        <w:t>PI</w:t>
      </w:r>
      <w:r w:rsidRPr="008A2C5C">
        <w:rPr>
          <w:szCs w:val="24"/>
        </w:rPr>
        <w:t xml:space="preserve">: prediction interval; </w:t>
      </w:r>
      <w:r w:rsidRPr="008A2C5C">
        <w:t>R</w:t>
      </w:r>
      <w:r w:rsidRPr="008A2C5C">
        <w:rPr>
          <w:vertAlign w:val="subscript"/>
        </w:rPr>
        <w:t>max</w:t>
      </w:r>
      <w:r w:rsidRPr="008A2C5C">
        <w:t>: methane production rate;</w:t>
      </w:r>
      <w:r w:rsidRPr="008A2C5C">
        <w:rPr>
          <w:szCs w:val="24"/>
        </w:rPr>
        <w:t xml:space="preserve"> </w:t>
      </w:r>
      <w:r w:rsidRPr="00C40114">
        <w:rPr>
          <w:szCs w:val="24"/>
        </w:rPr>
        <w:t>S: sludge</w:t>
      </w:r>
      <w:r w:rsidRPr="008A2C5C">
        <w:rPr>
          <w:szCs w:val="24"/>
        </w:rPr>
        <w:t xml:space="preserve">; </w:t>
      </w:r>
      <w:r w:rsidRPr="00C40114">
        <w:rPr>
          <w:szCs w:val="24"/>
        </w:rPr>
        <w:t>SA</w:t>
      </w:r>
      <w:r w:rsidRPr="008A2C5C">
        <w:rPr>
          <w:szCs w:val="24"/>
        </w:rPr>
        <w:t xml:space="preserve">: specific surface area; </w:t>
      </w:r>
      <w:r w:rsidRPr="00C40114">
        <w:rPr>
          <w:szCs w:val="24"/>
        </w:rPr>
        <w:t>SD</w:t>
      </w:r>
      <w:r w:rsidRPr="008A2C5C">
        <w:rPr>
          <w:szCs w:val="24"/>
        </w:rPr>
        <w:t xml:space="preserve">: standard deviation; </w:t>
      </w:r>
      <w:r w:rsidRPr="00C40114">
        <w:rPr>
          <w:szCs w:val="24"/>
        </w:rPr>
        <w:t>SE</w:t>
      </w:r>
      <w:r w:rsidRPr="008A2C5C">
        <w:rPr>
          <w:szCs w:val="24"/>
        </w:rPr>
        <w:t xml:space="preserve">: standard error; </w:t>
      </w:r>
      <w:r w:rsidRPr="00C40114">
        <w:rPr>
          <w:szCs w:val="24"/>
        </w:rPr>
        <w:t>SMD</w:t>
      </w:r>
      <w:r w:rsidRPr="008A2C5C">
        <w:rPr>
          <w:szCs w:val="24"/>
        </w:rPr>
        <w:t xml:space="preserve">: standardized mean difference; SRT: sludge retention time; SS: suspended solids; TKN: total Kjeldahl nitrogen;  TP: total phosphorous; TS: total solids; </w:t>
      </w:r>
      <w:r w:rsidRPr="00C40114">
        <w:rPr>
          <w:szCs w:val="24"/>
        </w:rPr>
        <w:t>UM</w:t>
      </w:r>
      <w:r w:rsidRPr="008A2C5C">
        <w:rPr>
          <w:szCs w:val="24"/>
        </w:rPr>
        <w:t xml:space="preserve">: unit of measure; </w:t>
      </w:r>
      <w:r w:rsidRPr="00C40114">
        <w:rPr>
          <w:szCs w:val="24"/>
        </w:rPr>
        <w:t>VFA</w:t>
      </w:r>
      <w:r w:rsidRPr="008A2C5C">
        <w:rPr>
          <w:szCs w:val="24"/>
        </w:rPr>
        <w:t xml:space="preserve">: volatile fatty acids; </w:t>
      </w:r>
      <w:r w:rsidRPr="00C40114">
        <w:rPr>
          <w:szCs w:val="24"/>
        </w:rPr>
        <w:t>W</w:t>
      </w:r>
      <w:r w:rsidRPr="008A2C5C">
        <w:rPr>
          <w:szCs w:val="24"/>
        </w:rPr>
        <w:t xml:space="preserve">: wood; </w:t>
      </w:r>
      <w:r w:rsidRPr="00C40114">
        <w:rPr>
          <w:szCs w:val="24"/>
        </w:rPr>
        <w:t>VM</w:t>
      </w:r>
      <w:r w:rsidRPr="008A2C5C">
        <w:rPr>
          <w:szCs w:val="24"/>
        </w:rPr>
        <w:t xml:space="preserve">: volatile matter; </w:t>
      </w:r>
      <w:r w:rsidRPr="00C40114">
        <w:rPr>
          <w:szCs w:val="24"/>
        </w:rPr>
        <w:t>VS</w:t>
      </w:r>
      <w:r w:rsidRPr="008A2C5C">
        <w:rPr>
          <w:szCs w:val="24"/>
        </w:rPr>
        <w:t>: volatile solids.</w:t>
      </w:r>
    </w:p>
    <w:p w14:paraId="2E440A22" w14:textId="77777777" w:rsidR="00774395" w:rsidRDefault="00774395" w:rsidP="003E6316">
      <w:pPr>
        <w:snapToGrid w:val="0"/>
        <w:spacing w:after="0"/>
        <w:contextualSpacing w:val="0"/>
        <w:jc w:val="both"/>
        <w:rPr>
          <w:szCs w:val="24"/>
        </w:rPr>
      </w:pPr>
    </w:p>
    <w:p w14:paraId="058E638A" w14:textId="3FF67298" w:rsidR="00016C9F" w:rsidRPr="008719D4" w:rsidRDefault="00C92CB2" w:rsidP="00C92CB2">
      <w:pPr>
        <w:pStyle w:val="Titolo1"/>
        <w:rPr>
          <w:b/>
          <w:bCs/>
          <w:sz w:val="24"/>
          <w:szCs w:val="24"/>
        </w:rPr>
      </w:pPr>
      <w:r w:rsidRPr="008719D4">
        <w:rPr>
          <w:b/>
          <w:bCs/>
          <w:sz w:val="24"/>
          <w:szCs w:val="24"/>
        </w:rPr>
        <w:t xml:space="preserve">1. </w:t>
      </w:r>
      <w:r w:rsidR="00016C9F" w:rsidRPr="008719D4">
        <w:rPr>
          <w:b/>
          <w:bCs/>
          <w:sz w:val="24"/>
          <w:szCs w:val="24"/>
        </w:rPr>
        <w:t>Introduction</w:t>
      </w:r>
    </w:p>
    <w:p w14:paraId="36C51364" w14:textId="32E590DD" w:rsidR="00CB7D78" w:rsidRPr="00774395" w:rsidRDefault="00A67382" w:rsidP="008719D4">
      <w:pPr>
        <w:jc w:val="both"/>
      </w:pPr>
      <w:r w:rsidRPr="00774395">
        <w:t xml:space="preserve">Biochar </w:t>
      </w:r>
      <w:r w:rsidR="00AE34F1" w:rsidRPr="00774395">
        <w:t xml:space="preserve">(BC) </w:t>
      </w:r>
      <w:r w:rsidRPr="00774395">
        <w:t xml:space="preserve">is </w:t>
      </w:r>
      <w:r w:rsidR="00FA36E8" w:rsidRPr="00774395">
        <w:t>the</w:t>
      </w:r>
      <w:r w:rsidRPr="00774395">
        <w:t xml:space="preserve"> solid </w:t>
      </w:r>
      <w:r w:rsidR="00FA36E8" w:rsidRPr="00774395">
        <w:t xml:space="preserve">carbonaceous </w:t>
      </w:r>
      <w:r w:rsidR="009D3620" w:rsidRPr="00774395">
        <w:t>material</w:t>
      </w:r>
      <w:r w:rsidRPr="00774395">
        <w:t xml:space="preserve"> </w:t>
      </w:r>
      <w:r w:rsidR="00FA36E8" w:rsidRPr="00774395">
        <w:t xml:space="preserve">derived </w:t>
      </w:r>
      <w:r w:rsidRPr="00774395">
        <w:t xml:space="preserve">from </w:t>
      </w:r>
      <w:r w:rsidR="00FA36E8" w:rsidRPr="00774395">
        <w:t xml:space="preserve">the </w:t>
      </w:r>
      <w:r w:rsidRPr="00774395">
        <w:t xml:space="preserve">thermo-chemical treatment of biomass in </w:t>
      </w:r>
      <w:r w:rsidR="00DE45FF" w:rsidRPr="00774395">
        <w:t xml:space="preserve">absence or with limited air </w:t>
      </w:r>
      <w:r w:rsidR="009D3620" w:rsidRPr="00774395">
        <w:fldChar w:fldCharType="begin" w:fldLock="1"/>
      </w:r>
      <w:r w:rsidR="00BD3062" w:rsidRPr="00774395">
        <w:instrText>ADDIN CSL_CITATION {"citationItems":[{"id":"ITEM-1","itemData":{"author":[{"dropping-particle":"","family":"Lehmann","given":"Johannes","non-dropping-particle":"","parse-names":false,"suffix":""},{"dropping-particle":"","family":"Joseph","given":"Stephen","non-dropping-particle":"","parse-names":false,"suffix":""}],"edition":"2nd ed.","id":"ITEM-1","issued":{"date-parts":[["2015"]]},"publisher":"Routledge","title":"Biochar for environmental management: science, technology and implementation","type":"book"},"uris":["http://www.mendeley.com/documents/?uuid=cad90aba-cd37-4f9c-8e86-c4573664d2c3"]}],"mendeley":{"formattedCitation":"[1]","plainTextFormattedCitation":"[1]","previouslyFormattedCitation":"[1]"},"properties":{"noteIndex":0},"schema":"https://github.com/citation-style-language/schema/raw/master/csl-citation.json"}</w:instrText>
      </w:r>
      <w:r w:rsidR="009D3620" w:rsidRPr="00774395">
        <w:fldChar w:fldCharType="separate"/>
      </w:r>
      <w:r w:rsidR="00346492" w:rsidRPr="00774395">
        <w:rPr>
          <w:noProof/>
        </w:rPr>
        <w:t>[1]</w:t>
      </w:r>
      <w:r w:rsidR="009D3620" w:rsidRPr="00774395">
        <w:fldChar w:fldCharType="end"/>
      </w:r>
      <w:r w:rsidR="009D3620" w:rsidRPr="00774395">
        <w:t xml:space="preserve">. </w:t>
      </w:r>
      <w:r w:rsidR="00AE34F1" w:rsidRPr="00774395">
        <w:t xml:space="preserve">BC can be produced using a wide </w:t>
      </w:r>
      <w:r w:rsidR="008F6CCB" w:rsidRPr="00774395">
        <w:t>array</w:t>
      </w:r>
      <w:r w:rsidR="00AE34F1" w:rsidRPr="00774395">
        <w:t xml:space="preserve"> of feedstocks</w:t>
      </w:r>
      <w:r w:rsidR="00412703" w:rsidRPr="00774395">
        <w:t xml:space="preserve">, </w:t>
      </w:r>
      <w:r w:rsidR="00AE34F1" w:rsidRPr="00774395">
        <w:t>including wood,</w:t>
      </w:r>
      <w:r w:rsidR="009F626B" w:rsidRPr="00774395">
        <w:t xml:space="preserve"> herb</w:t>
      </w:r>
      <w:r w:rsidR="00412703" w:rsidRPr="00774395">
        <w:t>aceous crops</w:t>
      </w:r>
      <w:r w:rsidR="009F626B" w:rsidRPr="00774395">
        <w:t>,</w:t>
      </w:r>
      <w:r w:rsidR="00AE34F1" w:rsidRPr="00774395">
        <w:t xml:space="preserve"> agro-industrial residues, animal manure, </w:t>
      </w:r>
      <w:r w:rsidR="008719D4" w:rsidRPr="00774395">
        <w:t xml:space="preserve">and </w:t>
      </w:r>
      <w:r w:rsidR="00AE34F1" w:rsidRPr="00774395">
        <w:t>biosolids</w:t>
      </w:r>
      <w:r w:rsidR="00412703" w:rsidRPr="00774395">
        <w:t xml:space="preserve"> </w:t>
      </w:r>
      <w:r w:rsidR="00412703" w:rsidRPr="00774395">
        <w:fldChar w:fldCharType="begin" w:fldLock="1"/>
      </w:r>
      <w:r w:rsidR="004309DE" w:rsidRPr="00774395">
        <w:instrText>ADDIN CSL_CITATION {"citationItems":[{"id":"ITEM-1","itemData":{"DOI":"10.1016/j.jclepro.2019.01.106","ISSN":"09596526","abstract":"Biochar has been widely studied as a soil amendment to improve soil properties. When different feedstocks are used to produce biochar under different pyrolysis conditions, the resulting biochar would typically differ in physicochemical properties, which consequently impact the agricultural and environmental performance of biochar in its real-world applications. In this work, based on previously reported data from independent studies, different biochar properties were synthesized as a continuum of pyrolysis temperature and feedstock type. Despite the fact that other factors besides pyrolysis temperature and feedstock type might also impact biochar properties, given the same category of feedstock, many critical properties such as biochar yield, pH, cation exchange capacity, specific surface area, ash content, volatile matter content, and elemental composition have been found to well correlate with pyrolysis temperature, showing p-values smaller than 0.05. At the same time, through meta-analyses, the effects of pyrolysis temperature and feedstock type on the agricultural and environmental impacts of biochar, including nitrogen retention, nitrous oxide emission and crop production, have been evaluated. The study has demonstrated that quantitative approaches such as data syntheses and meta-analyses are potential for revealing predictive relationships that can link biochar production with its properties and performance in real-world applications.","author":[{"dropping-particle":"","family":"Li","given":"Simeng","non-dropping-particle":"","parse-names":false,"suffix":""},{"dropping-particle":"","family":"Harris","given":"Scott","non-dropping-particle":"","parse-names":false,"suffix":""},{"dropping-particle":"","family":"Anandhi","given":"Aavudai","non-dropping-particle":"","parse-names":false,"suffix":""},{"dropping-particle":"","family":"Chen","given":"Gang","non-dropping-particle":"","parse-names":false,"suffix":""}],"container-title":"Journal of Cleaner Production","id":"ITEM-1","issued":{"date-parts":[["2019","4","1"]]},"page":"890-902","publisher":"Elsevier Ltd","title":"Predicting biochar properties and functions based on feedstock and pyrolysis temperature: A review and data syntheses","type":"article-journal","volume":"215"},"uris":["http://www.mendeley.com/documents/?uuid=b0b66f44-6364-3d08-a10d-01778d1667ae"]},{"id":"ITEM-2","itemData":{"DOI":"10.1016/j.jclepro.2021.126645","ISSN":"0959-6526","abstract":"The biochar is a solid carbon-rich, porous material produced by the thermochemical conversion of a diverse range of biomass feedstocks under an inert atmosphere (i.e., in the absence of oxygen). We can produce the biochar at all likely scales, ranging from the industrial to the domestic level and even at individual farms, thus, the biochar industry is leading as a most appropriate at different socioeconomic settings. The possibility of sustainable biochar production practices and multi-functionality features make it a promising candidate to fulfill an increasing demand in the fields of soil amendment, agricultural sustainability, environmental protection, cutting-edge materials, and to achieve circular bioeconomy and mitigation of climate change. An available fraction of waste biomass (agroforestry waste, biomass crops, agricultural residues, mill residues, and animal manure, and many more) can be used efficiently in pyrolysis and converted into desired biochar materials, besides this alternative energy products, such as syngas, bio-oil, electricity generation, and process heat. This report emphasizes the fate of biomass composition, pyrolysis mechanisms, and applications of modern analytical and characterization techniques that are being adopted, applied, and standardized to improve understandings of molecular, structural, and surface properties characteristics of biochar. To achieve precisely designed biochar, there is a need to understand the latest advances in biochar materialization mechanisms and structure-application relationships to speed up their agronomic applications and to achieve a zero-waste dream. This report also summarizes a wide range of literature published on feedstocks, pyrolysis, and biochar and suggests several practical recommendations appropriate to implement and bring together specific details on the thermochemical conversion of biomass, desired biochar properties, organic and inorganic phases, and the significance to the agronomic applications.","author":[{"dropping-particle":"","family":"Ghodake","given":"Gajanan Sampatrao","non-dropping-particle":"","parse-names":false,"suffix":""},{"dropping-particle":"","family":"Shinde","given":"Surendra Krushna","non-dropping-particle":"","parse-names":false,"suffix":""},{"dropping-particle":"","family":"Kadam","given":"Avinash Ashok","non-dropping-particle":"","parse-names":false,"suffix":""},{"dropping-particle":"","family":"Saratale","given":"Rijuta Ganesh","non-dropping-particle":"","parse-names":false,"suffix":""},{"dropping-particle":"","family":"Saratale","given":"Ganesh Dattatraya","non-dropping-particle":"","parse-names":false,"suffix":""},{"dropping-particle":"","family":"Kumar","given":"Manu","non-dropping-particle":"","parse-names":false,"suffix":""},{"dropping-particle":"","family":"Palem","given":"Ramasubba Reddy","non-dropping-particle":"","parse-names":false,"suffix":""},{"dropping-particle":"","family":"AL-Shwaiman","given":"Hind A.","non-dropping-particle":"","parse-names":false,"suffix":""},{"dropping-particle":"","family":"Elgorban","given":"Abdallah M.","non-dropping-particle":"","parse-names":false,"suffix":""},{"dropping-particle":"","family":"Syed","given":"Asad","non-dropping-particle":"","parse-names":false,"suffix":""},{"dropping-particle":"","family":"Kim","given":"Dae Young","non-dropping-particle":"","parse-names":false,"suffix":""}],"container-title":"Journal of Cleaner Production","id":"ITEM-2","issued":{"date-parts":[["2021","5","15"]]},"page":"126645","publisher":"Elsevier","title":"Review on biomass feedstocks, pyrolysis mechanism and physicochemical properties of biochar: State-of-the-art framework to speed up vision of circular bioeconomy","type":"article-journal","volume":"297"},"uris":["http://www.mendeley.com/documents/?uuid=49424b1d-be2f-3b6f-a5a6-6c78ed5e149c"]}],"mendeley":{"formattedCitation":"[2,3]","plainTextFormattedCitation":"[2,3]","previouslyFormattedCitation":"[2,3]"},"properties":{"noteIndex":0},"schema":"https://github.com/citation-style-language/schema/raw/master/csl-citation.json"}</w:instrText>
      </w:r>
      <w:r w:rsidR="00412703" w:rsidRPr="00774395">
        <w:fldChar w:fldCharType="separate"/>
      </w:r>
      <w:r w:rsidR="00346492" w:rsidRPr="00774395">
        <w:rPr>
          <w:noProof/>
        </w:rPr>
        <w:t>[2,3]</w:t>
      </w:r>
      <w:r w:rsidR="00412703" w:rsidRPr="00774395">
        <w:fldChar w:fldCharType="end"/>
      </w:r>
      <w:r w:rsidR="00412703" w:rsidRPr="00774395">
        <w:t xml:space="preserve">, through </w:t>
      </w:r>
      <w:r w:rsidR="00BF1D3E" w:rsidRPr="00774395">
        <w:t xml:space="preserve">different technologies </w:t>
      </w:r>
      <w:r w:rsidR="00BF1D3E" w:rsidRPr="00774395">
        <w:lastRenderedPageBreak/>
        <w:t xml:space="preserve">(pyrolysis, </w:t>
      </w:r>
      <w:r w:rsidR="00E51DE6" w:rsidRPr="00774395">
        <w:t xml:space="preserve">hydro-thermal carbonization, </w:t>
      </w:r>
      <w:r w:rsidR="00BF1D3E" w:rsidRPr="00774395">
        <w:t>torrefaction, gasification</w:t>
      </w:r>
      <w:r w:rsidR="00FA36E8" w:rsidRPr="00774395">
        <w:t>, or partial combustion</w:t>
      </w:r>
      <w:r w:rsidR="00BF1D3E" w:rsidRPr="00774395">
        <w:t>)</w:t>
      </w:r>
      <w:r w:rsidR="00901CE5" w:rsidRPr="00774395">
        <w:t xml:space="preserve"> </w:t>
      </w:r>
      <w:r w:rsidR="00E51DE6" w:rsidRPr="00774395">
        <w:fldChar w:fldCharType="begin" w:fldLock="1"/>
      </w:r>
      <w:r w:rsidR="004309DE" w:rsidRPr="00774395">
        <w:instrText>ADDIN CSL_CITATION {"citationItems":[{"id":"ITEM-1","itemData":{"DOI":"10.1016/j.scitotenv.2020.137775","ISSN":"0048-9697","PMID":"32213399","abstract":"Biochar is a product of biomass thermochemical conversion. Its yield and quality vary significantly with the production technology and process parameters, which also affect its performance in agro and forestry systems. In this review, biochar production technologies including slow pyrolysis, fast pyrolysis, gasification, and torrefaction were compared. The yield of biochar was found to decrease with faster heating rate or more oxygen available. The benefits of biochar application to agro and forestry systems were discussed. Improvements in soil health, plant growth, carbon sequestration, and greenhouse gas mitigation are apparent in many cases, but opposite results do exist, indicating that the beneficial aspect of biochar are limited to particular conditions such as the type of biochar used, the rate of application, soil type, climate, and crop species. Limitations of current studies and future research needed on biochar are also discussed. Specifically, the relationships among biochar production technologies, biochar properties, and biochar performance in agro and forestry systems must be better understood.","author":[{"dropping-particle":"","family":"Wang","given":"Duo","non-dropping-particle":"","parse-names":false,"suffix":""},{"dropping-particle":"","family":"Jiang","given":"Peikun","non-dropping-particle":"","parse-names":false,"suffix":""},{"dropping-particle":"","family":"Zhang","given":"Haibo","non-dropping-particle":"","parse-names":false,"suffix":""},{"dropping-particle":"","family":"Yuan","given":"Wenqiao","non-dropping-particle":"","parse-names":false,"suffix":""}],"container-title":"Science of The Total Environment","id":"ITEM-1","issued":{"date-parts":[["2020","6","25"]]},"page":"137775","publisher":"Elsevier","title":"Biochar production and applications in agro and forestry systems: A review","type":"article-journal","volume":"723"},"uris":["http://www.mendeley.com/documents/?uuid=45fcea1a-e71a-3c3b-ba4a-cff41cd0a097"]},{"id":"ITEM-2","itemData":{"DOI":"10.1016/j.rser.2017.05.057","ISSN":"1364-0321","abstract":"Pyrolysis is one of the most promising technologies for the conversion of biomass into high-value products such as bio-oil, syngas, and biochar in the absence of oxygen. High yield biochar can be produced through torrefaction or slow pyrolysis. The efficiency of biochar production from biomass is highly dependent on the pyrolysis temperature, heating rate, type and composition of feedstock, particle size, and reactor conditions. Application of biochar to agriculture may have a significant effect on reducing global warming through the reduction of greenhouse gas (GHG) emissions and the sequestering of atmospheric carbon into soil. At the same time, biochar can help improve soil health and fertility, and enhance agricultural production. Livestock manure, along with waste-feed residues and bedding materials, is a potential source of biochar. This waste emits significant amounts of GHGs adding to global warming and threatening the environment in other ways. The environmental challenges caused by agricultural and animal-waste disposal can be reduced by recycling the waste using pyrolysis, into biochar, energy, and value-added products. Biochar can act as a sorbent for organic and inorganic contaminants and can efficiently remove these materials from affected waters. Contaminant removal is mainly based on the presence of functional groups and charges on the surface of the biochar. Thus, biochar can help to improve food security by contributing to sustainable production systems and maintaining an eco-friendly environment. This review details the principles and concepts involved in biochar production, the factors that affect biochar quality, as well as the applications of biochar.","author":[{"dropping-particle":"","family":"Qambrani","given":"Naveed Ahmed","non-dropping-particle":"","parse-names":false,"suffix":""},{"dropping-particle":"","family":"Rahman","given":"Md Mukhlesur","non-dropping-particle":"","parse-names":false,"suffix":""},{"dropping-particle":"","family":"Won","given":"Seunggun","non-dropping-particle":"","parse-names":false,"suffix":""},{"dropping-particle":"","family":"Shim","given":"Soomin","non-dropping-particle":"","parse-names":false,"suffix":""},{"dropping-particle":"","family":"Ra","given":"Changsix","non-dropping-particle":"","parse-names":false,"suffix":""}],"container-title":"Renewable and Sustainable Energy Reviews","id":"ITEM-2","issued":{"date-parts":[["2017","11","1"]]},"page":"255-273","title":"Biochar properties and eco-friendly applications for climate change mitigation, waste management, and wastewater treatment: A review","type":"article-journal","volume":"79"},"uris":["http://www.mendeley.com/documents/?uuid=3b85dcc4-5224-3d6a-81b7-b0d5cc3cd57a"]}],"mendeley":{"formattedCitation":"[4,5]","plainTextFormattedCitation":"[4,5]","previouslyFormattedCitation":"[4,5]"},"properties":{"noteIndex":0},"schema":"https://github.com/citation-style-language/schema/raw/master/csl-citation.json"}</w:instrText>
      </w:r>
      <w:r w:rsidR="00E51DE6" w:rsidRPr="00774395">
        <w:fldChar w:fldCharType="separate"/>
      </w:r>
      <w:r w:rsidR="00346492" w:rsidRPr="00774395">
        <w:rPr>
          <w:noProof/>
        </w:rPr>
        <w:t>[4,5]</w:t>
      </w:r>
      <w:r w:rsidR="00E51DE6" w:rsidRPr="00774395">
        <w:fldChar w:fldCharType="end"/>
      </w:r>
      <w:r w:rsidR="00901CE5" w:rsidRPr="00774395">
        <w:t>.</w:t>
      </w:r>
      <w:r w:rsidR="00412703" w:rsidRPr="00774395">
        <w:t xml:space="preserve"> </w:t>
      </w:r>
      <w:r w:rsidR="008719D4" w:rsidRPr="00774395">
        <w:t>B</w:t>
      </w:r>
      <w:r w:rsidR="00CB7D78" w:rsidRPr="00774395">
        <w:t>y controlling biomass feedstock</w:t>
      </w:r>
      <w:r w:rsidR="00C44AAB" w:rsidRPr="00774395">
        <w:t xml:space="preserve">, </w:t>
      </w:r>
      <w:r w:rsidR="00CB7D78" w:rsidRPr="00774395">
        <w:t>thermo-chemical operating conditions</w:t>
      </w:r>
      <w:r w:rsidR="00B84DD7" w:rsidRPr="00774395">
        <w:t>,</w:t>
      </w:r>
      <w:r w:rsidR="00C44AAB" w:rsidRPr="00774395">
        <w:t xml:space="preserve"> and </w:t>
      </w:r>
      <w:r w:rsidR="00B328ED" w:rsidRPr="00774395">
        <w:t xml:space="preserve">further </w:t>
      </w:r>
      <w:r w:rsidR="008719D4" w:rsidRPr="00774395">
        <w:t>activation</w:t>
      </w:r>
      <w:r w:rsidR="00C44AAB" w:rsidRPr="00774395">
        <w:t xml:space="preserve">, </w:t>
      </w:r>
      <w:r w:rsidR="00B84DD7" w:rsidRPr="00774395">
        <w:t>BC can be produced with a wide-range of physi</w:t>
      </w:r>
      <w:r w:rsidR="00216A35" w:rsidRPr="00774395">
        <w:t>c</w:t>
      </w:r>
      <w:r w:rsidR="00B84DD7" w:rsidRPr="00774395">
        <w:t>o-chemical features</w:t>
      </w:r>
      <w:r w:rsidR="00C44AAB" w:rsidRPr="00774395">
        <w:t xml:space="preserve"> </w:t>
      </w:r>
      <w:r w:rsidR="005C13E1" w:rsidRPr="00774395">
        <w:fldChar w:fldCharType="begin" w:fldLock="1"/>
      </w:r>
      <w:r w:rsidR="004309DE" w:rsidRPr="00774395">
        <w:instrText>ADDIN CSL_CITATION {"citationItems":[{"id":"ITEM-1","itemData":{"DOI":"10.1016/j.fuel.2017.12.054","ISSN":"0016-2361","abstract":"Biochar can be used in a large number of applications, ranging from heat and power production to soil amendment. The properties of carbonized biomass depend on the feedstock and the process conditions. Selection of suitable conditions to produce a char with the desired properties therefore requires knowledge of dependencies and influencing factors, both quantitatively and qualitatively. This paper reviews and summarizes the results from a large number of experiments on biochar production in order to give a general overview of the properties that can be achieved by feedstock selection and process design. Production processes include both torrefaction as well as slow pyrolysis at high temperatures. The data evaluation has shown that among all process conditions, the treatment temperature has by far the most dominant influence on all properties. Especially the rather narrow temperature range between 200 and 400 °C causes the most significant changes and is therefore very sensible to influences and possibly difficult to control.","author":[{"dropping-particle":"","family":"Weber","given":"Kathrin","non-dropping-particle":"","parse-names":false,"suffix":""},{"dropping-particle":"","family":"Quicker","given":"Peter","non-dropping-particle":"","parse-names":false,"suffix":""}],"container-title":"Fuel","id":"ITEM-1","issued":{"date-parts":[["2018","4","1"]]},"page":"240-261","publisher":"Elsevier","title":"Properties of biochar","type":"article-journal","volume":"217"},"uris":["http://www.mendeley.com/documents/?uuid=ee71f853-4d63-302b-a51c-5db0be933434"]},{"id":"ITEM-2","itemData":{"DOI":"10.1016/j.rser.2017.05.057","ISSN":"1364-0321","abstract":"Pyrolysis is one of the most promising technologies for the conversion of biomass into high-value products such as bio-oil, syngas, and biochar in the absence of oxygen. High yield biochar can be produced through torrefaction or slow pyrolysis. The efficiency of biochar production from biomass is highly dependent on the pyrolysis temperature, heating rate, type and composition of feedstock, particle size, and reactor conditions. Application of biochar to agriculture may have a significant effect on reducing global warming through the reduction of greenhouse gas (GHG) emissions and the sequestering of atmospheric carbon into soil. At the same time, biochar can help improve soil health and fertility, and enhance agricultural production. Livestock manure, along with waste-feed residues and bedding materials, is a potential source of biochar. This waste emits significant amounts of GHGs adding to global warming and threatening the environment in other ways. The environmental challenges caused by agricultural and animal-waste disposal can be reduced by recycling the waste using pyrolysis, into biochar, energy, and value-added products. Biochar can act as a sorbent for organic and inorganic contaminants and can efficiently remove these materials from affected waters. Contaminant removal is mainly based on the presence of functional groups and charges on the surface of the biochar. Thus, biochar can help to improve food security by contributing to sustainable production systems and maintaining an eco-friendly environment. This review details the principles and concepts involved in biochar production, the factors that affect biochar quality, as well as the applications of biochar.","author":[{"dropping-particle":"","family":"Qambrani","given":"Naveed Ahmed","non-dropping-particle":"","parse-names":false,"suffix":""},{"dropping-particle":"","family":"Rahman","given":"Md Mukhlesur","non-dropping-particle":"","parse-names":false,"suffix":""},{"dropping-particle":"","family":"Won","given":"Seunggun","non-dropping-particle":"","parse-names":false,"suffix":""},{"dropping-particle":"","family":"Shim","given":"Soomin","non-dropping-particle":"","parse-names":false,"suffix":""},{"dropping-particle":"","family":"Ra","given":"Changsix","non-dropping-particle":"","parse-names":false,"suffix":""}],"container-title":"Renewable and Sustainable Energy Reviews","id":"ITEM-2","issued":{"date-parts":[["2017","11","1"]]},"page":"255-273","title":"Biochar properties and eco-friendly applications for climate change mitigation, waste management, and wastewater treatment: A review","type":"article-journal","volume":"79"},"uris":["http://www.mendeley.com/documents/?uuid=3b85dcc4-5224-3d6a-81b7-b0d5cc3cd57a"]}],"mendeley":{"formattedCitation":"[5,6]","plainTextFormattedCitation":"[5,6]","previouslyFormattedCitation":"[5,6]"},"properties":{"noteIndex":0},"schema":"https://github.com/citation-style-language/schema/raw/master/csl-citation.json"}</w:instrText>
      </w:r>
      <w:r w:rsidR="005C13E1" w:rsidRPr="00774395">
        <w:fldChar w:fldCharType="separate"/>
      </w:r>
      <w:r w:rsidR="00346492" w:rsidRPr="00774395">
        <w:rPr>
          <w:noProof/>
        </w:rPr>
        <w:t>[5,6]</w:t>
      </w:r>
      <w:r w:rsidR="005C13E1" w:rsidRPr="00774395">
        <w:fldChar w:fldCharType="end"/>
      </w:r>
      <w:r w:rsidR="00B51DB4" w:rsidRPr="00774395">
        <w:t xml:space="preserve"> and</w:t>
      </w:r>
      <w:r w:rsidR="00B84DD7" w:rsidRPr="00774395">
        <w:t xml:space="preserve"> tailor-made for specific applications</w:t>
      </w:r>
      <w:r w:rsidR="005E389C" w:rsidRPr="00774395">
        <w:t xml:space="preserve">. </w:t>
      </w:r>
      <w:r w:rsidR="008719D4" w:rsidRPr="00774395">
        <w:t>I</w:t>
      </w:r>
      <w:r w:rsidR="000B70CF" w:rsidRPr="00774395">
        <w:t>nitially</w:t>
      </w:r>
      <w:r w:rsidR="008719D4" w:rsidRPr="00774395">
        <w:t>,</w:t>
      </w:r>
      <w:r w:rsidR="000B70CF" w:rsidRPr="00774395">
        <w:t xml:space="preserve"> a strong interest </w:t>
      </w:r>
      <w:r w:rsidR="002B54BD" w:rsidRPr="00774395">
        <w:t>about</w:t>
      </w:r>
      <w:r w:rsidR="000B70CF" w:rsidRPr="00774395">
        <w:t xml:space="preserve"> BC </w:t>
      </w:r>
      <w:r w:rsidR="00812B8D" w:rsidRPr="00774395">
        <w:t xml:space="preserve">was focused on its </w:t>
      </w:r>
      <w:r w:rsidR="00FA36E8" w:rsidRPr="00774395">
        <w:t xml:space="preserve">agronomical </w:t>
      </w:r>
      <w:r w:rsidR="000B70CF" w:rsidRPr="00774395">
        <w:t>application</w:t>
      </w:r>
      <w:r w:rsidR="008719D4" w:rsidRPr="00774395">
        <w:t>,</w:t>
      </w:r>
      <w:r w:rsidR="000B70CF" w:rsidRPr="00774395">
        <w:t xml:space="preserve"> </w:t>
      </w:r>
      <w:r w:rsidR="00812B8D" w:rsidRPr="00774395">
        <w:t>due to</w:t>
      </w:r>
      <w:r w:rsidR="000B70CF" w:rsidRPr="00774395">
        <w:t xml:space="preserve"> its </w:t>
      </w:r>
      <w:r w:rsidR="00FA36E8" w:rsidRPr="00774395">
        <w:t xml:space="preserve">potential benefits on soil quality coupled with the </w:t>
      </w:r>
      <w:r w:rsidR="000B70CF" w:rsidRPr="00774395">
        <w:t>significant effect</w:t>
      </w:r>
      <w:r w:rsidR="00812B8D" w:rsidRPr="00774395">
        <w:t>s</w:t>
      </w:r>
      <w:r w:rsidR="000B70CF" w:rsidRPr="00774395">
        <w:t xml:space="preserve"> on</w:t>
      </w:r>
      <w:r w:rsidR="008719D4" w:rsidRPr="00774395">
        <w:t xml:space="preserve"> the reduction of</w:t>
      </w:r>
      <w:r w:rsidR="000B70CF" w:rsidRPr="00774395">
        <w:t xml:space="preserve"> </w:t>
      </w:r>
      <w:r w:rsidR="008719D4" w:rsidRPr="00774395">
        <w:t>greenhouse gases (GHG) emissions</w:t>
      </w:r>
      <w:r w:rsidR="000B70CF" w:rsidRPr="00774395">
        <w:t xml:space="preserve"> through carbon sequestration</w:t>
      </w:r>
      <w:r w:rsidR="008719D4" w:rsidRPr="00774395">
        <w:t>.</w:t>
      </w:r>
      <w:r w:rsidR="002B54BD" w:rsidRPr="00774395">
        <w:t xml:space="preserve"> </w:t>
      </w:r>
      <w:r w:rsidR="008719D4" w:rsidRPr="00774395">
        <w:t>R</w:t>
      </w:r>
      <w:r w:rsidR="00812B8D" w:rsidRPr="00774395">
        <w:t>ecently</w:t>
      </w:r>
      <w:r w:rsidR="008719D4" w:rsidRPr="00774395">
        <w:t>,</w:t>
      </w:r>
      <w:r w:rsidR="00812B8D" w:rsidRPr="00774395">
        <w:t xml:space="preserve"> </w:t>
      </w:r>
      <w:r w:rsidR="005B62D7" w:rsidRPr="00774395">
        <w:t>other</w:t>
      </w:r>
      <w:r w:rsidR="00563B73" w:rsidRPr="00774395">
        <w:t xml:space="preserve"> </w:t>
      </w:r>
      <w:r w:rsidR="008719D4" w:rsidRPr="00774395">
        <w:t xml:space="preserve">BC </w:t>
      </w:r>
      <w:r w:rsidR="006E281E" w:rsidRPr="00774395">
        <w:t xml:space="preserve">applications have been </w:t>
      </w:r>
      <w:r w:rsidR="00812B8D" w:rsidRPr="00774395">
        <w:t>proposed</w:t>
      </w:r>
      <w:r w:rsidR="008F6CCB" w:rsidRPr="00774395">
        <w:t xml:space="preserve"> </w:t>
      </w:r>
      <w:r w:rsidR="008F6CCB" w:rsidRPr="00774395">
        <w:fldChar w:fldCharType="begin" w:fldLock="1"/>
      </w:r>
      <w:r w:rsidR="00842C53" w:rsidRPr="00774395">
        <w:instrText>ADDIN CSL_CITATION {"citationItems":[{"id":"ITEM-1","itemData":{"DOI":"10.1007/s12649-015-9459-z","ISSN":"1877-2641","author":[{"dropping-particle":"","family":"Nanda","given":"Sonil","non-dropping-particle":"","parse-names":false,"suffix":""},{"dropping-particle":"","family":"Dalai","given":"Ajay K.","non-dropping-particle":"","parse-names":false,"suffix":""},{"dropping-particle":"","family":"Berruti","given":"Franco","non-dropping-particle":"","parse-names":false,"suffix":""},{"dropping-particle":"","family":"Kozinski","given":"Janusz A.","non-dropping-particle":"","parse-names":false,"suffix":""}],"container-title":"Waste and Biomass Valorization","id":"ITEM-1","issued":{"date-parts":[["2016","4","19"]]},"page":"201-235","publisher":"Springer","title":"Biochar as an exceptional bioresource for energy, agronomy, carbon sequestration, activated carbon and specialty materials","type":"article-journal","volume":"7"},"uris":["http://www.mendeley.com/documents/?uuid=fb816b1c-90bd-3e55-b8e0-e842a7b8b9f3"]},{"id":"ITEM-2","itemData":{"DOI":"10.1016/j.energy.2019.01.035","ISSN":"03605442","abstract":"Recently, there is an upsurge interest of using biomass derived char products in various fields, in order to address some of the most urgent energy and environmental problems we are facing today, such as CO2 emission, energy crisis and environmental pollution. In this review paper, most recent studies on biochar/hydrochar production, characterization and prospective utilizations are summarized. Fundamentals and reaction mechanisms of biochar/hydrochar formations are discussed in detail. The energy balance and economic flexibility of biochar production technology is also analysed. The effects of reaction temperature, feedstock types, and thermochemical conversion modes on biochar are compared. In addition, we highlighted benefits and potential challenges in promoting biochar application in energy and environmental fields, including the applications in adsorbents, precursor of catalysts, soil amendment, anaerobic digestion and composting, and electrochemical energy storage materials. This paper not only summarises recent advances in engineered biochar technology but also demonstrates insights on new directions for biochar research and development in the future.","author":[{"dropping-particle":"","family":"Zhang","given":"Zhikun","non-dropping-particle":"","parse-names":false,"suffix":""},{"dropping-particle":"","family":"Zhu","given":"Zongyuan","non-dropping-particle":"","parse-names":false,"suffix":""},{"dropping-particle":"","family":"Shen","given":"Boxiong","non-dropping-particle":"","parse-names":false,"suffix":""},{"dropping-particle":"","family":"Liu","given":"Lina","non-dropping-particle":"","parse-names":false,"suffix":""}],"container-title":"Energy","id":"ITEM-2","issued":{"date-parts":[["2019","3","15"]]},"page":"581-598","publisher":"Elsevier Ltd","title":"Insights into biochar and hydrochar production and applications: A review","type":"article","volume":"171"},"uris":["http://www.mendeley.com/documents/?uuid=8882a8e6-0d91-3a30-8a89-be7ce39f71b6"]},{"id":"ITEM-3","itemData":{"DOI":"10.3390/ma13020261","ISSN":"1996-1944","abstract":"Biochar is the solid residue that is recovered after the thermal cracking of biomasses in an oxygen-free atmosphere. Biochar has been used for many years as a soil amendment and in general soil applications. Nonetheless, biochar is far more than a mere soil amendment. In this review, we report all the non-soil applications of biochar including environmental remediation, energy storage, composites, and catalyst production. We provide a general overview of the recent uses of biochar in material science, thus presenting this cheap and waste-derived material as a high value-added and carbonaceous source.","author":[{"dropping-particle":"","family":"Bartoli","given":"Mattia","non-dropping-particle":"","parse-names":false,"suffix":""},{"dropping-particle":"","family":"Giorcelli","given":"Mauro","non-dropping-particle":"","parse-names":false,"suffix":""},{"dropping-particle":"","family":"Jagdale","given":"Pravin","non-dropping-particle":"","parse-names":false,"suffix":""},{"dropping-particle":"","family":"Rovere","given":"Massimo","non-dropping-particle":"","parse-names":false,"suffix":""},{"dropping-particle":"","family":"Tagliaferro","given":"Alberto","non-dropping-particle":"","parse-names":false,"suffix":""}],"container-title":"Materials","id":"ITEM-3","issue":"2","issued":{"date-parts":[["2020","1","7"]]},"page":"261","publisher":"MDPI","title":"A review of non-soil biochar applications","type":"article-journal","volume":"13"},"uris":["http://www.mendeley.com/documents/?uuid=c50c769d-cca6-3737-8abe-fb1833949da5"]}],"mendeley":{"formattedCitation":"[7–9]","plainTextFormattedCitation":"[7–9]","previouslyFormattedCitation":"[7–9]"},"properties":{"noteIndex":0},"schema":"https://github.com/citation-style-language/schema/raw/master/csl-citation.json"}</w:instrText>
      </w:r>
      <w:r w:rsidR="008F6CCB" w:rsidRPr="00774395">
        <w:fldChar w:fldCharType="separate"/>
      </w:r>
      <w:r w:rsidR="008F6CCB" w:rsidRPr="00774395">
        <w:rPr>
          <w:noProof/>
        </w:rPr>
        <w:t>[7–9]</w:t>
      </w:r>
      <w:r w:rsidR="008F6CCB" w:rsidRPr="00774395">
        <w:fldChar w:fldCharType="end"/>
      </w:r>
      <w:r w:rsidR="008F6CCB" w:rsidRPr="00774395">
        <w:t xml:space="preserve">, as </w:t>
      </w:r>
      <w:r w:rsidR="00093489" w:rsidRPr="00774395">
        <w:t xml:space="preserve">adsorbent for </w:t>
      </w:r>
      <w:r w:rsidR="006E281E" w:rsidRPr="00774395">
        <w:t>contaminants</w:t>
      </w:r>
      <w:r w:rsidR="00093489" w:rsidRPr="00774395">
        <w:t xml:space="preserve"> </w:t>
      </w:r>
      <w:r w:rsidR="0027166F" w:rsidRPr="00774395">
        <w:t>in</w:t>
      </w:r>
      <w:r w:rsidR="00093489" w:rsidRPr="00774395">
        <w:t xml:space="preserve"> soil</w:t>
      </w:r>
      <w:r w:rsidR="006D3922" w:rsidRPr="00774395">
        <w:t xml:space="preserve">, </w:t>
      </w:r>
      <w:r w:rsidR="00093489" w:rsidRPr="00774395">
        <w:t>water</w:t>
      </w:r>
      <w:r w:rsidR="004C061E" w:rsidRPr="00774395">
        <w:t>,</w:t>
      </w:r>
      <w:r w:rsidR="00093489" w:rsidRPr="00774395">
        <w:t xml:space="preserve"> </w:t>
      </w:r>
      <w:r w:rsidR="006D3922" w:rsidRPr="00774395">
        <w:t>and gaseous streams</w:t>
      </w:r>
      <w:r w:rsidR="0027166F" w:rsidRPr="00774395">
        <w:t xml:space="preserve">, </w:t>
      </w:r>
      <w:r w:rsidR="00093489" w:rsidRPr="00774395">
        <w:t xml:space="preserve">precursor for </w:t>
      </w:r>
      <w:r w:rsidR="00320372" w:rsidRPr="00774395">
        <w:t>BC</w:t>
      </w:r>
      <w:r w:rsidR="0027166F" w:rsidRPr="00774395">
        <w:t xml:space="preserve">-based </w:t>
      </w:r>
      <w:r w:rsidR="000F52C9" w:rsidRPr="00774395">
        <w:t>materials</w:t>
      </w:r>
      <w:r w:rsidR="00FB3840" w:rsidRPr="00774395">
        <w:t xml:space="preserve"> or for</w:t>
      </w:r>
      <w:r w:rsidR="00093489" w:rsidRPr="00774395">
        <w:t xml:space="preserve"> energy storage</w:t>
      </w:r>
      <w:r w:rsidR="0027166F" w:rsidRPr="00774395">
        <w:t xml:space="preserve"> applications</w:t>
      </w:r>
      <w:r w:rsidR="00093489" w:rsidRPr="00774395">
        <w:t xml:space="preserve">, </w:t>
      </w:r>
      <w:r w:rsidR="006D3922" w:rsidRPr="00774395">
        <w:t xml:space="preserve">and </w:t>
      </w:r>
      <w:r w:rsidR="00093489" w:rsidRPr="00774395">
        <w:t xml:space="preserve">additive for anaerobic digestion (AD) or composting. </w:t>
      </w:r>
    </w:p>
    <w:p w14:paraId="2E25D614" w14:textId="239097CF" w:rsidR="00047904" w:rsidRPr="00774395" w:rsidRDefault="00783814" w:rsidP="00BB3751">
      <w:pPr>
        <w:jc w:val="both"/>
      </w:pPr>
      <w:r w:rsidRPr="00774395">
        <w:t>I</w:t>
      </w:r>
      <w:r w:rsidR="00A312AD" w:rsidRPr="00774395">
        <w:t>n recent years</w:t>
      </w:r>
      <w:r w:rsidRPr="00774395">
        <w:t>,</w:t>
      </w:r>
      <w:r w:rsidR="00A312AD" w:rsidRPr="00774395">
        <w:t xml:space="preserve"> the production of renewable </w:t>
      </w:r>
      <w:r w:rsidRPr="00774395">
        <w:t xml:space="preserve">energy, including </w:t>
      </w:r>
      <w:r w:rsidR="00A312AD" w:rsidRPr="00774395">
        <w:t>bioenergy from waste biomass</w:t>
      </w:r>
      <w:r w:rsidRPr="00774395">
        <w:t>,</w:t>
      </w:r>
      <w:r w:rsidR="00A312AD" w:rsidRPr="00774395">
        <w:t xml:space="preserve"> has </w:t>
      </w:r>
      <w:r w:rsidR="00BB39D0" w:rsidRPr="00774395">
        <w:t xml:space="preserve">increased considerably </w:t>
      </w:r>
      <w:r w:rsidR="008F6CCB" w:rsidRPr="00774395">
        <w:t>to</w:t>
      </w:r>
      <w:r w:rsidR="00BB39D0" w:rsidRPr="00774395">
        <w:t xml:space="preserve"> reduce </w:t>
      </w:r>
      <w:r w:rsidR="00BB3751" w:rsidRPr="00774395">
        <w:t>GHG</w:t>
      </w:r>
      <w:r w:rsidR="00BB39D0" w:rsidRPr="00774395">
        <w:t xml:space="preserve"> emissions from fossil fuels.</w:t>
      </w:r>
      <w:r w:rsidR="00EB090E" w:rsidRPr="00774395">
        <w:t xml:space="preserve"> </w:t>
      </w:r>
      <w:r w:rsidR="00CC7DC7" w:rsidRPr="00774395">
        <w:t>AD</w:t>
      </w:r>
      <w:r w:rsidR="006F2CC2" w:rsidRPr="00774395">
        <w:t xml:space="preserve"> </w:t>
      </w:r>
      <w:r w:rsidR="000B011F" w:rsidRPr="00774395">
        <w:t>c</w:t>
      </w:r>
      <w:r w:rsidR="00DD0862" w:rsidRPr="00774395">
        <w:t>ould</w:t>
      </w:r>
      <w:r w:rsidR="006F2CC2" w:rsidRPr="00774395">
        <w:t xml:space="preserve"> reduce </w:t>
      </w:r>
      <w:r w:rsidR="000B011F" w:rsidRPr="00774395">
        <w:t xml:space="preserve">the </w:t>
      </w:r>
      <w:r w:rsidR="006F2CC2" w:rsidRPr="00774395">
        <w:t>global GH</w:t>
      </w:r>
      <w:r w:rsidR="000B011F" w:rsidRPr="00774395">
        <w:t>G</w:t>
      </w:r>
      <w:r w:rsidR="006F2CC2" w:rsidRPr="00774395">
        <w:t xml:space="preserve"> emissions by </w:t>
      </w:r>
      <w:r w:rsidR="000B011F" w:rsidRPr="00774395">
        <w:t>3</w:t>
      </w:r>
      <w:r w:rsidR="005A10EA" w:rsidRPr="00774395">
        <w:t>.</w:t>
      </w:r>
      <w:r w:rsidR="000B011F" w:rsidRPr="00774395">
        <w:t>29 to 4</w:t>
      </w:r>
      <w:r w:rsidR="005A10EA" w:rsidRPr="00774395">
        <w:t>.</w:t>
      </w:r>
      <w:r w:rsidR="000B011F" w:rsidRPr="00774395">
        <w:t xml:space="preserve">36 </w:t>
      </w:r>
      <w:r w:rsidR="005A10EA" w:rsidRPr="00774395">
        <w:t>G</w:t>
      </w:r>
      <w:r w:rsidR="000B011F" w:rsidRPr="00774395">
        <w:t>t CO</w:t>
      </w:r>
      <w:r w:rsidR="000B011F" w:rsidRPr="00774395">
        <w:rPr>
          <w:vertAlign w:val="subscript"/>
        </w:rPr>
        <w:t>2</w:t>
      </w:r>
      <w:r w:rsidR="000B011F" w:rsidRPr="00774395">
        <w:t xml:space="preserve"> eq.</w:t>
      </w:r>
      <w:r w:rsidR="00307E3E" w:rsidRPr="00774395">
        <w:t xml:space="preserve"> </w:t>
      </w:r>
      <w:r w:rsidR="00307E3E" w:rsidRPr="00774395">
        <w:fldChar w:fldCharType="begin" w:fldLock="1"/>
      </w:r>
      <w:r w:rsidR="00463A98" w:rsidRPr="00774395">
        <w:instrText>ADDIN CSL_CITATION {"citationItems":[{"id":"ITEM-1","itemData":{"URL":"https://www.worldbiogasassociation.org/global-potential-of-biogas/","accessed":{"date-parts":[["2021","11","10"]]},"author":[{"dropping-particle":"","family":"World Biogas Association","given":"","non-dropping-particle":"","parse-names":false,"suffix":""}],"id":"ITEM-1","issued":{"date-parts":[["2019"]]},"title":"Global potential of biogas","type":"webpage"},"uris":["http://www.mendeley.com/documents/?uuid=89a523dc-88eb-3665-8973-0befacfaa685"]}],"mendeley":{"formattedCitation":"[10]","plainTextFormattedCitation":"[10]","previouslyFormattedCitation":"[10]"},"properties":{"noteIndex":0},"schema":"https://github.com/citation-style-language/schema/raw/master/csl-citation.json"}</w:instrText>
      </w:r>
      <w:r w:rsidR="00307E3E" w:rsidRPr="00774395">
        <w:fldChar w:fldCharType="separate"/>
      </w:r>
      <w:r w:rsidR="00307E3E" w:rsidRPr="00774395">
        <w:rPr>
          <w:noProof/>
        </w:rPr>
        <w:t>[10]</w:t>
      </w:r>
      <w:r w:rsidR="00307E3E" w:rsidRPr="00774395">
        <w:fldChar w:fldCharType="end"/>
      </w:r>
      <w:r w:rsidR="000B011F" w:rsidRPr="00774395">
        <w:t xml:space="preserve">, representing the </w:t>
      </w:r>
      <w:r w:rsidR="00836E1B" w:rsidRPr="00774395">
        <w:t>7-9</w:t>
      </w:r>
      <w:r w:rsidR="000B011F" w:rsidRPr="00774395">
        <w:t>% of the world’s current GHG emissions</w:t>
      </w:r>
      <w:r w:rsidR="00836E1B" w:rsidRPr="00774395">
        <w:t xml:space="preserve"> </w:t>
      </w:r>
      <w:r w:rsidR="00BB3751" w:rsidRPr="00774395">
        <w:t>(</w:t>
      </w:r>
      <w:r w:rsidR="00A90022" w:rsidRPr="00774395">
        <w:t xml:space="preserve">equal to </w:t>
      </w:r>
      <w:r w:rsidR="005A10EA" w:rsidRPr="00774395">
        <w:t>a</w:t>
      </w:r>
      <w:r w:rsidR="00A90022" w:rsidRPr="00774395">
        <w:t>b</w:t>
      </w:r>
      <w:r w:rsidR="005A10EA" w:rsidRPr="00774395">
        <w:t>ou</w:t>
      </w:r>
      <w:r w:rsidR="00A90022" w:rsidRPr="00774395">
        <w:t>t</w:t>
      </w:r>
      <w:r w:rsidR="005A10EA" w:rsidRPr="00774395">
        <w:t xml:space="preserve"> 50 Gt CO</w:t>
      </w:r>
      <w:r w:rsidR="005A10EA" w:rsidRPr="00774395">
        <w:rPr>
          <w:vertAlign w:val="subscript"/>
        </w:rPr>
        <w:t>2</w:t>
      </w:r>
      <w:r w:rsidR="005A10EA" w:rsidRPr="00774395">
        <w:t xml:space="preserve"> e</w:t>
      </w:r>
      <w:r w:rsidR="00A90022" w:rsidRPr="00774395">
        <w:t>q</w:t>
      </w:r>
      <w:r w:rsidR="00BB3751" w:rsidRPr="00774395">
        <w:t xml:space="preserve">) </w:t>
      </w:r>
      <w:r w:rsidR="00A90022" w:rsidRPr="00774395">
        <w:fldChar w:fldCharType="begin" w:fldLock="1"/>
      </w:r>
      <w:r w:rsidR="0077698A" w:rsidRPr="00774395">
        <w:instrText>ADDIN CSL_CITATION {"citationItems":[{"id":"ITEM-1","itemData":{"URL":"https://ourworldindata.org/greenhouse-gas-emissions#annual-greenhouse-gas-emissions-how-much-do-we-emit-each-year","accessed":{"date-parts":[["2022","1","10"]]},"author":[{"dropping-particle":"","family":"Ritchie","given":"Hannah","non-dropping-particle":"","parse-names":false,"suffix":""},{"dropping-particle":"","family":"Roser","given":"Max","non-dropping-particle":"","parse-names":false,"suffix":""}],"id":"ITEM-1","issued":{"date-parts":[["2020"]]},"title":"CO₂ and Greenhouse Gas Emissions. Published online at OurWorldInData.org.","type":"webpage"},"uris":["http://www.mendeley.com/documents/?uuid=95eeab31-723a-3dc5-bfc2-a219ab88c85d"]}],"mendeley":{"formattedCitation":"[11]","plainTextFormattedCitation":"[11]","previouslyFormattedCitation":"[11]"},"properties":{"noteIndex":0},"schema":"https://github.com/citation-style-language/schema/raw/master/csl-citation.json"}</w:instrText>
      </w:r>
      <w:r w:rsidR="00A90022" w:rsidRPr="00774395">
        <w:fldChar w:fldCharType="separate"/>
      </w:r>
      <w:r w:rsidR="00A90022" w:rsidRPr="00774395">
        <w:rPr>
          <w:noProof/>
        </w:rPr>
        <w:t>[11]</w:t>
      </w:r>
      <w:r w:rsidR="00A90022" w:rsidRPr="00774395">
        <w:fldChar w:fldCharType="end"/>
      </w:r>
      <w:r w:rsidR="000B011F" w:rsidRPr="00774395">
        <w:t xml:space="preserve">. </w:t>
      </w:r>
      <w:r w:rsidR="00EB090E" w:rsidRPr="00774395">
        <w:t xml:space="preserve">AD is </w:t>
      </w:r>
      <w:r w:rsidR="002B0E11" w:rsidRPr="00774395">
        <w:t>a biological process</w:t>
      </w:r>
      <w:r w:rsidR="00EB090E" w:rsidRPr="00774395">
        <w:t xml:space="preserve"> used to </w:t>
      </w:r>
      <w:r w:rsidR="00E33387" w:rsidRPr="00774395">
        <w:t xml:space="preserve">convert </w:t>
      </w:r>
      <w:r w:rsidR="00550A83" w:rsidRPr="00774395">
        <w:t>organic wastes</w:t>
      </w:r>
      <w:r w:rsidR="00E33387" w:rsidRPr="00774395">
        <w:t xml:space="preserve"> </w:t>
      </w:r>
      <w:r w:rsidR="00EE4CD7" w:rsidRPr="00774395">
        <w:t xml:space="preserve">and wastewater </w:t>
      </w:r>
      <w:r w:rsidR="00883405" w:rsidRPr="00774395">
        <w:t xml:space="preserve">in absence of oxygen </w:t>
      </w:r>
      <w:r w:rsidR="00E33387" w:rsidRPr="00774395">
        <w:t>to biogas</w:t>
      </w:r>
      <w:r w:rsidR="00657903" w:rsidRPr="00774395">
        <w:t xml:space="preserve"> and digestate</w:t>
      </w:r>
      <w:r w:rsidR="00E33387" w:rsidRPr="00774395">
        <w:t xml:space="preserve">. </w:t>
      </w:r>
      <w:r w:rsidR="009A1BE5" w:rsidRPr="00774395">
        <w:t xml:space="preserve">Biogas, mainly </w:t>
      </w:r>
      <w:r w:rsidR="001D09F4" w:rsidRPr="00774395">
        <w:t>form</w:t>
      </w:r>
      <w:r w:rsidR="009A1BE5" w:rsidRPr="00774395">
        <w:t>ed by CH</w:t>
      </w:r>
      <w:r w:rsidR="009A1BE5" w:rsidRPr="00774395">
        <w:rPr>
          <w:vertAlign w:val="subscript"/>
        </w:rPr>
        <w:t>4</w:t>
      </w:r>
      <w:r w:rsidR="009A1BE5" w:rsidRPr="00774395">
        <w:t xml:space="preserve"> and CO</w:t>
      </w:r>
      <w:r w:rsidR="009A1BE5" w:rsidRPr="00774395">
        <w:rPr>
          <w:vertAlign w:val="subscript"/>
        </w:rPr>
        <w:t>2</w:t>
      </w:r>
      <w:r w:rsidR="009A1BE5" w:rsidRPr="00774395">
        <w:t xml:space="preserve">, can be burnt in </w:t>
      </w:r>
      <w:r w:rsidR="001D09F4" w:rsidRPr="00774395">
        <w:t xml:space="preserve">cogeneration units </w:t>
      </w:r>
      <w:r w:rsidR="00720930" w:rsidRPr="00774395">
        <w:t>to produce</w:t>
      </w:r>
      <w:r w:rsidR="001D09F4" w:rsidRPr="00774395">
        <w:t xml:space="preserve"> heat and electricity </w:t>
      </w:r>
      <w:r w:rsidR="009A1BE5" w:rsidRPr="00774395">
        <w:t xml:space="preserve">or upgraded to </w:t>
      </w:r>
      <w:r w:rsidR="00BB3751" w:rsidRPr="00774395">
        <w:t>r</w:t>
      </w:r>
      <w:r w:rsidR="00657903" w:rsidRPr="00774395">
        <w:t xml:space="preserve">enewable </w:t>
      </w:r>
      <w:r w:rsidR="00BB3751" w:rsidRPr="00774395">
        <w:t>n</w:t>
      </w:r>
      <w:r w:rsidR="00657903" w:rsidRPr="00774395">
        <w:t xml:space="preserve">atural </w:t>
      </w:r>
      <w:r w:rsidR="00BB3751" w:rsidRPr="00774395">
        <w:t>g</w:t>
      </w:r>
      <w:r w:rsidR="00657903" w:rsidRPr="00774395">
        <w:t>as</w:t>
      </w:r>
      <w:r w:rsidR="001D09F4" w:rsidRPr="00774395">
        <w:t xml:space="preserve">. </w:t>
      </w:r>
      <w:r w:rsidR="00CE4ED3" w:rsidRPr="00774395">
        <w:t xml:space="preserve">Digestate can be </w:t>
      </w:r>
      <w:r w:rsidR="00556F8E" w:rsidRPr="00774395">
        <w:t>recycled</w:t>
      </w:r>
      <w:r w:rsidR="00CE4ED3" w:rsidRPr="00774395">
        <w:t xml:space="preserve"> </w:t>
      </w:r>
      <w:r w:rsidR="00556F8E" w:rsidRPr="00774395">
        <w:t xml:space="preserve">into value-added products as bio-fertilizer, solid biofuel, </w:t>
      </w:r>
      <w:r w:rsidR="00FB3840" w:rsidRPr="00774395">
        <w:t>or</w:t>
      </w:r>
      <w:r w:rsidR="00556F8E" w:rsidRPr="00774395">
        <w:t xml:space="preserve"> carbon-based materials </w:t>
      </w:r>
      <w:r w:rsidR="00556F8E" w:rsidRPr="00774395">
        <w:fldChar w:fldCharType="begin" w:fldLock="1"/>
      </w:r>
      <w:r w:rsidR="00463A98" w:rsidRPr="00774395">
        <w:instrText>ADDIN CSL_CITATION {"citationItems":[{"id":"ITEM-1","itemData":{"DOI":"10.1016/j.biortech.2021.125915","ISSN":"0960-8524","PMID":"34523582","abstract":"Anaerobic digestion (AD) is a widely used technology to valorise food waste for biogas production yet a considerable amount of digestate remains under-utilised. Sustainable management and recycling of the nutrient-rich food waste anaerobic digestate (FWD) is highly desirable for closing resource loop and actualising circular economy. This work reviews the distinct properties of FWD and the existing treatment technologies. FWD shows great prospects as a nutrient source for microalgal cultivation and biofuel production. Emerging technologies such as thermal conversion (e.g., pyrolysis and hydrothermal treatment) of FWD into value-added products such as functionalised biochar/hydrochar with diverse applications would be attractive and warrant further research investigation. Integrated AD with subsequent valorisation facilities is highly encouraged to achieve complete utilisation of resources and reduce carbon emissions.","author":[{"dropping-particle":"","family":"Dutta","given":"Shanta","non-dropping-particle":"","parse-names":false,"suffix":""},{"dropping-particle":"","family":"He","given":"Mingjing","non-dropping-particle":"","parse-names":false,"suffix":""},{"dropping-particle":"","family":"Xiong","given":"Xinni","non-dropping-particle":"","parse-names":false,"suffix":""},{"dropping-particle":"","family":"Tsang","given":"Daniel C.W.","non-dropping-particle":"","parse-names":false,"suffix":""}],"container-title":"Bioresource Technology","id":"ITEM-1","issued":{"date-parts":[["2021","12","1"]]},"page":"125915","publisher":"Elsevier","title":"Sustainable management and recycling of food waste anaerobic digestate: A review","type":"article-journal","volume":"341"},"uris":["http://www.mendeley.com/documents/?uuid=1ed52faa-fe53-338f-be56-69c31665dc0f"]}],"mendeley":{"formattedCitation":"[12]","plainTextFormattedCitation":"[12]","previouslyFormattedCitation":"[12]"},"properties":{"noteIndex":0},"schema":"https://github.com/citation-style-language/schema/raw/master/csl-citation.json"}</w:instrText>
      </w:r>
      <w:r w:rsidR="00556F8E" w:rsidRPr="00774395">
        <w:fldChar w:fldCharType="separate"/>
      </w:r>
      <w:r w:rsidR="00A90022" w:rsidRPr="00774395">
        <w:rPr>
          <w:noProof/>
        </w:rPr>
        <w:t>[12]</w:t>
      </w:r>
      <w:r w:rsidR="00556F8E" w:rsidRPr="00774395">
        <w:fldChar w:fldCharType="end"/>
      </w:r>
      <w:r w:rsidR="00556F8E" w:rsidRPr="00774395">
        <w:t xml:space="preserve">. </w:t>
      </w:r>
      <w:r w:rsidR="00883405" w:rsidRPr="00774395">
        <w:t xml:space="preserve">Despite AD is a mature technology some critical issues </w:t>
      </w:r>
      <w:r w:rsidR="00213C91" w:rsidRPr="00774395">
        <w:t>persist</w:t>
      </w:r>
      <w:r w:rsidR="00BB3751" w:rsidRPr="00774395">
        <w:t xml:space="preserve">; </w:t>
      </w:r>
      <w:r w:rsidR="00313110" w:rsidRPr="00774395">
        <w:t>p</w:t>
      </w:r>
      <w:r w:rsidR="00115AF1" w:rsidRPr="00774395">
        <w:t xml:space="preserve">rocess instabilities </w:t>
      </w:r>
      <w:r w:rsidR="00742CF3" w:rsidRPr="00774395">
        <w:t>due to</w:t>
      </w:r>
      <w:r w:rsidR="00BB480C" w:rsidRPr="00774395">
        <w:t xml:space="preserve"> volatile fatty acids (VFAs) accumulation may occur in case</w:t>
      </w:r>
      <w:r w:rsidR="00115AF1" w:rsidRPr="00774395">
        <w:t xml:space="preserve"> </w:t>
      </w:r>
      <w:r w:rsidR="00742CF3" w:rsidRPr="00774395">
        <w:t xml:space="preserve">of </w:t>
      </w:r>
      <w:r w:rsidR="00115AF1" w:rsidRPr="00774395">
        <w:t>high organic loads of easily degradable biomass</w:t>
      </w:r>
      <w:r w:rsidR="00CC7DC7" w:rsidRPr="00774395">
        <w:t xml:space="preserve"> </w:t>
      </w:r>
      <w:r w:rsidR="00DC2363" w:rsidRPr="00774395">
        <w:fldChar w:fldCharType="begin" w:fldLock="1"/>
      </w:r>
      <w:r w:rsidR="00B80B14" w:rsidRPr="00774395">
        <w:instrText>ADDIN CSL_CITATION {"citationItems":[{"id":"ITEM-1","itemData":{"DOI":"10.1016/j.biortech.2017.09.020","ISSN":"0960-8524","PMID":"28965912","abstract":"The disposal of large amounts of food waste has caused significant environmental pollution and financial costs globally. Compared with traditional disposal methods (i.e., landfilling, incineration, and composting), anaerobic digestion (AD) is a promising technology for food waste management, but has not yet been fully applied due to a few technical and social challenges. This paper summarizes the quantity, composition, and methane potential of various types of food waste. Recent research on different strategies to enhance AD of food waste, including co-digestion, addition of micronutrients, control of foaming, and process design, is discussed. It is envisaged that AD of food waste could be combined with an existing AD facility or be integrated with the production of value-added products to reduce costs and increase revenue. Further understanding of the fundamental biological and physicochemical processes in AD is required to improve the technology.","author":[{"dropping-particle":"","family":"Xu","given":"Fuqing","non-dropping-particle":"","parse-names":false,"suffix":""},{"dropping-particle":"","family":"Li","given":"Yebo Yangyang","non-dropping-particle":"","parse-names":false,"suffix":""},{"dropping-particle":"","family":"Ge","given":"Xumeng","non-dropping-particle":"","parse-names":false,"suffix":""},{"dropping-particle":"","family":"Yang","given":"Liangcheng","non-dropping-particle":"","parse-names":false,"suffix":""},{"dropping-particle":"","family":"Li","given":"Yebo Yangyang","non-dropping-particle":"","parse-names":false,"suffix":""}],"container-title":"Bioresource Technology","id":"ITEM-1","issued":{"date-parts":[["2018","1","1"]]},"page":"1047-1058","publisher":"Elsevier","title":"Anaerobic digestion of food waste – Challenges and opportunities","type":"article-journal","volume":"247"},"uris":["http://www.mendeley.com/documents/?uuid=b0c88405-1928-46af-b205-35d745437182"]}],"mendeley":{"formattedCitation":"[13]","plainTextFormattedCitation":"[13]","previouslyFormattedCitation":"[13]"},"properties":{"noteIndex":0},"schema":"https://github.com/citation-style-language/schema/raw/master/csl-citation.json"}</w:instrText>
      </w:r>
      <w:r w:rsidR="00DC2363" w:rsidRPr="00774395">
        <w:fldChar w:fldCharType="separate"/>
      </w:r>
      <w:r w:rsidR="00A90022" w:rsidRPr="00774395">
        <w:rPr>
          <w:noProof/>
        </w:rPr>
        <w:t>[13]</w:t>
      </w:r>
      <w:r w:rsidR="00DC2363" w:rsidRPr="00774395">
        <w:fldChar w:fldCharType="end"/>
      </w:r>
      <w:r w:rsidR="00742CF3" w:rsidRPr="00774395">
        <w:t>.</w:t>
      </w:r>
      <w:r w:rsidR="00115AF1" w:rsidRPr="00774395">
        <w:t xml:space="preserve"> </w:t>
      </w:r>
      <w:r w:rsidR="007115D6" w:rsidRPr="00774395">
        <w:t xml:space="preserve">Other issues include low biogas yield due to a slow hydrolysis of recalcitrant substrates </w:t>
      </w:r>
      <w:r w:rsidR="007115D6" w:rsidRPr="00774395">
        <w:fldChar w:fldCharType="begin" w:fldLock="1"/>
      </w:r>
      <w:r w:rsidR="00B80B14" w:rsidRPr="00774395">
        <w:instrText>ADDIN CSL_CITATION {"citationItems":[{"id":"ITEM-1","itemData":{"DOI":"10.1016/j.fuel.2020.119105","ISSN":"00162361","abstract":"Anaerobic digestion (AD) of sewage sludge is one of the most efficient, effective, and environmentally sustainable remediation techniques; however, the presence of complex floc structures, hard cell walls, and large amounts of molecular organic matter in the sludge hinder AD hydrolysis. Consequently, sewage sludge pretreatment is a prerequisite to accelerate hydrolysis and improve AD efficiency. This review focuses on pretreatment techniques for improving sewage sludge AD, which include mechanical, chemical, thermal, and biological processes. The various pretreatment process effects are discussed in terms of advantages and disadvantages, including their effectiveness, and recent achievements are reviewed for improved biogas production.","author":[{"dropping-particle":"","family":"Khanh Nguyen","given":"V.","non-dropping-particle":"","parse-names":false,"suffix":""},{"dropping-particle":"","family":"Kumar Chaudhary","given":"Dhiraj","non-dropping-particle":"","parse-names":false,"suffix":""},{"dropping-particle":"","family":"Hari Dahal","given":"Ram","non-dropping-particle":"","parse-names":false,"suffix":""},{"dropping-particle":"","family":"Hoang Trinh","given":"N.","non-dropping-particle":"","parse-names":false,"suffix":""},{"dropping-particle":"","family":"Kim","given":"Jaisoo","non-dropping-particle":"","parse-names":false,"suffix":""},{"dropping-particle":"","family":"Chang","given":"S. Woong","non-dropping-particle":"","parse-names":false,"suffix":""},{"dropping-particle":"","family":"Hong","given":"Yongseok","non-dropping-particle":"","parse-names":false,"suffix":""},{"dropping-particle":"","family":"Duc La","given":"Duong","non-dropping-particle":"","parse-names":false,"suffix":""},{"dropping-particle":"","family":"Nguyen","given":"X. Cuong","non-dropping-particle":"","parse-names":false,"suffix":""},{"dropping-particle":"","family":"Hao Ngo","given":"H.","non-dropping-particle":"","parse-names":false,"suffix":""},{"dropping-particle":"","family":"Chung","given":"W. Jin","non-dropping-particle":"","parse-names":false,"suffix":""},{"dropping-particle":"","family":"Nguyen","given":"D. Duc","non-dropping-particle":"","parse-names":false,"suffix":""}],"container-title":"Fuel","id":"ITEM-1","issued":{"date-parts":[["2021","2","1"]]},"page":"119105","publisher":"Elsevier","title":"Review on pretreatment techniques to improve anaerobic digestion of sewage sludge","type":"article-journal","volume":"285"},"uris":["http://www.mendeley.com/documents/?uuid=33555fd5-12e2-3cba-9ed3-5c5f28d28ab1"]},{"id":"ITEM-2","itemData":{"DOI":"10.1016/j.resconrec.2017.12.005","ISSN":"18790658","abstract":"Global annual production of lignocellulosic biomass including undervalued agricultural residues and greenhouse biomass is about 181.5 billion tonnes. This undervalued biomass has a high potential to produce biogas in anaerobic digestion (AD). Among the various pre-treatment methods, hydrothermal (HT) pre-treatment of lignocellulosic biomass is a promising approach to increase biogas production in AD. However, the high carbon to nitrogen ratio (C/N) of lignocellulosic biomass is reported to be the major limiting factor for a higher biogas yield. Hence, the synergistic integration of low C/N ratio biomass with high C/N ratio lignocellulosic biomass in an AD system appears to be a logical option to enhance biogas yield. High moisture lignocellulosic biomass HT pretreatment and biogas production in AD have the potential for renewable energy production with limited use of process energy. However, hydrothermal process temperature, AD substrate C/N ratio and its inhibitory elements are important parameters for optimum biogas production. Greenhouse biomass pretreatment in hydrothermal process can produce biochar, biogas and biofertilizer, which can be used as input heat and nutrient source for greenhouses. Finally, the operation of greenhouse in this system can manage zero waste and reduce greenhouse gas (GHG) emissions and climate change.","author":[{"dropping-particle":"","family":"Paul","given":"Subhash","non-dropping-particle":"","parse-names":false,"suffix":""},{"dropping-particle":"","family":"Dutta","given":"Animesh","non-dropping-particle":"","parse-names":false,"suffix":""}],"container-title":"Resources, Conservation and Recycling","id":"ITEM-2","issued":{"date-parts":[["2018","3","1"]]},"page":"164-174","publisher":"Elsevier","title":"Challenges and opportunities of lignocellulosic biomass for anaerobic digestion","type":"article-journal","volume":"130"},"uris":["http://www.mendeley.com/documents/?uuid=28f3793f-f340-407a-a4df-fceabf62c0a1"]}],"mendeley":{"formattedCitation":"[14,15]","plainTextFormattedCitation":"[14,15]","previouslyFormattedCitation":"[14,15]"},"properties":{"noteIndex":0},"schema":"https://github.com/citation-style-language/schema/raw/master/csl-citation.json"}</w:instrText>
      </w:r>
      <w:r w:rsidR="007115D6" w:rsidRPr="00774395">
        <w:fldChar w:fldCharType="separate"/>
      </w:r>
      <w:r w:rsidR="00A90022" w:rsidRPr="00774395">
        <w:rPr>
          <w:noProof/>
        </w:rPr>
        <w:t>[14,15]</w:t>
      </w:r>
      <w:r w:rsidR="007115D6" w:rsidRPr="00774395">
        <w:fldChar w:fldCharType="end"/>
      </w:r>
      <w:r w:rsidR="007115D6" w:rsidRPr="00774395">
        <w:t xml:space="preserve">, </w:t>
      </w:r>
      <w:r w:rsidR="00605172" w:rsidRPr="00774395">
        <w:t xml:space="preserve">as well as </w:t>
      </w:r>
      <w:r w:rsidR="00EE1A0C" w:rsidRPr="00774395">
        <w:t>the presence of</w:t>
      </w:r>
      <w:r w:rsidR="00605172" w:rsidRPr="00774395">
        <w:t xml:space="preserve"> </w:t>
      </w:r>
      <w:r w:rsidR="00BB3751" w:rsidRPr="00774395">
        <w:t xml:space="preserve">AD </w:t>
      </w:r>
      <w:r w:rsidR="00605172" w:rsidRPr="00774395">
        <w:t xml:space="preserve">inhibitors </w:t>
      </w:r>
      <w:r w:rsidR="00EE1A0C" w:rsidRPr="00774395">
        <w:fldChar w:fldCharType="begin" w:fldLock="1"/>
      </w:r>
      <w:r w:rsidR="00B80B14" w:rsidRPr="00774395">
        <w:instrText>ADDIN CSL_CITATION {"citationItems":[{"id":"ITEM-1","itemData":{"DOI":"10.1016/j.biortech.2007.01.057","ISBN":"0960-8524 (Print)\\n0960-8524 (Linking)","ISSN":"09608524","PMID":"17399981","abstract":"Anaerobic digestion is an attractive waste treatment practice in which both pollution control and energy recovery can be achieved. Many agricultural and industrial wastes are ideal candidates for anaerobic digestion because they contain high levels of easily biodegradable materials. Problems such as low methane yield and process instability are often encountered in anaerobic digestion, preventing this technique from being widely applied. A wide variety of inhibitory substances are the primary cause of anaerobic digester upset or failure since they are present in substantial concentrations in wastes. Considerable research efforts have been made to identify the mechanism and the controlling factors of inhibition. This review provides a detailed summary of the research conducted on the inhibition of anaerobic processes. The inhibitors commonly present in anaerobic digesters include ammonia, sulfide, light metal ions, heavy metals, and organics. Due to the difference in anaerobic inocula, waste composition, and experimental methods and conditions, literature results on inhibition caused by specific toxicants vary widely. Co-digestion with other waste, adaptation of microorganisms to inhibitory substances, and incorporation of methods to remove or counteract toxicants before anaerobic digestion can significantly improve the waste treatment efficiency. © 2007 Elsevier Ltd. All rights reserved.","author":[{"dropping-particle":"","family":"Chen","given":"Ye","non-dropping-particle":"","parse-names":false,"suffix":""},{"dropping-particle":"","family":"Cheng","given":"Jay J.","non-dropping-particle":"","parse-names":false,"suffix":""},{"dropping-particle":"","family":"Creamer","given":"Kurt S.","non-dropping-particle":"","parse-names":false,"suffix":""}],"container-title":"Bioresource Technology","id":"ITEM-1","issue":"10","issued":{"date-parts":[["2008"]]},"page":"4044-4064","title":"Inhibition of anaerobic digestion process: A review","type":"article-journal","volume":"99"},"uris":["http://www.mendeley.com/documents/?uuid=59a79d94-6489-48fa-a6ad-2f146bfbe90a"]},{"id":"ITEM-2","itemData":{"DOI":"10.1016/j.biotechadv.2014.10.005","ISBN":"ISSN 0734-9750","PMID":"25457225","abstract":"Anaerobic digestion is increasingly being used to treat wastes from many sources because of its manifold advantages over aerobic treatment, e.g. low sludge production and low energy requirements. However, anaerobic digestion is sensitive to toxicants, and a wide range of compounds can inhibit the process and cause upset or failure. Substantial research has been carried out over the years to identify specific inhibitors/toxicants, and their mechanism of toxicity in anaerobic digestion. In this review we present a detailed and critical summary of research on the inhibition of anaerobic processes by specific organic toxicants (e.g., chlorophenols, halogenated aliphatics and long chain fatty acids), inorganic toxicants (e.g., ammonia, sulfide and heavy metals) and in particular, nanomaterials, focusing on the mechanism of their inhibition/toxicity. A better understanding of the fundamental mechanisms behind inhibition/toxicity will enhance the wider application of anaerobic digestion.","author":[{"dropping-particle":"","family":"Chen","given":"Jian Lin","non-dropping-particle":"","parse-names":false,"suffix":""},{"dropping-particle":"","family":"Ortiz","given":"Raphael","non-dropping-particle":"","parse-names":false,"suffix":""},{"dropping-particle":"","family":"Steele","given":"Terry W.J.","non-dropping-particle":"","parse-names":false,"suffix":""},{"dropping-particle":"","family":"Stuckey","given":"David C.","non-dropping-particle":"","parse-names":false,"suffix":""}],"container-title":"Biotechnology Advances","id":"ITEM-2","issue":"8","issued":{"date-parts":[["2014","12","1"]]},"page":"1523-1534","publisher":"Elsevier","title":"Toxicants inhibiting anaerobic digestion: A review","type":"article-journal","volume":"32"},"uris":["http://www.mendeley.com/documents/?uuid=7cac6f82-10b7-4faa-96d8-e378d5f73f00"]}],"mendeley":{"formattedCitation":"[16,17]","plainTextFormattedCitation":"[16,17]","previouslyFormattedCitation":"[16,17]"},"properties":{"noteIndex":0},"schema":"https://github.com/citation-style-language/schema/raw/master/csl-citation.json"}</w:instrText>
      </w:r>
      <w:r w:rsidR="00EE1A0C" w:rsidRPr="00774395">
        <w:fldChar w:fldCharType="separate"/>
      </w:r>
      <w:r w:rsidR="00A90022" w:rsidRPr="00774395">
        <w:rPr>
          <w:noProof/>
        </w:rPr>
        <w:t>[16,17]</w:t>
      </w:r>
      <w:r w:rsidR="00EE1A0C" w:rsidRPr="00774395">
        <w:fldChar w:fldCharType="end"/>
      </w:r>
      <w:r w:rsidR="00EE1A0C" w:rsidRPr="00774395">
        <w:t>.</w:t>
      </w:r>
    </w:p>
    <w:p w14:paraId="06FA33C3" w14:textId="3EC41640" w:rsidR="00E87425" w:rsidRPr="00774395" w:rsidRDefault="00657903" w:rsidP="00265A4E">
      <w:pPr>
        <w:jc w:val="both"/>
      </w:pPr>
      <w:r w:rsidRPr="00774395">
        <w:t>T</w:t>
      </w:r>
      <w:r w:rsidR="00A048A3" w:rsidRPr="00774395">
        <w:t>he application of BC as additive in AD process has</w:t>
      </w:r>
      <w:r w:rsidRPr="00774395">
        <w:t xml:space="preserve"> shown the potential of</w:t>
      </w:r>
      <w:r w:rsidR="00A048A3" w:rsidRPr="00774395">
        <w:t xml:space="preserve"> </w:t>
      </w:r>
      <w:r w:rsidR="00047904" w:rsidRPr="00774395">
        <w:t xml:space="preserve">enhancing </w:t>
      </w:r>
      <w:r w:rsidR="005A384E" w:rsidRPr="00774395">
        <w:t xml:space="preserve">and accelerating </w:t>
      </w:r>
      <w:r w:rsidR="00047904" w:rsidRPr="00774395">
        <w:t xml:space="preserve">methane production from different substrates </w:t>
      </w:r>
      <w:r w:rsidR="00047904" w:rsidRPr="00774395">
        <w:fldChar w:fldCharType="begin" w:fldLock="1"/>
      </w:r>
      <w:r w:rsidR="00753EF6" w:rsidRPr="00774395">
        <w:instrText>ADDIN CSL_CITATION {"citationItems":[{"id":"ITEM-1","itemData":{"DOI":"10.1016/j.rser.2020.110037","ISSN":"1364-0321","abstract":"Anaerobic digestion (AD) could be considered as a mature technology and nowadays it can still play a pivot role because of the urgent need to provide renewable energy sources and efficiently manage the continuously growing amount of organic waste. Biochar (BC) is an extremely versatile material, which could be produced by carbonization of organic materials, including biomass and wastes, consistently with Circular Economy principles, and “tailor-made” for specific applications. The potential BC role as additive in the control of the many well-known critical issues of AD processes has been increasingly explored over the past few years. However, a clear and comprehensive understanding of the connections between BC and AD is still missing. This review paper analyses and discusses significant references (review articles, research papers and international databases and reports), mostly published in the last 10 years. This review is aimed at addressing three key issues related to the better understanding of the BC role in AD processes: 1. Investigation of the influence of BC properties on AD performances and of their ability to counteract its main challenges; 2. Assessment of the optimal BC production chain (i.e. feedstock-pyrolysis-activation) to achieve the desired features; 3. Evaluation of the economic and environmental advantages connected to BC use in AD processes, compared to conventional solutions applied to address AD challenges.","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Reviews","id":"ITEM-1","issued":{"date-parts":[["2020","10","1"]]},"page":"110037","publisher":"Pergamon","title":"Review of biochar role as additive in anaerobic digestion processes","type":"article-journal","volume":"131"},"uris":["http://www.mendeley.com/documents/?uuid=c723083b-d34b-38ab-be81-44a38ae5279d"]}],"mendeley":{"formattedCitation":"[18]","plainTextFormattedCitation":"[18]","previouslyFormattedCitation":"[18]"},"properties":{"noteIndex":0},"schema":"https://github.com/citation-style-language/schema/raw/master/csl-citation.json"}</w:instrText>
      </w:r>
      <w:r w:rsidR="00047904" w:rsidRPr="00774395">
        <w:fldChar w:fldCharType="separate"/>
      </w:r>
      <w:r w:rsidR="00A90022" w:rsidRPr="00774395">
        <w:rPr>
          <w:noProof/>
        </w:rPr>
        <w:t>[18]</w:t>
      </w:r>
      <w:r w:rsidR="00047904" w:rsidRPr="00774395">
        <w:fldChar w:fldCharType="end"/>
      </w:r>
      <w:r w:rsidR="00047904" w:rsidRPr="00774395">
        <w:t xml:space="preserve">. </w:t>
      </w:r>
      <w:r w:rsidR="00C605F7" w:rsidRPr="00774395">
        <w:t xml:space="preserve">Several review studies </w:t>
      </w:r>
      <w:r w:rsidR="00CC7DC7" w:rsidRPr="00774395">
        <w:t>analysed</w:t>
      </w:r>
      <w:r w:rsidR="00C605F7" w:rsidRPr="00774395">
        <w:t xml:space="preserve"> </w:t>
      </w:r>
      <w:r w:rsidR="001C2076" w:rsidRPr="00774395">
        <w:t>the complex</w:t>
      </w:r>
      <w:r w:rsidR="00C605F7" w:rsidRPr="00774395">
        <w:t xml:space="preserve"> mechanisms of BC intervention in AD</w:t>
      </w:r>
      <w:r w:rsidR="00B85E75" w:rsidRPr="00774395">
        <w:t xml:space="preserve"> </w:t>
      </w:r>
      <w:r w:rsidR="00B32860" w:rsidRPr="00774395">
        <w:fldChar w:fldCharType="begin" w:fldLock="1"/>
      </w:r>
      <w:r w:rsidR="00101137" w:rsidRPr="00774395">
        <w:instrText>ADDIN CSL_CITATION {"citationItems":[{"id":"ITEM-1","itemData":{"DOI":"10.1016/j.wasman.2016.11.028","ISBN":"0956-053X","ISSN":"18792456","PMID":"27923546","abstract":"Biochar, like most other adsorbents, is a carbonaceous material, which is formed from the combustion of plant materials, in low-zero oxygen conditions and results in a material, which has the capacity to sorb chemicals onto its surfaces. Currently, research is being carried out to investigate the relevance of biochar in improving the soil ecosystem, digestate quality and most recently the anaerobic digestion process. Anaerobic digestion (AD) of organic substrates provides both a sustainable source of energy and a digestate with the potential to enhance plant growth and soil health. In order to ensure that these benefits are realised, the anaerobic digestion system must be optimized for process stability and high nutrient retention capacity in the digestate produced. Substrate-induced inhibition is a major issue, which can disrupt the stable functioning of the AD system reducing microbial breakdown of the organic waste and formation of methane, which in turn reduces energy output. Likewise, the spreading of digestate on land can often result in nutrient loss, surface runoff and leaching. This review will examine substrate inhibition and their impact on anaerobic digestion, nutrient leaching and their environmental implications, the properties and functionality of biochar material in counteracting these challenges.","author":[{"dropping-particle":"","family":"Fagbohungbe","given":"Michael O.","non-dropping-particle":"","parse-names":false,"suffix":""},{"dropping-particle":"","family":"Herbert","given":"Ben M.J.","non-dropping-particle":"","parse-names":false,"suffix":""},{"dropping-particle":"","family":"Hurst","given":"Lois","non-dropping-particle":"","parse-names":false,"suffix":""},{"dropping-particle":"","family":"Ibeto","given":"Cynthia N.","non-dropping-particle":"","parse-names":false,"suffix":""},{"dropping-particle":"","family":"Li","given":"Hong","non-dropping-particle":"","parse-names":false,"suffix":""},{"dropping-particle":"","family":"Usmani","given":"Shams Q.","non-dropping-particle":"","parse-names":false,"suffix":""},{"dropping-particle":"","family":"Semple","given":"Kirk T.","non-dropping-particle":"","parse-names":false,"suffix":""}],"container-title":"Waste Management","id":"ITEM-1","issued":{"date-parts":[["2017"]]},"page":"236-249","publisher":"Elsevier Ltd","title":"The challenges of anaerobic digestion and the role of biochar in optimizing anaerobic digestion","type":"article-journal","volume":"61"},"uris":["http://www.mendeley.com/documents/?uuid=c6bbe996-7175-41dc-b035-fee1b16c6185"]},{"id":"ITEM-2","itemData":{"DOI":"10.1016/j.jece.2018.04.015","ISSN":"22133437","abstract":"In the recent years, special focus has been given to the issues related to the management of biomass conversion systems by-products. In the view of transforming those products, mostly treated today as wastes, in valuable products, different valorization pathways can be considered. As an example, considerable attention has been devoted to the potential use of carbon-rich materials such as soil amendments and for long term carbon storage. These materials, produced by biomass thermochemical conversion are known as biochars. Several processes, from pyrolysis to gasification and hydrothermal carbonization, are today available for biochar production although characterized by relatively high costs. To overcome this restraint, an option is represented by the achievement of further economic benefits by extending its value chain. Coupling thermochemical processes to Anaerobic Digestion is thus an emerging field of research aimed at expanding usable feedstock with biologically recalcitrant substrates, such as paper, woody materials etc. Biochar in fact may promote the biomethane production, by acting both as support for bacteria colonies, conductor for electron transfer among species, sorbent for indirect inhibitors, and reactant in biochars labile carbon methanization. Thus, system integration of biogas and biochar is promising taking advantage of several profitable synergies. The aim of the paper is to review biochar characteristics and study early applications so far demonstrated and carried out, for the use of biochar in the anaerobic digestion processes.","author":[{"dropping-particle":"","family":"Codignole Luz","given":"Fábio","non-dropping-particle":"","parse-names":false,"suffix":""},{"dropping-particle":"","family":"Cordiner","given":"Stefano","non-dropping-particle":"","parse-names":false,"suffix":""},{"dropping-particle":"","family":"Manni","given":"Alessandro","non-dropping-particle":"","parse-names":false,"suffix":""},{"dropping-particle":"","family":"Mulone","given":"Vincenzo","non-dropping-particle":"","parse-names":false,"suffix":""},{"dropping-particle":"","family":"Rocco","given":"Vittorio","non-dropping-particle":"","parse-names":false,"suffix":""}],"container-title":"Journal of Environmental Chemical Engineering","id":"ITEM-2","issue":"2","issued":{"date-parts":[["2018"]]},"page":"2892-2909","publisher":"Elsevier","title":"Biochar characteristics and early applications in anaerobic digestion-a review","type":"article-journal","volume":"6"},"uris":["http://www.mendeley.com/documents/?uuid=c0b66b00-7ef4-489a-a56e-a614405beb87"]},{"id":"ITEM-3","itemData":{"DOI":"10.1016/j.rser.2018.12.048","ISSN":"1364-0321","abstract":"Anaerobic digestion (AD) is an established organic waste management technology, producing biogas and organic fertiliser as end-products. Despite being an established technology, AD still faces key challenges, including process inefficiencies due to substrate-induced instability and product quality assurance; inability to digest highly lignocellulosic biomass without pre-treatment; and management of effluents and emissions. Commercial grade carbon-based materials have been employed as stabilising agent to improve process efficiency. Biochar, a by-product from biomass pyrolysis, has recently been identified as a sustainable alternative material to commercial grade carbon-based adsorbent used in AD. This review highlights the challenges with the AD process and the limitations of the various conventional approaches in its management. An exposition of the characteristics of biochar and the physico-chemical properties of biochar, that can simultaneously promote AD process stability, increase biomethane yield rate and the agronomic quality of digestate, are presented and discussed.","author":[{"dropping-particle":"","family":"Masebinu","given":"S.O.","non-dropping-particle":"","parse-names":false,"suffix":""},{"dropping-particle":"","family":"Akinlabi","given":"E.T.","non-dropping-particle":"","parse-names":false,"suffix":""},{"dropping-particle":"","family":"Muzenda","given":"E.","non-dropping-particle":"","parse-names":false,"suffix":""},{"dropping-particle":"","family":"Aboyade","given":"A.O.","non-dropping-particle":"","parse-names":false,"suffix":""}],"container-title":"Renewable and Sustainable Energy Reviews","id":"ITEM-3","issued":{"date-parts":[["2019","4","1"]]},"page":"291-307","publisher":"Elsevier","title":"A review of biochar properties and their roles in mitigating challenges with anaerobic digestion","type":"article-journal","volume":"103"},"uris":["http://www.mendeley.com/documents/?uuid=0d958a49-b794-3eae-b815-f221c7dc33f8"]},{"id":"ITEM-4","itemData":{"DOI":"10.1016/j.rser.2019.109373","ISSN":"1364-0321","abstract":"This work comprehensively reviewed the research progress of biochar application in enhancing anaerobic digestion (AD) proficiency. The biogas production and methane content improvement, AD buffering capacity enhancement, and ammonia and VFAs inhibition alleviation were thoroughly discussed. AD is a technology for treating biowastes with energy recovery via microbial communities. However, this process has some limitations, which are particularly noticeable in the AD of biomass which is prone to ammonia or acid accumulation. At the high ammonia nitrogen concentrations, biochar addition can improve the tolerance of AD system within a specific range. Likewise, at the high organic loading rate (OLR), biochar could effectively delay the time up to VFAs accumulation threshold. At the microbial level, biochar has been used to support cell immobilization and microbial growth in AD system. The substantial specific surface area (SSA) and porous structure of biochar favor the colonization of syntrophic acetogenic bacteria and methanogenic archaea, which facilitate the total organic carbon removal as well as the reaction rate in AD. As an electron conductor, biochar addition can stimulate direct interspecies electron transfer (DIET) between syntrophic acetogen and methanogen communities in AD process. On the surface of biochar, the released electrons from exoelectrogenic microorganisms are directly transferred to electron-capturing microorganisms, instead of exoelectrogenic microorganisms. Microorganisms like Geobacter sp. and Shewanella sp, are known to be capable of transporting electrons through a chain of cytochrome c toward extracellular electron acceptors. Furthermore, the role of biochar as a carrier material on microbial growth, breeding, and metabolism were discussed. Also, the interspecies electron transfer (IET) mechanism involved in the AD process with biochar as an electron carrier was reviewed. Eventually, the policy-oriented recommendations and the research methods of life cycle assessment (LCA) on biochar-mediated AD are proposed, which can be considered as the reference for AD development.","author":[{"dropping-particle":"","family":"Qiu","given":"L.","non-dropping-particle":"","parse-names":false,"suffix":""},{"dropping-particle":"","family":"Deng","given":"Y.F.","non-dropping-particle":"","parse-names":false,"suffix":""},{"dropping-particle":"","family":"Wang","given":"F.","non-dropping-particle":"","parse-names":false,"suffix":""},{"dropping-particle":"","family":"Davaritouchaee","given":"M.","non-dropping-particle":"","parse-names":false,"suffix":""},{"dropping-particle":"","family":"Yao","given":"Y.Q.","non-dropping-particle":"","parse-names":false,"suffix":""}],"container-title":"Renewable and Sustainable Energy Reviews","id":"ITEM-4","issued":{"date-parts":[["2019","11","1"]]},"page":"109373","title":"A review on biochar-mediated anaerobic digestion with enhanced methane recovery","type":"article-journal","volume":"115"},"uris":["http://www.mendeley.com/documents/?uuid=aee459a2-6f26-3a0d-926d-b6acb1066d28"]},{"id":"ITEM-5","itemData":{"DOI":"10.1016/j.biortech.2019.122058","abstract":"Anaerobic digestion (AD) and pyrolysis are two promising technologies used worldwide for waste biomass treatment. Interests on intensification techniques of AD has been increasing to obtain sufficient and sustainable methane production with stable digester performance. For instance, considerable attention has been devoted to the coupling of AD with biochar, which is produced by biomass thermochemical conversion. This manuscript presents a comprehensive review about recent achievements in enhancing AD efficiency with the utilization of biochar. The key roles of biochar include enhancing and equilibrating hydrolysis, acidogenesis-acetogenesis, and methanogenesis, as well as alleviating inhibitor stress were summarized. Biochar can promote biomethane process mainly by serving as a provision for bioelectrical connections between fermentative bacteria and me-thanogens, a support for microbial colonies, and a reinforcer for buffer capacity. Through an overview of the early applications, this paper aims to pinpoint the potential mechanism and future explorative directions of biochar enhancing AD performance.","author":[{"dropping-particle":"","family":"Pan","given":"Junting","non-dropping-particle":"","parse-names":false,"suffix":""},{"dropping-particle":"","family":"Ma","given":"Junyi","non-dropping-particle":"","parse-names":false,"suffix":""},{"dropping-particle":"","family":"Zhai","given":"Limei","non-dropping-particle":"","parse-names":false,"suffix":""},{"dropping-particle":"","family":"Luo","given":"Tao","non-dropping-particle":"","parse-names":false,"suffix":""},{"dropping-particle":"","family":"Mei","given":"Zili","non-dropping-particle":"","parse-names":false,"suffix":""},{"dropping-particle":"","family":"Liu","given":"Hongbin","non-dropping-particle":"","parse-names":false,"suffix":""}],"container-title":"Bioresource Technology","id":"ITEM-5","issued":{"date-parts":[["2019"]]},"page":"122058","title":"Achievements of biochar application for enhanced anaerobic digestion: A review","type":"article-journal","volume":"292"},"uris":["http://www.mendeley.com/documents/?uuid=e44edc5a-2c61-3915-aae9-6bba5184e611"]},{"id":"ITEM-6","itemData":{"DOI":"10.1016/j.rser.2020.110037","ISSN":"1364-0321","abstract":"Anaerobic digestion (AD) could be considered as a mature technology and nowadays it can still play a pivot role because of the urgent need to provide renewable energy sources and efficiently manage the continuously growing amount of organic waste. Biochar (BC) is an extremely versatile material, which could be produced by carbonization of organic materials, including biomass and wastes, consistently with Circular Economy principles, and “tailor-made” for specific applications. The potential BC role as additive in the control of the many well-known critical issues of AD processes has been increasingly explored over the past few years. However, a clear and comprehensive understanding of the connections between BC and AD is still missing. This review paper analyses and discusses significant references (review articles, research papers and international databases and reports), mostly published in the last 10 years. This review is aimed at addressing three key issues related to the better understanding of the BC role in AD processes: 1. Investigation of the influence of BC properties on AD performances and of their ability to counteract its main challenges; 2. Assessment of the optimal BC production chain (i.e. feedstock-pyrolysis-activation) to achieve the desired features; 3. Evaluation of the economic and environmental advantages connected to BC use in AD processes, compared to conventional solutions applied to address AD challenges.","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Reviews","id":"ITEM-6","issued":{"date-parts":[["2020","10","1"]]},"page":"110037","publisher":"Pergamon","title":"Review of biochar role as additive in anaerobic digestion processes","type":"article-journal","volume":"131"},"uris":["http://www.mendeley.com/documents/?uuid=c723083b-d34b-38ab-be81-44a38ae5279d"]},{"id":"ITEM-7","itemData":{"DOI":"10.1016/j.biortech.2021.125797","ISSN":"09608524","abstract":"Anaerobic digestion (AD) technology still faces some challenges including low methane productivity, instable operation efficiency and undesired refractory substances degradation. Biochar has recently been recognized as a promising alternative addition in AD process to enhance methane production. Based on VOSviewer analysis, this review presents a comprehensive summarizing of the applications, performances, and economies of biochar strategies in AD system. Firstly, typical production processes of biochar and its main characteristics including adsorption and immobilization ability, buffering ability and electron transfer ability were evaluated. Then, the applications of biochar in AD and its improving effects on biogas production/purification were summarized. Accordingly, the corresponding mechanisms of biochar addition in AD for digestion efficiency improvement were elucidated. Finally, the economic and environmental feasibilities of application biochar in AD, as well as prospective future studies were summarized. Through an overview of biochar in AD system, this paper aims to promote its widely practical applications.","author":[{"dropping-particle":"","family":"Zhao","given":"Weixin","non-dropping-particle":"","parse-names":false,"suffix":""},{"dropping-particle":"","family":"Yang","given":"Haizhou","non-dropping-particle":"","parse-names":false,"suffix":""},{"dropping-particle":"","family":"He","given":"Shufei","non-dropping-particle":"","parse-names":false,"suffix":""},{"dropping-particle":"","family":"Zhao","given":"Qingliang","non-dropping-particle":"","parse-names":false,"suffix":""},{"dropping-particle":"","family":"Wei","given":"Liangliang","non-dropping-particle":"","parse-names":false,"suffix":""}],"container-title":"Bioresource Technology","id":"ITEM-7","issue":"August","issued":{"date-parts":[["2021"]]},"page":"125797","publisher":"Elsevier Ltd","title":"A review of biochar in anaerobic digestion to improve biogas production: Performances, mechanisms and economic assessments","type":"article-journal","volume":"341"},"uris":["http://www.mendeley.com/documents/?uuid=3b81ab17-c0c8-4b3e-b0db-3b3c638850e0"]},{"id":"ITEM-8","itemData":{"DOI":"10.1016/j.rser.2021.110973","ISSN":"1364-0321","abstract":"Promoting the biomass industry in China would provide significant ecological, economic, and societal benefits by ameliorating soil and groundwater pollution and providing a sustainable energy source. However, although there is great potential for expanding the biomass industry in China, it currently faces large obstacles, with respect to its utilization, low economic performance, and other limitations. This study conducts a comprehensive literature review on biomass utilization methods, and establishes a new recycling model that couples the use of anaerobic digestion (AD) and its byproducts with biochar. In the model, biomass waste is used for biogas and biochar production, and biogas residues are further cracked into biochar. Biochar is also used as an additive to modify the AD process and promote methane production. In addition to its single application, biochar is further used in combination with biogas slurry or residue as a soil conditioner to repair soil and promote the growth of crops. This circulation model differs from models in which biomass alone is used in biogas or biochar production, and it combines all processes to promote the use of biomass, increase its conversion efficiency and strength the applications of such processes in the agricultural sector. Previous reports have shown that each part of the model can play a positive role in improving overall efficiency. Therefore, the application of the combined circulation model would be beneficial in biomass utilization and as such is a promising method for promoting the sustainable development of energy and agriculture in China, while protecting the environment.","author":[{"dropping-particle":"","family":"Song","given":"Jinghui","non-dropping-particle":"","parse-names":false,"suffix":""},{"dropping-particle":"","family":"Wang","given":"Ying","non-dropping-particle":"","parse-names":false,"suffix":""},{"dropping-particle":"","family":"Zhang","given":"Siqi","non-dropping-particle":"","parse-names":false,"suffix":""},{"dropping-particle":"","family":"Song","given":"Yanling","non-dropping-particle":"","parse-names":false,"suffix":""},{"dropping-particle":"","family":"Xue","given":"Shengrong","non-dropping-particle":"","parse-names":false,"suffix":""},{"dropping-particle":"","family":"Liu","given":"Le","non-dropping-particle":"","parse-names":false,"suffix":""},{"dropping-particle":"","family":"Lvy","given":"Xingang","non-dropping-particle":"","parse-names":false,"suffix":""},{"dropping-particle":"","family":"Wang","given":"Xiaojiao","non-dropping-particle":"","parse-names":false,"suffix":""},{"dropping-particle":"","family":"Yang","given":"Gaihe","non-dropping-particle":"","parse-names":false,"suffix":""}],"container-title":"Renewable and Sustainable Energy Reviews","id":"ITEM-8","issued":{"date-parts":[["2021","7","1"]]},"page":"110973","publisher":"Pergamon","title":"Coupling biochar with anaerobic digestion in a circular economy perspective: A promising way to promote sustainable energy, environment and agriculture development in China","type":"article-journal","volume":"144"},"uris":["http://www.mendeley.com/documents/?uuid=a60a184b-1797-365d-8455-f934f6d1929d"]},{"id":"ITEM-9","itemData":{"DOI":"10.1016/j.jece.2021.105489","ISSN":"2213-3437","abstract":"Anaerobic digestion (AD) is the preferred and promising method used worldwide to manage specific wastes and waste biomass. The techniques to maximize biogas productions by anaerobic digestion is explicitly introduced to achieve potential reactor operations. An essential consideration for combining anaerobic digestion with biochar is formed from waste biomass by thermochemical conversion. The latest enhancement work is showing the potential biochar results of augmentation of certain chemicals such as biofuels and charcoal, bioethanol, biodiesel, butanol, hydrogen, carboxylic acids, and hydrocarbons. However, there is still a lack of a detailed and robust interpretation of BC and AD relations. This article aims for systematic reviews on anaerobic digestion efficacy with the use of biochar. The maximum methane generation using biochar with enhanced AD efficiency ranges from 650 to 900 mL/d, with organic removal efficiencies varying from 70% to 75%. The major components of the biochar usage include hydrolysis, acidogenesis-acetogenesis, and the progression and equilibrium of methanogenesis are reviewed. Biochar properties provide reasonable conditions for pH adjusting, disinfectant, complementary sourcing, electron carrier servers, and the expression of physicochemical weights on an organism through various bacterial communities. Biochar can improve biomethane yield plans for the most part by chemically moving organisms, methanogen for biomethane yield, growth of microbial groups, and a stimulus for buffer potential. This article is giving an in-depth discussion of current advances, distinctive difficulties, and limitations of biochar applications in anaerobic digestion. Future research can focus on biochar's functions in acid buffering, acid reduction, and increasing syntropy between hydrolysis and acidogenesis-acetogenesis.","author":[{"dropping-particle":"Bin","family":"Khalid","given":"Zaied","non-dropping-particle":"","parse-names":false,"suffix":""},{"dropping-particle":"","family":"Siddique","given":"Md Nurul Islam","non-dropping-particle":"","parse-names":false,"suffix":""},{"dropping-particle":"","family":"Nayeem","given":"Abdullah","non-dropping-particle":"","parse-names":false,"suffix":""},{"dropping-particle":"","family":"Adyel","given":"Tanveer Mehedi","non-dropping-particle":"","parse-names":false,"suffix":""},{"dropping-particle":"Bin","family":"Ismail","given":"Shahrul","non-dropping-particle":"","parse-names":false,"suffix":""},{"dropping-particle":"","family":"Ibrahim","given":"Mohd Zamri","non-dropping-particle":"","parse-names":false,"suffix":""}],"container-title":"Journal of Environmental Chemical Engineering","id":"ITEM-9","issue":"4","issued":{"date-parts":[["2021","8","1"]]},"page":"105489","publisher":"Elsevier","title":"Biochar application as sustainable precursors for enhanced anaerobic digestion: A systematic review","type":"article-journal","volume":"9"},"uris":["http://www.mendeley.com/documents/?uuid=bca99055-315e-3a46-a4b5-89e3b3c03a93"]},{"id":"ITEM-10","itemData":{"DOI":"10.1007/s10311-021-01251-6","ISSN":"16103661","abstract":"Climate change and energy demand are calling for more sustainable fuels such as biomethane produced by anaerobic digestion of organic waste. Biochar addition to waste is presumed to enhance the efficiency of methane production, yet individual reports disclose contradictory results. Therefore, we performed a meta-analysis of 27 selected publications containing 156 paired measurements of control and biochar-amended treatments to assess the impact of biochar on the methanogenic performance. Results show that biochar promotes biomethane production substantially with a high Hedge's d value of 5.7 ± 1.04, yet sporadic publications report a methane decline. Methanogenic performance is statistically controlled by feedstock type, pyrolysis temperature and biochar concentration, but not controlled by pH, size, surface area and methanogen species. These findings should help to tune the parameters of anaerobic digestion with biochar to optimize biomethane productions. Moreover, our results cast some doubt on the efficiency of adding biochar to soil to sequester carbon in soils because biochar promotes methane generation and, in turn, emissions of methane, a greenhouse gas, to the atmosphere.","author":[{"dropping-particle":"","family":"Xiao","given":"Leilei","non-dropping-particle":"","parse-names":false,"suffix":""},{"dropping-particle":"","family":"Lichtfouse","given":"Eric","non-dropping-particle":"","parse-names":false,"suffix":""},{"dropping-particle":"","family":"Kumar","given":"P. Senthil","non-dropping-particle":"","parse-names":false,"suffix":""},{"dropping-particle":"","family":"Wang","given":"Quan","non-dropping-particle":"","parse-names":false,"suffix":""},{"dropping-particle":"","family":"Liu","given":"Fanghua","non-dropping-particle":"","parse-names":false,"suffix":""}],"container-title":"Environmental Chemistry Letters","id":"ITEM-10","issue":"5","issued":{"date-parts":[["2021","5","1"]]},"page":"3557-3564","publisher":"Springer","title":"Biochar promotes methane production during anaerobic digestion of organic waste","type":"article-journal","volume":"19"},"uris":["http://www.mendeley.com/documents/?uuid=8db66765-0cc0-4fcf-aa38-c8e4a43aed7b"]}],"mendeley":{"formattedCitation":"[18–27]","plainTextFormattedCitation":"[18–27]","previouslyFormattedCitation":"[18–27]"},"properties":{"noteIndex":0},"schema":"https://github.com/citation-style-language/schema/raw/master/csl-citation.json"}</w:instrText>
      </w:r>
      <w:r w:rsidR="00B32860" w:rsidRPr="00774395">
        <w:fldChar w:fldCharType="separate"/>
      </w:r>
      <w:r w:rsidR="00A90022" w:rsidRPr="00774395">
        <w:rPr>
          <w:noProof/>
        </w:rPr>
        <w:t>[18–27]</w:t>
      </w:r>
      <w:r w:rsidR="00B32860" w:rsidRPr="00774395">
        <w:fldChar w:fldCharType="end"/>
      </w:r>
      <w:r w:rsidR="00CC7DC7" w:rsidRPr="00774395">
        <w:t xml:space="preserve">: </w:t>
      </w:r>
      <w:r w:rsidR="00CE5D4F" w:rsidRPr="00774395">
        <w:t xml:space="preserve">mitigation of </w:t>
      </w:r>
      <w:r w:rsidR="005A384E" w:rsidRPr="00774395">
        <w:t xml:space="preserve">potential inhibitions and process instabilities through </w:t>
      </w:r>
      <w:r w:rsidR="00E206AA" w:rsidRPr="00774395">
        <w:t xml:space="preserve">the </w:t>
      </w:r>
      <w:r w:rsidR="005A384E" w:rsidRPr="00774395">
        <w:t>adsorption of inhibitors, increased AD buffering capacity, immobilization of microbial cells on BC</w:t>
      </w:r>
      <w:r w:rsidR="00A97897" w:rsidRPr="00774395">
        <w:t xml:space="preserve">, </w:t>
      </w:r>
      <w:r w:rsidR="00E95A13" w:rsidRPr="00774395">
        <w:t xml:space="preserve">acceleration of metabolic activities </w:t>
      </w:r>
      <w:r w:rsidR="00810493" w:rsidRPr="00774395">
        <w:t>by BC</w:t>
      </w:r>
      <w:r w:rsidR="00E206AA" w:rsidRPr="00774395">
        <w:t>,</w:t>
      </w:r>
      <w:r w:rsidR="00810493" w:rsidRPr="00774395">
        <w:t xml:space="preserve"> </w:t>
      </w:r>
      <w:r w:rsidR="00A63BEA" w:rsidRPr="00774395">
        <w:t xml:space="preserve">and transfer of electrons and/or other metabolites </w:t>
      </w:r>
      <w:r w:rsidR="00E206AA" w:rsidRPr="00774395">
        <w:t xml:space="preserve">among the </w:t>
      </w:r>
      <w:r w:rsidR="00E95A13" w:rsidRPr="00774395">
        <w:t>microorganisms involved in hydrolysis, acidogenesis, acetogenesis,</w:t>
      </w:r>
      <w:r w:rsidR="00A63BEA" w:rsidRPr="00774395">
        <w:t xml:space="preserve"> and methanogenesis</w:t>
      </w:r>
      <w:r w:rsidR="008425B3" w:rsidRPr="00774395">
        <w:t>.</w:t>
      </w:r>
      <w:r w:rsidR="00A63BEA" w:rsidRPr="00774395">
        <w:t xml:space="preserve"> </w:t>
      </w:r>
      <w:r w:rsidR="008425B3" w:rsidRPr="00774395">
        <w:t xml:space="preserve">Further, BC can remove </w:t>
      </w:r>
      <w:r w:rsidR="00F84D08" w:rsidRPr="00774395">
        <w:t>CO</w:t>
      </w:r>
      <w:r w:rsidR="00F84D08" w:rsidRPr="00774395">
        <w:rPr>
          <w:vertAlign w:val="subscript"/>
        </w:rPr>
        <w:t>2</w:t>
      </w:r>
      <w:r w:rsidR="00F84D08" w:rsidRPr="00774395">
        <w:t xml:space="preserve"> and impurities from biogas. </w:t>
      </w:r>
      <w:r w:rsidR="00776DA9" w:rsidRPr="00774395">
        <w:t>BC does</w:t>
      </w:r>
      <w:r w:rsidR="00A97897" w:rsidRPr="00774395">
        <w:t>n’t</w:t>
      </w:r>
      <w:r w:rsidR="00776DA9" w:rsidRPr="00774395">
        <w:t xml:space="preserve"> need to be separated from </w:t>
      </w:r>
      <w:r w:rsidR="00333219" w:rsidRPr="00774395">
        <w:t xml:space="preserve">the </w:t>
      </w:r>
      <w:r w:rsidR="00776DA9" w:rsidRPr="00774395">
        <w:t xml:space="preserve">digestate due to the enhanced agronomic quality in terms of </w:t>
      </w:r>
      <w:r w:rsidR="00DF7B93" w:rsidRPr="00774395">
        <w:t>carbon sequestratio</w:t>
      </w:r>
      <w:r w:rsidR="00776DA9" w:rsidRPr="00774395">
        <w:t xml:space="preserve">n, nutrients and water retention in soils, reduction of nutrients and contaminants run-off, </w:t>
      </w:r>
      <w:r w:rsidR="00EC76EF" w:rsidRPr="00774395">
        <w:t>and</w:t>
      </w:r>
      <w:r w:rsidR="00776DA9" w:rsidRPr="00774395">
        <w:t xml:space="preserve"> reduction of GHG emissions from soils</w:t>
      </w:r>
      <w:r w:rsidR="00EC76EF" w:rsidRPr="00774395">
        <w:t xml:space="preserve"> </w:t>
      </w:r>
      <w:r w:rsidR="00EC76EF" w:rsidRPr="00774395">
        <w:fldChar w:fldCharType="begin" w:fldLock="1"/>
      </w:r>
      <w:r w:rsidR="00965605" w:rsidRPr="00774395">
        <w:instrText>ADDIN CSL_CITATION {"citationItems":[{"id":"ITEM-1","itemData":{"DOI":"10.1016/j.rser.2020.110037","ISSN":"1364-0321","abstract":"Anaerobic digestion (AD) could be considered as a mature technology and nowadays it can still play a pivot role because of the urgent need to provide renewable energy sources and efficiently manage the continuously growing amount of organic waste. Biochar (BC) is an extremely versatile material, which could be produced by carbonization of organic materials, including biomass and wastes, consistently with Circular Economy principles, and “tailor-made” for specific applications. The potential BC role as additive in the control of the many well-known critical issues of AD processes has been increasingly explored over the past few years. However, a clear and comprehensive understanding of the connections between BC and AD is still missing. This review paper analyses and discusses significant references (review articles, research papers and international databases and reports), mostly published in the last 10 years. This review is aimed at addressing three key issues related to the better understanding of the BC role in AD processes: 1. Investigation of the influence of BC properties on AD performances and of their ability to counteract its main challenges; 2. Assessment of the optimal BC production chain (i.e. feedstock-pyrolysis-activation) to achieve the desired features; 3. Evaluation of the economic and environmental advantages connected to BC use in AD processes, compared to conventional solutions applied to address AD challenges.","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Reviews","id":"ITEM-1","issued":{"date-parts":[["2020","10","1"]]},"page":"110037","publisher":"Pergamon","title":"Review of biochar role as additive in anaerobic digestion processes","type":"article-journal","volume":"131"},"uris":["http://www.mendeley.com/documents/?uuid=c723083b-d34b-38ab-be81-44a38ae5279d"]},{"id":"ITEM-2","itemData":{"DOI":"10.1016/j.rser.2021.111603","ISSN":"1364-0321","abstract":"The worldwide growing population, challenged by an ever-increasing global demand for food production, is also concomitant with increased waste production, particularly organic wastes. During the last decades, several waste processing technologies have been developed such as anaerobic digestion and pyrolysis. Recently, there has been an increased interest in creating industrial synergies by combining technologies in order to increase the efficacy of the process and improve waste management in the circular economy. In this review, we report on the importance of coupling anaerobic digestion and pyrolysis while providing evidence on the synergistic effects that may occur within such a combined waste bi-functional process. Specific attention has been paid to multiple symbiosis features that exist when coupling both processes, mainly 1) maximizing energy recovery through pyrolysis of solid digestate or feeding of the aqueous bio-oil phase in anaerobic digestion, 2) biogas purification by biochar or activated biochar, and 3) improving anaerobic digestion process stability by biochar addition to the system. In addition, the effects of coupling anaerobic digestate with biochar on soil biochemical properties and crop production were also presented. Improving the dual symbiosis of coupling anaerobic digestion and pyrolysis is likely to be a sustainable based approach that holds promise for wiser and more eco-efficient processing of organic wastes for versatile applications.","author":[{"dropping-particle":"","family":"Tayibi","given":"S.","non-dropping-particle":"","parse-names":false,"suffix":""},{"dropping-particle":"","family":"Monlau","given":"F.","non-dropping-particle":"","parse-names":false,"suffix":""},{"dropping-particle":"","family":"Bargaz","given":"A.","non-dropping-particle":"","parse-names":false,"suffix":""},{"dropping-particle":"","family":"Jimenez","given":"R.","non-dropping-particle":"","parse-names":false,"suffix":""},{"dropping-particle":"","family":"Barakat","given":"A.","non-dropping-particle":"","parse-names":false,"suffix":""}],"container-title":"Renewable and Sustainable Energy Reviews","id":"ITEM-2","issued":{"date-parts":[["2021","12","1"]]},"page":"111603","publisher":"Pergamon","title":"Synergy of anaerobic digestion and pyrolysis processes for sustainable waste management: A critical review and future perspectives","type":"article-journal","volume":"152"},"uris":["http://www.mendeley.com/documents/?uuid=145f637b-b5d3-345e-ae43-8c4c82cd21b2"]},{"id":"ITEM-3","itemData":{"DOI":"10.1016/j.wasman.2016.11.028","ISBN":"0956-053X","ISSN":"18792456","PMID":"27923546","abstract":"Biochar, like most other adsorbents, is a carbonaceous material, which is formed from the combustion of plant materials, in low-zero oxygen conditions and results in a material, which has the capacity to sorb chemicals onto its surfaces. Currently, research is being carried out to investigate the relevance of biochar in improving the soil ecosystem, digestate quality and most recently the anaerobic digestion process. Anaerobic digestion (AD) of organic substrates provides both a sustainable source of energy and a digestate with the potential to enhance plant growth and soil health. In order to ensure that these benefits are realised, the anaerobic digestion system must be optimized for process stability and high nutrient retention capacity in the digestate produced. Substrate-induced inhibition is a major issue, which can disrupt the stable functioning of the AD system reducing microbial breakdown of the organic waste and formation of methane, which in turn reduces energy output. Likewise, the spreading of digestate on land can often result in nutrient loss, surface runoff and leaching. This review will examine substrate inhibition and their impact on anaerobic digestion, nutrient leaching and their environmental implications, the properties and functionality of biochar material in counteracting these challenges.","author":[{"dropping-particle":"","family":"Fagbohungbe","given":"Michael O.","non-dropping-particle":"","parse-names":false,"suffix":""},{"dropping-particle":"","family":"Herbert","given":"Ben M.J.","non-dropping-particle":"","parse-names":false,"suffix":""},{"dropping-particle":"","family":"Hurst","given":"Lois","non-dropping-particle":"","parse-names":false,"suffix":""},{"dropping-particle":"","family":"Ibeto","given":"Cynthia N.","non-dropping-particle":"","parse-names":false,"suffix":""},{"dropping-particle":"","family":"Li","given":"Hong","non-dropping-particle":"","parse-names":false,"suffix":""},{"dropping-particle":"","family":"Usmani","given":"Shams Q.","non-dropping-particle":"","parse-names":false,"suffix":""},{"dropping-particle":"","family":"Semple","given":"Kirk T.","non-dropping-particle":"","parse-names":false,"suffix":""}],"container-title":"Waste Management","id":"ITEM-3","issued":{"date-parts":[["2017"]]},"page":"236-249","publisher":"Elsevier Ltd","title":"The challenges of anaerobic digestion and the role of biochar in optimizing anaerobic digestion","type":"article-journal","volume":"61"},"uris":["http://www.mendeley.com/documents/?uuid=c6bbe996-7175-41dc-b035-fee1b16c6185"]}],"mendeley":{"formattedCitation":"[18,19,28]","plainTextFormattedCitation":"[18,19,28]","previouslyFormattedCitation":"[18,19,28]"},"properties":{"noteIndex":0},"schema":"https://github.com/citation-style-language/schema/raw/master/csl-citation.json"}</w:instrText>
      </w:r>
      <w:r w:rsidR="00EC76EF" w:rsidRPr="00774395">
        <w:fldChar w:fldCharType="separate"/>
      </w:r>
      <w:r w:rsidR="00A90022" w:rsidRPr="00774395">
        <w:rPr>
          <w:noProof/>
        </w:rPr>
        <w:t>[18,19,28]</w:t>
      </w:r>
      <w:r w:rsidR="00EC76EF" w:rsidRPr="00774395">
        <w:fldChar w:fldCharType="end"/>
      </w:r>
      <w:r w:rsidR="00776DA9" w:rsidRPr="00774395">
        <w:t>.</w:t>
      </w:r>
      <w:r w:rsidR="00D50825" w:rsidRPr="00774395">
        <w:t xml:space="preserve"> </w:t>
      </w:r>
      <w:r w:rsidR="00497AD2" w:rsidRPr="00774395">
        <w:t xml:space="preserve">However, despite a good agreement in literature regarding the </w:t>
      </w:r>
      <w:r w:rsidR="00333219" w:rsidRPr="00774395">
        <w:t>benefits of</w:t>
      </w:r>
      <w:r w:rsidR="00497AD2" w:rsidRPr="00774395">
        <w:t xml:space="preserve"> BC intervention, </w:t>
      </w:r>
      <w:r w:rsidR="00C305FD" w:rsidRPr="00774395">
        <w:t xml:space="preserve">a proper understanding of </w:t>
      </w:r>
      <w:r w:rsidR="00333219" w:rsidRPr="00774395">
        <w:t xml:space="preserve">the </w:t>
      </w:r>
      <w:r w:rsidR="00333219" w:rsidRPr="00774395">
        <w:lastRenderedPageBreak/>
        <w:t xml:space="preserve">role of the </w:t>
      </w:r>
      <w:r w:rsidR="00E206AA" w:rsidRPr="00774395">
        <w:t xml:space="preserve">BC </w:t>
      </w:r>
      <w:r w:rsidR="002239C9" w:rsidRPr="00774395">
        <w:t>physi</w:t>
      </w:r>
      <w:r w:rsidR="00215198" w:rsidRPr="00774395">
        <w:t>c</w:t>
      </w:r>
      <w:r w:rsidR="002239C9" w:rsidRPr="00774395">
        <w:t>o-chemical properties in the</w:t>
      </w:r>
      <w:r w:rsidR="00497AD2" w:rsidRPr="00774395">
        <w:t>se</w:t>
      </w:r>
      <w:r w:rsidR="002239C9" w:rsidRPr="00774395">
        <w:t xml:space="preserve"> mechanisms </w:t>
      </w:r>
      <w:r w:rsidR="006755F1" w:rsidRPr="00774395">
        <w:t xml:space="preserve">and their correlation with AD performance </w:t>
      </w:r>
      <w:r w:rsidR="00497AD2" w:rsidRPr="00774395">
        <w:t xml:space="preserve">still </w:t>
      </w:r>
      <w:r w:rsidR="00E206AA" w:rsidRPr="00774395">
        <w:t xml:space="preserve">needs </w:t>
      </w:r>
      <w:r w:rsidR="00497AD2" w:rsidRPr="00774395">
        <w:t xml:space="preserve">to be </w:t>
      </w:r>
      <w:r w:rsidR="00A07656" w:rsidRPr="00774395">
        <w:t>reached</w:t>
      </w:r>
      <w:r w:rsidR="00497AD2" w:rsidRPr="00774395">
        <w:t xml:space="preserve">. As a result, </w:t>
      </w:r>
      <w:r w:rsidR="00E206AA" w:rsidRPr="00774395">
        <w:t xml:space="preserve">the </w:t>
      </w:r>
      <w:r w:rsidR="006B1EF1" w:rsidRPr="00774395">
        <w:t xml:space="preserve">addition of </w:t>
      </w:r>
      <w:r w:rsidR="00497AD2" w:rsidRPr="00774395">
        <w:t xml:space="preserve">BCs with a wide variation of </w:t>
      </w:r>
      <w:r w:rsidR="009332B6" w:rsidRPr="00774395">
        <w:t>physi</w:t>
      </w:r>
      <w:r w:rsidR="00215198" w:rsidRPr="00774395">
        <w:t>c</w:t>
      </w:r>
      <w:r w:rsidR="009332B6" w:rsidRPr="00774395">
        <w:t xml:space="preserve">o-chemical properties </w:t>
      </w:r>
      <w:r w:rsidR="006B1EF1" w:rsidRPr="00774395">
        <w:t xml:space="preserve">had </w:t>
      </w:r>
      <w:r w:rsidR="00704705" w:rsidRPr="00774395">
        <w:t>proven</w:t>
      </w:r>
      <w:r w:rsidR="009332B6" w:rsidRPr="00774395">
        <w:t xml:space="preserve"> effects on AD, </w:t>
      </w:r>
      <w:r w:rsidR="006B1EF1" w:rsidRPr="00774395">
        <w:t>often positive, but</w:t>
      </w:r>
      <w:r w:rsidR="00317624" w:rsidRPr="00774395">
        <w:t>,</w:t>
      </w:r>
      <w:r w:rsidR="006B1EF1" w:rsidRPr="00774395">
        <w:t xml:space="preserve"> </w:t>
      </w:r>
      <w:r w:rsidR="006755F1" w:rsidRPr="00774395">
        <w:t>sometimes</w:t>
      </w:r>
      <w:r w:rsidR="00317624" w:rsidRPr="00774395">
        <w:t>,</w:t>
      </w:r>
      <w:r w:rsidR="006755F1" w:rsidRPr="00774395">
        <w:t xml:space="preserve"> </w:t>
      </w:r>
      <w:r w:rsidR="00FB577A" w:rsidRPr="00774395">
        <w:t xml:space="preserve">also </w:t>
      </w:r>
      <w:r w:rsidR="006B1EF1" w:rsidRPr="00774395">
        <w:t>detrimental</w:t>
      </w:r>
      <w:r w:rsidR="006755F1" w:rsidRPr="00774395">
        <w:t>.</w:t>
      </w:r>
      <w:r w:rsidR="00F806D7" w:rsidRPr="00774395">
        <w:t xml:space="preserve"> </w:t>
      </w:r>
      <w:r w:rsidR="00317624" w:rsidRPr="00774395">
        <w:t>Therefore</w:t>
      </w:r>
      <w:r w:rsidR="00797197" w:rsidRPr="00774395">
        <w:t xml:space="preserve">, </w:t>
      </w:r>
      <w:r w:rsidR="00AA18C5" w:rsidRPr="00774395">
        <w:t xml:space="preserve">it is necessary to define </w:t>
      </w:r>
      <w:r w:rsidR="00797197" w:rsidRPr="00774395">
        <w:t>t</w:t>
      </w:r>
      <w:r w:rsidR="00F806D7" w:rsidRPr="00774395">
        <w:t>he optimal range of BC physi</w:t>
      </w:r>
      <w:r w:rsidR="00215198" w:rsidRPr="00774395">
        <w:t>c</w:t>
      </w:r>
      <w:r w:rsidR="00F806D7" w:rsidRPr="00774395">
        <w:t>o-chemical properties</w:t>
      </w:r>
      <w:r w:rsidR="00797197" w:rsidRPr="00774395">
        <w:t xml:space="preserve"> </w:t>
      </w:r>
      <w:r w:rsidR="00E206AA" w:rsidRPr="00774395">
        <w:t xml:space="preserve">specifically </w:t>
      </w:r>
      <w:r w:rsidR="00797197" w:rsidRPr="00774395">
        <w:t xml:space="preserve">targeting </w:t>
      </w:r>
      <w:r w:rsidR="00E206AA" w:rsidRPr="00774395">
        <w:t>AD</w:t>
      </w:r>
      <w:r w:rsidR="002B0E11" w:rsidRPr="00774395">
        <w:t>.</w:t>
      </w:r>
      <w:r w:rsidR="009C6F51">
        <w:t xml:space="preserve"> </w:t>
      </w:r>
      <w:bookmarkStart w:id="0" w:name="_Hlk113532834"/>
      <w:r w:rsidR="00F3322C">
        <w:t xml:space="preserve">Despite the </w:t>
      </w:r>
      <w:r w:rsidR="00830B48">
        <w:t>wide</w:t>
      </w:r>
      <w:r w:rsidR="00F3322C">
        <w:t xml:space="preserve"> </w:t>
      </w:r>
      <w:r w:rsidR="00830B48">
        <w:t>range</w:t>
      </w:r>
      <w:r w:rsidR="00F3322C">
        <w:t xml:space="preserve"> of experimental </w:t>
      </w:r>
      <w:r w:rsidR="00830B48">
        <w:t>data</w:t>
      </w:r>
      <w:r w:rsidR="00081085">
        <w:t>,</w:t>
      </w:r>
      <w:r w:rsidR="00F3322C">
        <w:t xml:space="preserve"> few attempts have been performed to correlate BC properties with </w:t>
      </w:r>
      <w:r w:rsidR="00231FAD">
        <w:t>AD</w:t>
      </w:r>
      <w:r w:rsidR="00F3322C">
        <w:t xml:space="preserve"> performances </w:t>
      </w:r>
      <w:r w:rsidR="00830B48">
        <w:fldChar w:fldCharType="begin" w:fldLock="1"/>
      </w:r>
      <w:r w:rsidR="00520099">
        <w:instrText>ADDIN CSL_CITATION {"citationItems":[{"id":"ITEM-1","itemData":{"DOI":"10.3390/CATAL11091094","abstract":"Biochar (BC) recently gained attention as an additive for anaerobic digestion (AD). This work aims at a critical analysis of the effect of six BCs, with different physical and chemical properties, on the AD of mixed wastewater sludge at 37 °C, comparing their influence on methane production and AD kinetics. AD batch tests were performed at the laboratory scale operating 48 reactors (0.25 L working volume) for 28 days with the addition of 10 g L−1 of BC. Most reactors supplemented with BCs exhibited higher (up to 22%) methane yields than the control reactors (0.15 Nm3 kgVS−1). The modified Gompertz model provided maximum methane production rate values, and in all reactors the lag-phase was equal to zero days, indicating a good adaptation of the inoculum to the substrate. The potential correlations between BCs’ properties and AD performance were assessed using principal component analysis (PCA). The PCA results showed a reasonable correlation between methane production and the BCs’ O–C and H–C molar ratios, and volatile matter, and between biogas production and BCs’ pore volume, specific surface area, and fixed and total carbon. In conclusion, the physic-chemical properties of BC (specifically, hydrophobicity and morphology) showed a key role in improving the AD of mixed wastewater sludge.","author":[{"dropping-particle":"","family":"Chiappero","given":"Marco","non-dropping-particle":"","parse-names":false,"suffix":""},{"dropping-particle":"","family":"Cillerai","given":"Francesca","non-dropping-particle":"","parse-names":false,"suffix":""},{"dropping-particle":"","family":"Berruti","given":"Franco","non-dropping-particle":"","parse-names":false,"suffix":""},{"dropping-particle":"","family":"Mašek","given":"Ondřej","non-dropping-particle":"","parse-names":false,"suffix":""},{"dropping-particle":"","family":"Fiore","given":"Silvia","non-dropping-particle":"","parse-names":false,"suffix":""}],"container-title":"Catalysts","id":"ITEM-1","issue":"9","issued":{"date-parts":[["2021","9","10"]]},"page":"1094","publisher":"Multidisciplinary Digital Publishing Institute","title":"Addition of different biochars as catalysts during the mesophilic anaerobic digestion of mixed wastewater sludge","type":"article-journal","volume":"11"},"uris":["http://www.mendeley.com/documents/?uuid=f295f4f9-ff6b-3ca0-9aae-f5f20b236a76"]},{"id":"ITEM-2","itemData":{"DOI":"10.1007/s10311-021-01251-6","ISSN":"16103661","abstract":"Climate change and energy demand are calling for more sustainable fuels such as biomethane produced by anaerobic digestion of organic waste. Biochar addition to waste is presumed to enhance the efficiency of methane production, yet individual reports disclose contradictory results. Therefore, we performed a meta-analysis of 27 selected publications containing 156 paired measurements of control and biochar-amended treatments to assess the impact of biochar on the methanogenic performance. Results show that biochar promotes biomethane production substantially with a high Hedge's d value of 5.7 ± 1.04, yet sporadic publications report a methane decline. Methanogenic performance is statistically controlled by feedstock type, pyrolysis temperature and biochar concentration, but not controlled by pH, size, surface area and methanogen species. These findings should help to tune the parameters of anaerobic digestion with biochar to optimize biomethane productions. Moreover, our results cast some doubt on the efficiency of adding biochar to soil to sequester carbon in soils because biochar promotes methane generation and, in turn, emissions of methane, a greenhouse gas, to the atmosphere.","author":[{"dropping-particle":"","family":"Xiao","given":"Leilei","non-dropping-particle":"","parse-names":false,"suffix":""},{"dropping-particle":"","family":"Lichtfouse","given":"Eric","non-dropping-particle":"","parse-names":false,"suffix":""},{"dropping-particle":"","family":"Kumar","given":"P. Senthil","non-dropping-particle":"","parse-names":false,"suffix":""},{"dropping-particle":"","family":"Wang","given":"Quan","non-dropping-particle":"","parse-names":false,"suffix":""},{"dropping-particle":"","family":"Liu","given":"Fanghua","non-dropping-particle":"","parse-names":false,"suffix":""}],"container-title":"Environmental Chemistry Letters","id":"ITEM-2","issue":"5","issued":{"date-parts":[["2021","5","1"]]},"page":"3557-3564","publisher":"Springer","title":"Biochar promotes methane production during anaerobic digestion of organic waste","type":"article-journal","volume":"19"},"uris":["http://www.mendeley.com/documents/?uuid=8db66765-0cc0-4fcf-aa38-c8e4a43aed7b"]},{"id":"ITEM-3","itemData":{"DOI":"10.1016/J.JECE.2022.107988","ISSN":"2213-3437","abstract":"Despite the considerable amount of data generated with respect to biochar application in the anaerobic digestion of sewage sludge, there is a research gap for correlations linking biochar physico-chemical parameters to anaerobic digestion performance. In the current study, cumulative methane production (CMP) from anaerobic digestion of sewage sludge amended with biochar is modeled by an Artificial Neural Network (ANN) (2 hidden layers, 12 neurons each) based on data compiled from 51 published biomethane potential tests (BMP). The model reflects the effects of 13 operational parameters covering physico-chemical properties of biochar, sludge characterization and operating conditions. Various types of sewage sludge and biochar under both mesophilic and thermophilic conditions have been successfully modeled with an R2 of 0.9924. An importance analysis is conducted to evaluate the significance of the model input parameters to CMP. Results indicate that operating conditions are more significant to CMP and that CMP is strongly correlated with biochar physical properties and chemical composition where chemical composition has the dominant effect. Overall, this study proves that biochar physico-chemical parameters are correlated to CMP and enables its forecasting under unexamined conditions thus assisting in process optimization, scale up and techno-economic analyses without resorting to BMP tests.","author":[{"dropping-particle":"","family":"Khashaba","given":"Nourhan H.","non-dropping-particle":"","parse-names":false,"suffix":""},{"dropping-particle":"","family":"Ettouney","given":"Reem S.","non-dropping-particle":"","parse-names":false,"suffix":""},{"dropping-particle":"","family":"Abdelaal","given":"Mohsen M.","non-dropping-particle":"","parse-names":false,"suffix":""},{"dropping-particle":"","family":"Ashour","given":"Fatma H.","non-dropping-particle":"","parse-names":false,"suffix":""},{"dropping-particle":"","family":"El-Rifai","given":"Mahmoud A.","non-dropping-particle":"","parse-names":false,"suffix":""}],"container-title":"Journal of Environmental Chemical Engineering","id":"ITEM-3","issue":"4","issued":{"date-parts":[["2022","8","1"]]},"page":"107988","publisher":"Elsevier","title":"Artificial neural network modeling of biochar enhanced anaerobic sewage sludge digestion","type":"article-journal","volume":"10"},"uris":["http://www.mendeley.com/documents/?uuid=40b939d9-7f4b-3b31-b66c-26145ed87962"]}],"mendeley":{"formattedCitation":"[27,29,30]","plainTextFormattedCitation":"[27,29,30]","previouslyFormattedCitation":"[27,29,30]"},"properties":{"noteIndex":0},"schema":"https://github.com/citation-style-language/schema/raw/master/csl-citation.json"}</w:instrText>
      </w:r>
      <w:r w:rsidR="00830B48">
        <w:fldChar w:fldCharType="separate"/>
      </w:r>
      <w:r w:rsidR="00830B48" w:rsidRPr="00830B48">
        <w:rPr>
          <w:noProof/>
        </w:rPr>
        <w:t>[27,29,30]</w:t>
      </w:r>
      <w:r w:rsidR="00830B48">
        <w:fldChar w:fldCharType="end"/>
      </w:r>
      <w:r w:rsidR="00231FAD">
        <w:t xml:space="preserve">. </w:t>
      </w:r>
      <w:r w:rsidR="00520099">
        <w:t>In a previous study</w:t>
      </w:r>
      <w:r w:rsidR="00196AC3">
        <w:t xml:space="preserve"> </w:t>
      </w:r>
      <w:r w:rsidR="00520099">
        <w:fldChar w:fldCharType="begin" w:fldLock="1"/>
      </w:r>
      <w:r w:rsidR="006C515D">
        <w:instrText>ADDIN CSL_CITATION {"citationItems":[{"id":"ITEM-1","itemData":{"DOI":"10.3390/CATAL11091094","abstract":"Biochar (BC) recently gained attention as an additive for anaerobic digestion (AD). This work aims at a critical analysis of the effect of six BCs, with different physical and chemical properties, on the AD of mixed wastewater sludge at 37 °C, comparing their influence on methane production and AD kinetics. AD batch tests were performed at the laboratory scale operating 48 reactors (0.25 L working volume) for 28 days with the addition of 10 g L−1 of BC. Most reactors supplemented with BCs exhibited higher (up to 22%) methane yields than the control reactors (0.15 Nm3 kgVS−1). The modified Gompertz model provided maximum methane production rate values, and in all reactors the lag-phase was equal to zero days, indicating a good adaptation of the inoculum to the substrate. The potential correlations between BCs’ properties and AD performance were assessed using principal component analysis (PCA). The PCA results showed a reasonable correlation between methane production and the BCs’ O–C and H–C molar ratios, and volatile matter, and between biogas production and BCs’ pore volume, specific surface area, and fixed and total carbon. In conclusion, the physic-chemical properties of BC (specifically, hydrophobicity and morphology) showed a key role in improving the AD of mixed wastewater sludge.","author":[{"dropping-particle":"","family":"Chiappero","given":"Marco","non-dropping-particle":"","parse-names":false,"suffix":""},{"dropping-particle":"","family":"Cillerai","given":"Francesca","non-dropping-particle":"","parse-names":false,"suffix":""},{"dropping-particle":"","family":"Berruti","given":"Franco","non-dropping-particle":"","parse-names":false,"suffix":""},{"dropping-particle":"","family":"Mašek","given":"Ondřej","non-dropping-particle":"","parse-names":false,"suffix":""},{"dropping-particle":"","family":"Fiore","given":"Silvia","non-dropping-particle":"","parse-names":false,"suffix":""}],"container-title":"Catalysts","id":"ITEM-1","issue":"9","issued":{"date-parts":[["2021","9","10"]]},"page":"1094","publisher":"Multidisciplinary Digital Publishing Institute","title":"Addition of different biochars as catalysts during the mesophilic anaerobic digestion of mixed wastewater sludge","type":"article-journal","volume":"11"},"uris":["http://www.mendeley.com/documents/?uuid=f295f4f9-ff6b-3ca0-9aae-f5f20b236a76"]}],"mendeley":{"formattedCitation":"[29]","plainTextFormattedCitation":"[29]","previouslyFormattedCitation":"[29]"},"properties":{"noteIndex":0},"schema":"https://github.com/citation-style-language/schema/raw/master/csl-citation.json"}</w:instrText>
      </w:r>
      <w:r w:rsidR="00520099">
        <w:fldChar w:fldCharType="separate"/>
      </w:r>
      <w:r w:rsidR="00520099" w:rsidRPr="00520099">
        <w:rPr>
          <w:noProof/>
        </w:rPr>
        <w:t>[29]</w:t>
      </w:r>
      <w:r w:rsidR="00520099">
        <w:fldChar w:fldCharType="end"/>
      </w:r>
      <w:r w:rsidR="00520099">
        <w:t xml:space="preserve"> </w:t>
      </w:r>
      <w:r w:rsidR="00196AC3">
        <w:t>we explored the</w:t>
      </w:r>
      <w:r w:rsidR="00196AC3" w:rsidRPr="00196AC3">
        <w:t xml:space="preserve"> correlation of each BC </w:t>
      </w:r>
      <w:r w:rsidR="00231FAD">
        <w:t>feature</w:t>
      </w:r>
      <w:r w:rsidR="00196AC3">
        <w:t xml:space="preserve"> </w:t>
      </w:r>
      <w:r w:rsidR="00196AC3" w:rsidRPr="00196AC3">
        <w:t xml:space="preserve">with </w:t>
      </w:r>
      <w:r w:rsidR="00231FAD">
        <w:t>AD</w:t>
      </w:r>
      <w:r w:rsidR="00196AC3" w:rsidRPr="00196AC3">
        <w:t xml:space="preserve"> performances </w:t>
      </w:r>
      <w:r w:rsidR="00926EED">
        <w:t>through</w:t>
      </w:r>
      <w:r w:rsidR="00196AC3">
        <w:t xml:space="preserve"> </w:t>
      </w:r>
      <w:r w:rsidR="00926EED">
        <w:t>P</w:t>
      </w:r>
      <w:r w:rsidR="00196AC3">
        <w:t xml:space="preserve">rincipal </w:t>
      </w:r>
      <w:r w:rsidR="00926EED">
        <w:t>C</w:t>
      </w:r>
      <w:r w:rsidR="00196AC3">
        <w:t xml:space="preserve">omponent </w:t>
      </w:r>
      <w:r w:rsidR="00926EED">
        <w:t>A</w:t>
      </w:r>
      <w:r w:rsidR="00196AC3">
        <w:t xml:space="preserve">nalysis </w:t>
      </w:r>
      <w:r w:rsidR="006C515D">
        <w:t>on</w:t>
      </w:r>
      <w:r w:rsidR="00196AC3">
        <w:t xml:space="preserve"> experimental data</w:t>
      </w:r>
      <w:r w:rsidR="00926EED">
        <w:t xml:space="preserve"> achieved from </w:t>
      </w:r>
      <w:r w:rsidR="00231FAD">
        <w:t xml:space="preserve">our </w:t>
      </w:r>
      <w:r w:rsidR="00926EED">
        <w:t>batch tests</w:t>
      </w:r>
      <w:r w:rsidR="00196AC3">
        <w:t>, suggesting</w:t>
      </w:r>
      <w:r w:rsidR="00196AC3" w:rsidRPr="00196AC3">
        <w:t xml:space="preserve"> some key BC properties</w:t>
      </w:r>
      <w:r w:rsidR="00196AC3">
        <w:t xml:space="preserve"> and underlying the need of more </w:t>
      </w:r>
      <w:r w:rsidR="00926EED">
        <w:t xml:space="preserve">experimental </w:t>
      </w:r>
      <w:r w:rsidR="00196AC3">
        <w:t xml:space="preserve">data to draw </w:t>
      </w:r>
      <w:r w:rsidR="00231FAD">
        <w:t>additional</w:t>
      </w:r>
      <w:r w:rsidR="00196AC3">
        <w:t xml:space="preserve"> </w:t>
      </w:r>
      <w:r w:rsidR="006C515D">
        <w:t>conclusions</w:t>
      </w:r>
      <w:r w:rsidR="00196AC3" w:rsidRPr="00196AC3">
        <w:t>.</w:t>
      </w:r>
      <w:r w:rsidR="006C515D">
        <w:t xml:space="preserve"> </w:t>
      </w:r>
      <w:r w:rsidR="00997573">
        <w:t>In this direction</w:t>
      </w:r>
      <w:r w:rsidR="006C515D">
        <w:t xml:space="preserve">, Khashaba et al. </w:t>
      </w:r>
      <w:r w:rsidR="006C515D">
        <w:fldChar w:fldCharType="begin" w:fldLock="1"/>
      </w:r>
      <w:r w:rsidR="00941B54">
        <w:instrText>ADDIN CSL_CITATION {"citationItems":[{"id":"ITEM-1","itemData":{"DOI":"10.1016/J.JECE.2022.107988","ISSN":"2213-3437","abstract":"Despite the considerable amount of data generated with respect to biochar application in the anaerobic digestion of sewage sludge, there is a research gap for correlations linking biochar physico-chemical parameters to anaerobic digestion performance. In the current study, cumulative methane production (CMP) from anaerobic digestion of sewage sludge amended with biochar is modeled by an Artificial Neural Network (ANN) (2 hidden layers, 12 neurons each) based on data compiled from 51 published biomethane potential tests (BMP). The model reflects the effects of 13 operational parameters covering physico-chemical properties of biochar, sludge characterization and operating conditions. Various types of sewage sludge and biochar under both mesophilic and thermophilic conditions have been successfully modeled with an R2 of 0.9924. An importance analysis is conducted to evaluate the significance of the model input parameters to CMP. Results indicate that operating conditions are more significant to CMP and that CMP is strongly correlated with biochar physical properties and chemical composition where chemical composition has the dominant effect. Overall, this study proves that biochar physico-chemical parameters are correlated to CMP and enables its forecasting under unexamined conditions thus assisting in process optimization, scale up and techno-economic analyses without resorting to BMP tests.","author":[{"dropping-particle":"","family":"Khashaba","given":"Nourhan H.","non-dropping-particle":"","parse-names":false,"suffix":""},{"dropping-particle":"","family":"Ettouney","given":"Reem S.","non-dropping-particle":"","parse-names":false,"suffix":""},{"dropping-particle":"","family":"Abdelaal","given":"Mohsen M.","non-dropping-particle":"","parse-names":false,"suffix":""},{"dropping-particle":"","family":"Ashour","given":"Fatma H.","non-dropping-particle":"","parse-names":false,"suffix":""},{"dropping-particle":"","family":"El-Rifai","given":"Mahmoud A.","non-dropping-particle":"","parse-names":false,"suffix":""}],"container-title":"Journal of Environmental Chemical Engineering","id":"ITEM-1","issue":"4","issued":{"date-parts":[["2022","8","1"]]},"page":"107988","publisher":"Elsevier","title":"Artificial neural network modeling of biochar enhanced anaerobic sewage sludge digestion","type":"article-journal","volume":"10"},"uris":["http://www.mendeley.com/documents/?uuid=40b939d9-7f4b-3b31-b66c-26145ed87962"]}],"mendeley":{"formattedCitation":"[30]","plainTextFormattedCitation":"[30]","previouslyFormattedCitation":"[30]"},"properties":{"noteIndex":0},"schema":"https://github.com/citation-style-language/schema/raw/master/csl-citation.json"}</w:instrText>
      </w:r>
      <w:r w:rsidR="006C515D">
        <w:fldChar w:fldCharType="separate"/>
      </w:r>
      <w:r w:rsidR="006C515D" w:rsidRPr="006C515D">
        <w:rPr>
          <w:noProof/>
        </w:rPr>
        <w:t>[30]</w:t>
      </w:r>
      <w:r w:rsidR="006C515D">
        <w:fldChar w:fldCharType="end"/>
      </w:r>
      <w:r w:rsidR="006C515D">
        <w:t xml:space="preserve"> </w:t>
      </w:r>
      <w:r w:rsidR="00997573">
        <w:t xml:space="preserve">identified strong </w:t>
      </w:r>
      <w:r w:rsidR="009E55A7">
        <w:t xml:space="preserve">correlations </w:t>
      </w:r>
      <w:r w:rsidR="00997573">
        <w:t xml:space="preserve">between </w:t>
      </w:r>
      <w:r w:rsidR="00926EED">
        <w:t xml:space="preserve">the </w:t>
      </w:r>
      <w:r w:rsidR="00997573">
        <w:t>physico-chemical</w:t>
      </w:r>
      <w:r w:rsidR="006C515D">
        <w:t xml:space="preserve"> BC</w:t>
      </w:r>
      <w:r w:rsidR="009E55A7">
        <w:t xml:space="preserve"> features </w:t>
      </w:r>
      <w:r w:rsidR="00997573">
        <w:t>and</w:t>
      </w:r>
      <w:r w:rsidR="009E55A7">
        <w:t xml:space="preserve"> AD performances </w:t>
      </w:r>
      <w:r w:rsidR="00997573">
        <w:t>through</w:t>
      </w:r>
      <w:r w:rsidR="009E55A7">
        <w:t xml:space="preserve"> an artificial neural network</w:t>
      </w:r>
      <w:r w:rsidR="006C515D">
        <w:t xml:space="preserve"> </w:t>
      </w:r>
      <w:r w:rsidR="009E55A7">
        <w:t>based on literature data</w:t>
      </w:r>
      <w:r w:rsidR="00A01EC2">
        <w:t xml:space="preserve"> focusing just on sewage sludge substrate. </w:t>
      </w:r>
      <w:bookmarkEnd w:id="0"/>
    </w:p>
    <w:p w14:paraId="25E08454" w14:textId="7150033C" w:rsidR="00A63B46" w:rsidRPr="00774395" w:rsidRDefault="005475E3" w:rsidP="00265A4E">
      <w:pPr>
        <w:jc w:val="both"/>
      </w:pPr>
      <w:r w:rsidRPr="00774395">
        <w:t xml:space="preserve">Meta-analysis is a statistical </w:t>
      </w:r>
      <w:r w:rsidR="00E63C6B" w:rsidRPr="00774395">
        <w:t>approach</w:t>
      </w:r>
      <w:r w:rsidRPr="00774395">
        <w:t xml:space="preserve"> </w:t>
      </w:r>
      <w:r w:rsidR="00E63C6B" w:rsidRPr="00774395">
        <w:t>allowing</w:t>
      </w:r>
      <w:r w:rsidR="00761731" w:rsidRPr="00774395">
        <w:t xml:space="preserve"> to </w:t>
      </w:r>
      <w:r w:rsidR="00A97897" w:rsidRPr="00774395">
        <w:t>analyse</w:t>
      </w:r>
      <w:r w:rsidR="00E206AA" w:rsidRPr="00774395">
        <w:t xml:space="preserve"> the </w:t>
      </w:r>
      <w:r w:rsidR="00761731" w:rsidRPr="00774395">
        <w:t xml:space="preserve">results of multiple </w:t>
      </w:r>
      <w:r w:rsidR="00317624" w:rsidRPr="00774395">
        <w:t xml:space="preserve">complex </w:t>
      </w:r>
      <w:r w:rsidR="00761731" w:rsidRPr="00774395">
        <w:t>studies</w:t>
      </w:r>
      <w:r w:rsidR="00E206AA" w:rsidRPr="00774395">
        <w:t>,</w:t>
      </w:r>
      <w:r w:rsidR="00E63C6B" w:rsidRPr="00774395">
        <w:t xml:space="preserve"> and to</w:t>
      </w:r>
      <w:r w:rsidR="00215198" w:rsidRPr="00774395">
        <w:t xml:space="preserve"> critically compare the results of different studies to identify patterns and relationships, leading to robust conclusions</w:t>
      </w:r>
      <w:r w:rsidR="00A244A9" w:rsidRPr="00774395">
        <w:t>. Meta-analys</w:t>
      </w:r>
      <w:r w:rsidR="00E87425" w:rsidRPr="00774395">
        <w:t>is</w:t>
      </w:r>
      <w:r w:rsidR="00A244A9" w:rsidRPr="00774395">
        <w:t xml:space="preserve"> </w:t>
      </w:r>
      <w:r w:rsidR="00E87425" w:rsidRPr="00774395">
        <w:t>has</w:t>
      </w:r>
      <w:r w:rsidR="00A244A9" w:rsidRPr="00774395">
        <w:t xml:space="preserve"> been carried out to </w:t>
      </w:r>
      <w:r w:rsidR="00A53AF2" w:rsidRPr="00774395">
        <w:t>investigate</w:t>
      </w:r>
      <w:r w:rsidR="00A244A9" w:rsidRPr="00774395">
        <w:t xml:space="preserve"> the effects of BC on </w:t>
      </w:r>
      <w:r w:rsidR="005A2EF9" w:rsidRPr="00774395">
        <w:t xml:space="preserve">GHG emissions from soil </w:t>
      </w:r>
      <w:r w:rsidR="005A2EF9" w:rsidRPr="00774395">
        <w:fldChar w:fldCharType="begin" w:fldLock="1"/>
      </w:r>
      <w:r w:rsidR="00520099">
        <w:instrText>ADDIN CSL_CITATION {"citationItems":[{"id":"ITEM-1","itemData":{"DOI":"10.1016/j.soilbio.2016.07.021","ISSN":"00380717","abstract":"Methane (CH4) emissions have increased by more than 150% since 1750, with agriculture being the major source. Further increases are predicted as permafrost regions start thawing, and rice and ruminant animal production expand. Biochar is posited to increase crop productivity while mitigating climate change by sequestering carbon in soils and by influencing greenhouse gas fluxes. There is a growing understanding of biochar effects on carbon dioxide and nitrous oxide fluxes from soil. However, little is known regarding the effects on net methane exchange, with single studies often reporting contradictory results. Here we aim to reconcile the disparate effects of biochar application to soil in agricultural systems on CH4 fluxes into a single interpretive framework by quantitative meta-analysis. This study shows that biochar has the potential to mitigate CH4 emissions from soils, particularly from flooded (i.e. paddy) fields (Hedge's d = −0.87) and/or acidic soils (Hedge's d = −1.56) where periods of flooding are part of the management regime. Conversely, addition of biochar to soils that do not have periods of flooding (Hedge's d = 0.65), in particular when neutral or alkaline (Hedge's d = 1.17 and 0.44, respectively), may have the potential to decrease the CH4 sink strength of those soils. Global methane fluxes are net positive as rice cultivation is a much larger source of CH4 than the sink contribution of upland soils. Therefore, this meta-study reveals that biochar use may have the potential to reduce atmospheric CH4 emissions from agricultural flooded soils on a global scale.","author":[{"dropping-particle":"","family":"Jeffery","given":"Simon","non-dropping-particle":"","parse-names":false,"suffix":""},{"dropping-particle":"","family":"Verheijen","given":"Frank G.A.","non-dropping-particle":"","parse-names":false,"suffix":""},{"dropping-particle":"","family":"Kammann","given":"Claudia","non-dropping-particle":"","parse-names":false,"suffix":""},{"dropping-particle":"","family":"Abalos","given":"Diego","non-dropping-particle":"","parse-names":false,"suffix":""}],"container-title":"Soil Biology and Biochemistry","id":"ITEM-1","issued":{"date-parts":[["2016"]]},"page":"251-258","publisher":"Elsevier Ltd","title":"Biochar effects on methane emissions from soils: A meta-analysis","type":"article-journal","volume":"101"},"uris":["http://www.mendeley.com/documents/?uuid=171c7fad-970a-4807-8f33-1de5f9aac9aa"]},{"id":"ITEM-2","itemData":{"DOI":"10.1111/gcbb.12376","ISSN":"1757-1707","abstract":"Biochar application to soils may increase carbon (C) sequestration due to the inputs of recalcitrant organic C. However, the effects of biochar application on the soil greenhouse gas (GHG) fluxes appear variable among many case studies; therefore, the efficacy of biochar as a carbon sequestration agent for climate change mitigation remains uncertain. We performed a meta-analysis of 91 published papers with 552 paired comparisons to obtain a central tendency of three main GHG fluxes (i.e., CO2, CH4, and N2O) in response to biochar application. Our results showed that biochar application significantly increased soil CO2 fluxes by 22.14%, but decreased N2O fluxes by 30.92% and did not affect CH4 fluxes. As a consequence, biochar application may significantly contribute to an increased global warming potential (GWP) of total soil GHG fluxes due to the large stimulation of CO2 fluxes. However, soil CO2 fluxes were suppressed when biochar was added to fertilized soils, indicating that biochar application is unlikely to stimulate CO2 fluxes in the agriculture sector, in which N fertilizer inputs are common. Responses of soil GHG fluxes mainly varied with biochar feedstock source and soil texture and the pyrolysis temperature of biochar. Soil and biochar pH, biochar applied rate, and latitude also influence soil GHG fluxes, but to a more limited extent. Our findings provide a scientific basis for developing more rational strategies toward widespread adoption of biochar as a soil amendment for climate change mitigation.","author":[{"dropping-particle":"","family":"He","given":"Yanghui","non-dropping-particle":"","parse-names":false,"suffix":""},{"dropping-particle":"","family":"Zhou","given":"Xuhui","non-dropping-particle":"","parse-names":false,"suffix":""},{"dropping-particle":"","family":"Jiang","given":"Liling","non-dropping-particle":"","parse-names":false,"suffix":""},{"dropping-particle":"","family":"Li","given":"Ming","non-dropping-particle":"","parse-names":false,"suffix":""},{"dropping-particle":"","family":"Du","given":"Zhenggang","non-dropping-particle":"","parse-names":false,"suffix":""},{"dropping-particle":"","family":"Zhou","given":"Guiyao","non-dropping-particle":"","parse-names":false,"suffix":""},{"dropping-particle":"","family":"Shao","given":"Junjiong","non-dropping-particle":"","parse-names":false,"suffix":""},{"dropping-particle":"","family":"Wang","given":"Xihua","non-dropping-particle":"","parse-names":false,"suffix":""},{"dropping-particle":"","family":"Xu","given":"Zhihong","non-dropping-particle":"","parse-names":false,"suffix":""},{"dropping-particle":"","family":"Hosseini Bai","given":"Shahla","non-dropping-particle":"","parse-names":false,"suffix":""},{"dropping-particle":"","family":"Wallace","given":"Helen","non-dropping-particle":"","parse-names":false,"suffix":""},{"dropping-particle":"","family":"Xu","given":"Chengyuan","non-dropping-particle":"","parse-names":false,"suffix":""},{"dropping-particle":"","family":"Bai","given":"Shahla Hosseini","non-dropping-particle":"","parse-names":false,"suffix":""},{"dropping-particle":"","family":"Wallace","given":"Helen","non-dropping-particle":"","parse-names":false,"suffix":""},{"dropping-particle":"","family":"Xu","given":"Chengyuan","non-dropping-particle":"","parse-names":false,"suffix":""}],"container-title":"GCB Bioenergy","id":"ITEM-2","issued":{"date-parts":[["2017","4","1"]]},"page":"743-755","publisher":"John Wiley &amp; Sons, Ltd","title":"Effects of biochar application on soil greenhouse gas fluxes: a meta-analysis","type":"article-journal","volume":"9"},"uris":["http://www.mendeley.com/documents/?uuid=6d35cb79-8c76-40d9-a087-80551d0be8c4"]},{"id":"ITEM-3","itemData":{"DOI":"10.1016/j.scitotenv.2018.11.396","ISSN":"0048-9697","PMID":"30625683","abstract":"The application of biochar to agricultural ecosystems is a potential solution to mitigate climate change and guarantee food security. However, the impacts of biochar on greenhouse gas emissions and crop yield are usually evaluated separately and the results are contradictory in individual studies. In this study, a meta-analysis was conducted based on data from 28 peer-reviewed studies to quantify the impacts of biochar application on greenhouse gas emissions and crop yield using yield-scaled greenhouse gas intensity (GHGI). Potential factors (experimental conditions and properties of soil and biochar) influencing the effect of biochar on yield-scaled GHGI were explored. The results showed that overall, biochar significantly reduced yield-scaled GHGI by 29%. The reductions in yield-scaled GHGI induced by biochar varied with different experimental conditions and properties of soil and biochar. However, the difference was only significant between the two cropping systems, with significantly greater reduction being observed in dry lands (−41%) than in paddy fields (−17%). Therefore, it is suggested that biochar amendment in dry lands may bring more environmental and agronomic benefits than that in paddy fields. The response of crop yield to biochar application further implied that biochar made from crop residue, biochar produced at low pyrolysis temperatures (≤400 °C), and biochar with high pH (&gt;9.0) might contribute to save the production cost of biochar while promoting crop yield in agricultural ecosystems. Long-term field trials are required to elucidate the persistence of the impact of biochar on reducing yield-scaled GHGI and to clarify the underlying mechanisms. The balance between the price of biochar production and the benefits brought by biochar should also be focused in further studies.","author":[{"dropping-particle":"","family":"Liu","given":"Xiang","non-dropping-particle":"","parse-names":false,"suffix":""},{"dropping-particle":"","family":"Mao","given":"Peini","non-dropping-particle":"","parse-names":false,"suffix":""},{"dropping-particle":"","family":"Li","given":"Lanhai","non-dropping-particle":"","parse-names":false,"suffix":""},{"dropping-particle":"","family":"Ma","given":"Jie","non-dropping-particle":"","parse-names":false,"suffix":""}],"container-title":"Science of The Total Environment","id":"ITEM-3","issued":{"date-parts":[["2019","3","15"]]},"page":"969-976","publisher":"Elsevier","title":"Impact of biochar application on yield-scaled greenhouse gas intensity: A meta-analysis","type":"article-journal","volume":"656"},"uris":["http://www.mendeley.com/documents/?uuid=33e1382e-52d7-39bc-ba57-52bcb4826d2b"]}],"mendeley":{"formattedCitation":"[31–33]","plainTextFormattedCitation":"[31–33]","previouslyFormattedCitation":"[31–33]"},"properties":{"noteIndex":0},"schema":"https://github.com/citation-style-language/schema/raw/master/csl-citation.json"}</w:instrText>
      </w:r>
      <w:r w:rsidR="005A2EF9" w:rsidRPr="00774395">
        <w:fldChar w:fldCharType="separate"/>
      </w:r>
      <w:r w:rsidR="00830B48" w:rsidRPr="00830B48">
        <w:rPr>
          <w:noProof/>
        </w:rPr>
        <w:t>[31–33]</w:t>
      </w:r>
      <w:r w:rsidR="005A2EF9" w:rsidRPr="00774395">
        <w:fldChar w:fldCharType="end"/>
      </w:r>
      <w:r w:rsidR="005A2EF9" w:rsidRPr="00774395">
        <w:t xml:space="preserve">, </w:t>
      </w:r>
      <w:r w:rsidR="003F7D7C" w:rsidRPr="00774395">
        <w:t xml:space="preserve">on plants growth and productivity </w:t>
      </w:r>
      <w:r w:rsidR="003F7D7C" w:rsidRPr="00774395">
        <w:fldChar w:fldCharType="begin" w:fldLock="1"/>
      </w:r>
      <w:r w:rsidR="00520099">
        <w:instrText>ADDIN CSL_CITATION {"citationItems":[{"id":"ITEM-1","itemData":{"DOI":"10.1111/gcbb.12037","ISSN":"1757-1707","abstract":"Biochar is a carbon-rich coproduct resulting from pyrolyzing biomass. When applied to the soil it resists decomposition, effectively sequestering the applied carbon and mitigating anthropogenic CO2 emissions. Other promoted benefits of biochar application to soil include increased plant productivity and reduced nutrient leaching. However, the effects of biochar are variable and it remains unclear if recent enthusiasm can be justified. We evaluate ecosystem responses to biochar application with a meta-analysis of 371 independent studies culled from 114 published manuscripts. We find that despite variability introduced by soil and climate, the addition of biochar to soils resulted, on average, in increased aboveground productivity, crop yield, soil microbial biomass, rhizobia nodulation, plant K tissue concentration, soil phosphorus (P), soil potassium (K), total soil nitrogen (N), and total soil carbon (C) compared with control conditions. Soil pH also tended to increase, becoming less acidic, following the addition of biochar. Variables that showed no significant mean response to biochar included belowground productivity, the ratio of aboveground: belowground biomass, mycorrhizal colonization of roots, plant tissue N, and soil P concentration, and soil inorganic N. Additional analyses found no detectable relationship between the amount of biochar added and aboveground productivity. Our results provide the first quantitative review of the effects of biochar on multiple ecosystem functions and the central tendencies suggest that biochar holds promise in being a win-win-win solution to energy, carbon storage, and ecosystem function. However, biochar's impacts on a fourth component, the downstream nontarget environments, remain unknown and present a critical research gap. © 2012 Blackwell Publishing Ltd.","author":[{"dropping-particle":"","family":"Biederman","given":"Lori A.","non-dropping-particle":"","parse-names":false,"suffix":""},{"dropping-particle":"","family":"Harpole","given":"W. Stanley","non-dropping-particle":"","parse-names":false,"suffix":""}],"container-title":"GCB Bioenergy","id":"ITEM-1","issue":"2","issued":{"date-parts":[["2013","3","1"]]},"page":"202-214","publisher":"John Wiley &amp; Sons, Ltd","title":"Biochar and its effects on plant productivity and nutrient cycling: a meta-analysis","type":"article-journal","volume":"5"},"uris":["http://www.mendeley.com/documents/?uuid=fc3529c3-a3f0-3230-b670-1ccd41dfb807"]},{"id":"ITEM-2","itemData":{"DOI":"10.1016/j.scitotenv.2019.06.244","ISSN":"0048-9697","PMID":"31234136","abstract":"The combined use of biochar and compost as a soil amendment presents benefits to crops and nutrient cycling. Although there are literature reviews regarding biochar and biochar-compost mixtures, a quantitative literature review on the role of co-composted biochar (hereby called COMBI) in plant productivity is currently missing. The goal of this review paper is to find evidence-based measures of the effects of application rates, soil pH, plant types, biochar feedstock, and compost materials, on plant productivity. Plant productivity covers a variety of measurements but mostly refers to grain yield and above-ground biomass. Response ratio was selected as the effect size. Funnel plot showed that the studies were reasonably symmetrically distributed around the mean effect size. Results showed that application rates of &lt;20 t/ha and &gt;30 t/ha significantly increased plant productivity by 48.3 and 15.7%, respectively, while no significant yield increases were found for the application rates between 20 and 30 t/ha. When data was grouped based on the soil pH, the greatest increase in plant productivity was found to be at acidic soil pH values (pH 4–5), which was expected because the liming effect of biochar is often reported as one of the main mechanisms behind the increased crop yields. When different plant species were compared, cereal grasses grown with COMBI yielded significantly higher grain yields (39.7%). Rice husk biochar yielded the highest increase in productivity but this result was based on only one study. The second highest increase was obtained with wood-based biochars (29.4%) based on ten studies. The effect sizes found with our meta-analyses are based on 14 research works worldwide and represent the most updated information regarding the effects of COMBI on plant production. As more data on COMBI become available, data analyses can be updated to make more robust comparisons.","author":[{"dropping-particle":"","family":"Wang","given":"Yuchuan","non-dropping-particle":"","parse-names":false,"suffix":""},{"dropping-particle":"","family":"Villamil","given":"Maria B.","non-dropping-particle":"","parse-names":false,"suffix":""},{"dropping-particle":"","family":"Davidson","given":"Paul C.","non-dropping-particle":"","parse-names":false,"suffix":""},{"dropping-particle":"","family":"Akdeniz","given":"Neslihan","non-dropping-particle":"","parse-names":false,"suffix":""}],"container-title":"Science of The Total Environment","id":"ITEM-2","issued":{"date-parts":[["2019","10","1"]]},"page":"741-752","publisher":"Elsevier","title":"A quantitative understanding of the role of co-composted biochar in plant growth using meta-analysis","type":"article-journal","volume":"685"},"uris":["http://www.mendeley.com/documents/?uuid=71b1c803-7a69-3f25-a1d6-37fd8999abfa"]}],"mendeley":{"formattedCitation":"[34,35]","plainTextFormattedCitation":"[34,35]","previouslyFormattedCitation":"[34,35]"},"properties":{"noteIndex":0},"schema":"https://github.com/citation-style-language/schema/raw/master/csl-citation.json"}</w:instrText>
      </w:r>
      <w:r w:rsidR="003F7D7C" w:rsidRPr="00774395">
        <w:fldChar w:fldCharType="separate"/>
      </w:r>
      <w:r w:rsidR="00830B48" w:rsidRPr="00830B48">
        <w:rPr>
          <w:noProof/>
        </w:rPr>
        <w:t>[34,35]</w:t>
      </w:r>
      <w:r w:rsidR="003F7D7C" w:rsidRPr="00774395">
        <w:fldChar w:fldCharType="end"/>
      </w:r>
      <w:r w:rsidR="003F7D7C" w:rsidRPr="00774395">
        <w:t xml:space="preserve">, </w:t>
      </w:r>
      <w:r w:rsidR="0047733F" w:rsidRPr="00774395">
        <w:t xml:space="preserve">and on soil properties </w:t>
      </w:r>
      <w:r w:rsidR="0047733F" w:rsidRPr="00774395">
        <w:fldChar w:fldCharType="begin" w:fldLock="1"/>
      </w:r>
      <w:r w:rsidR="00520099">
        <w:instrText>ADDIN CSL_CITATION {"citationItems":[{"id":"ITEM-1","itemData":{"DOI":"10.1016/j.geoderma.2016.03.029","ISSN":"0016-7061","abstract":"The use of biochar as a soil amendment had been increasingly advocated for its effects on carbon sequestration and greenhouse gas emission mitigation as well as on improvement of soil fertility. However, lack of a general assessment of biochar effects on soil physical properties made it difficult for the recommendations for its practical use for soil quality improvement in global agriculture. In this study, we performed a meta-analysis of literature data published by October 2015 and quantified biochar effects on selected soil physical properties. The literature data covered a range of feedstocks, pyrolysis temperature, soil and experimental conditions. Results showed that biochar amendment significantly improved all the soil physical properties tested. On average, soil bulk density was significantly reduced by 7.6% whereas soil porosity significantly increased by 8.4%, aggregate stability by 8.2%, available water holding capacity (AWC) by 15.1% and saturated hydraulic conductivity by 25.2%. Furthermore, the changes in soil bulk density were negatively correlated to porosity and AWC. In addition, these effects were greater in coarse textured soils than in fine textured soils. While the size of biochar effect on soil physical properties varied with the amount of biochar added, changes in bulk density only was correlated to application rates of crop residue and wood biochar. Overall, biochar amendments could likely improve soil hydrological properties though varying with biochar and soil conditions. Use of biochar thus could offer a viable option to improve moisture storage and water use efficiency for soils poor in organic carbon in arid/semiarid zones. More studies on dynamics of soil hydrological behaviors following biochar amendment should be deserved in field conditions for a sound understanding of biochar's potential in world agriculture.","author":[{"dropping-particle":"","family":"Omondi","given":"Morris Oduor","non-dropping-particle":"","parse-names":false,"suffix":""},{"dropping-particle":"","family":"Xia","given":"Xin","non-dropping-particle":"","parse-names":false,"suffix":""},{"dropping-particle":"","family":"Nahayo","given":"Alphonse","non-dropping-particle":"","parse-names":false,"suffix":""},{"dropping-particle":"","family":"Liu","given":"Xiaoyu","non-dropping-particle":"","parse-names":false,"suffix":""},{"dropping-particle":"","family":"Korai","given":"Punhoon Khan","non-dropping-particle":"","parse-names":false,"suffix":""},{"dropping-particle":"","family":"Pan","given":"Genxing","non-dropping-particle":"","parse-names":false,"suffix":""}],"container-title":"Geoderma","id":"ITEM-1","issued":{"date-parts":[["2016","7","15"]]},"page":"28-34","publisher":"Elsevier","title":"Quantification of biochar effects on soil hydrological properties using meta-analysis of literature data","type":"article-journal","volume":"274"},"uris":["http://www.mendeley.com/documents/?uuid=8411528b-7e03-4a1b-a3f5-b6128448cbc5"]},{"id":"ITEM-2","itemData":{"DOI":"10.1016/j.geoderma.2016.11.004","ISBN":"0016-7061","ISSN":"00167061","abstract":"The interaction between biochar and soil changes nitrogen (N) dynamics in different ecosystems. Although multiple studies have reported influences of biochar on soil inorganic N (SIN) including ammonium (NH4+-N) and nitrate (NO3−-N), the influences reported are contradictory. We undertook a meta-analysis to investigate how biochar properties and the interaction among biochar, soil and fertilisation affect SIN. This quantitative analysis used 56 studies with 1080 experimental cases from manuscripts published between 2010 and 2015. Overall, we found that biochar reduced SIN regardless of experimental conditions (approximately −ï¿½11ï¿½ï¿½ï¿½2% of NH4+-N and −ï¿½10ï¿½ï¿½ï¿½1.6% of NO3−-N); however, 95% of cases were observed within one year after biochar application. SIN was best explained by residence time of biochar in soil, pyrolysis temperature, application rate, fertiliser type, and soil pH. The effects of biochar were complex due to the interaction of biochar with environmental factors. Most biochar trials used wood as a feedstock, but woody biochar did not decrease SIN as much as other plant-derived biochars. When biochar was used with NH4-based fertilisers, SIN decreased compared to biochar with no fertiliser. In contrast, adding organic fertiliser with biochar increased SIN compared to biochar alone. SIN was clearly reduced after one month of biochar application, suggesting that biochar should be applied at least one month prior to planting so plants are not affected by decreased N. Our results revealed that the interactions between biochar and environmental factors, pyrolysis temperature of biochar and biochar surface properties are the main driving factors affecting SIN. There were limited long-term studies of &gt;ï¿½1ï¿½year, thus the long-term effects of biochar on SIN still remain unclear.","author":[{"dropping-particle":"","family":"Nguyen","given":"Thi Thu Nhan","non-dropping-particle":"","parse-names":false,"suffix":""},{"dropping-particle":"","family":"Xu","given":"Cheng Yuan","non-dropping-particle":"","parse-names":false,"suffix":""},{"dropping-particle":"","family":"Tahmasbian","given":"Iman","non-dropping-particle":"","parse-names":false,"suffix":""},{"dropping-particle":"","family":"Che","given":"Rongxiao","non-dropping-particle":"","parse-names":false,"suffix":""},{"dropping-particle":"","family":"Xu","given":"Zhihong","non-dropping-particle":"","parse-names":false,"suffix":""},{"dropping-particle":"","family":"Zhou","given":"Xuhui","non-dropping-particle":"","parse-names":false,"suffix":""},{"dropping-particle":"","family":"Wallace","given":"Helen M.","non-dropping-particle":"","parse-names":false,"suffix":""},{"dropping-particle":"","family":"Bai","given":"Shahla Hosseini","non-dropping-particle":"","parse-names":false,"suffix":""}],"container-title":"Geoderma","id":"ITEM-2","issued":{"date-parts":[["2017"]]},"page":"79-96","publisher":"Elsevier","title":"Effects of biochar on soil available inorganic nitrogen: A review and meta-analysis","type":"article-journal","volume":"288"},"uris":["http://www.mendeley.com/documents/?uuid=a5a72457-7ced-4c21-a7f9-34fd9b19e57d"]},{"id":"ITEM-3","itemData":{"DOI":"10.1016/j.geoderma.2019.114055","ISSN":"0016-7061","abstract":"Biochar is widely suggested as a soil amendment to improve soil physical properties for crop production. However, the heterogeneity between experiments in terms of biochar characteristics, experimental conditions and soil properties makes it difficult to compare and extrapolate results from different studies. We conducted a statistical meta-analysis of literature published between 2010 and 2019, and quantified biochar's impacts on soil bulk density (BD) and water retention variables, namely, soil water content held at field capacity (FC), wilting point (WP) and plant available water content (AW). Across all soil textural groups, biochar on average decreased BD by 9%. FC and WP significantly increased for the coarse-textured soils (by 51% and 47%, respectively), and moderately for the medium-textured soils (by 13% and 9%, respectively). For the fine-textured soils, FC remained unchanged (&lt;1%), but WP marginally decreased by 5%. Biochar significantly increased AW in the coarse-textured soils (by 45%) compared to the medium- and fine-textured soils (by 21% and 14%, respectively) suggesting that biochar may have greater benefit on coarse-textured soils. We introduced a novel parameter called ‘biochar carbon added’, estimated from biochar carbon content and the rate of application, which can be useful to make a sound comparison of biochar impacts on soil physical properties reported in different case studies when variable biochar attributes, experimental conditions and soil types have been used. The meta-analysis highlights again the need to provide adequate information on biochar experiments and soil water retention variables to allow better elucidation of the underlying mechanisms of biochar's impact on soil water retention and more.","author":[{"dropping-particle":"","family":"Razzaghi","given":"Fatemeh","non-dropping-particle":"","parse-names":false,"suffix":""},{"dropping-particle":"","family":"Obour","given":"Peter Bilson","non-dropping-particle":"","parse-names":false,"suffix":""},{"dropping-particle":"","family":"Arthur","given":"Emmanuel","non-dropping-particle":"","parse-names":false,"suffix":""}],"container-title":"Geoderma","id":"ITEM-3","issued":{"date-parts":[["2020","3","1"]]},"page":"114055","publisher":"Elsevier","title":"Does biochar improve soil water retention? A systematic review and meta-analysis","type":"article-journal","volume":"361"},"uris":["http://www.mendeley.com/documents/?uuid=f28da4ee-385e-3dbc-8fd5-abac0e457d45"]}],"mendeley":{"formattedCitation":"[36–38]","plainTextFormattedCitation":"[36–38]","previouslyFormattedCitation":"[36–38]"},"properties":{"noteIndex":0},"schema":"https://github.com/citation-style-language/schema/raw/master/csl-citation.json"}</w:instrText>
      </w:r>
      <w:r w:rsidR="0047733F" w:rsidRPr="00774395">
        <w:fldChar w:fldCharType="separate"/>
      </w:r>
      <w:r w:rsidR="00830B48" w:rsidRPr="00830B48">
        <w:rPr>
          <w:noProof/>
        </w:rPr>
        <w:t>[36–38]</w:t>
      </w:r>
      <w:r w:rsidR="0047733F" w:rsidRPr="00774395">
        <w:fldChar w:fldCharType="end"/>
      </w:r>
      <w:r w:rsidR="0047733F" w:rsidRPr="00774395">
        <w:t xml:space="preserve">. </w:t>
      </w:r>
      <w:r w:rsidR="00A53AF2" w:rsidRPr="00774395">
        <w:t xml:space="preserve">Recently, Xiao et al. (2021) </w:t>
      </w:r>
      <w:r w:rsidR="00A53AF2" w:rsidRPr="00774395">
        <w:fldChar w:fldCharType="begin" w:fldLock="1"/>
      </w:r>
      <w:r w:rsidR="00101137" w:rsidRPr="00774395">
        <w:instrText>ADDIN CSL_CITATION {"citationItems":[{"id":"ITEM-1","itemData":{"DOI":"10.1007/s10311-021-01251-6","ISSN":"16103661","abstract":"Climate change and energy demand are calling for more sustainable fuels such as biomethane produced by anaerobic digestion of organic waste. Biochar addition to waste is presumed to enhance the efficiency of methane production, yet individual reports disclose contradictory results. Therefore, we performed a meta-analysis of 27 selected publications containing 156 paired measurements of control and biochar-amended treatments to assess the impact of biochar on the methanogenic performance. Results show that biochar promotes biomethane production substantially with a high Hedge's d value of 5.7 ± 1.04, yet sporadic publications report a methane decline. Methanogenic performance is statistically controlled by feedstock type, pyrolysis temperature and biochar concentration, but not controlled by pH, size, surface area and methanogen species. These findings should help to tune the parameters of anaerobic digestion with biochar to optimize biomethane productions. Moreover, our results cast some doubt on the efficiency of adding biochar to soil to sequester carbon in soils because biochar promotes methane generation and, in turn, emissions of methane, a greenhouse gas, to the atmosphere.","author":[{"dropping-particle":"","family":"Xiao","given":"Leilei","non-dropping-particle":"","parse-names":false,"suffix":""},{"dropping-particle":"","family":"Lichtfouse","given":"Eric","non-dropping-particle":"","parse-names":false,"suffix":""},{"dropping-particle":"","family":"Kumar","given":"P. Senthil","non-dropping-particle":"","parse-names":false,"suffix":""},{"dropping-particle":"","family":"Wang","given":"Quan","non-dropping-particle":"","parse-names":false,"suffix":""},{"dropping-particle":"","family":"Liu","given":"Fanghua","non-dropping-particle":"","parse-names":false,"suffix":""}],"container-title":"Environmental Chemistry Letters","id":"ITEM-1","issue":"5","issued":{"date-parts":[["2021","5","1"]]},"page":"3557-3564","publisher":"Springer","title":"Biochar promotes methane production during anaerobic digestion of organic waste","type":"article-journal","volume":"19"},"uris":["http://www.mendeley.com/documents/?uuid=8db66765-0cc0-4fcf-aa38-c8e4a43aed7b"]}],"mendeley":{"formattedCitation":"[27]","plainTextFormattedCitation":"[27]","previouslyFormattedCitation":"[27]"},"properties":{"noteIndex":0},"schema":"https://github.com/citation-style-language/schema/raw/master/csl-citation.json"}</w:instrText>
      </w:r>
      <w:r w:rsidR="00A53AF2" w:rsidRPr="00774395">
        <w:fldChar w:fldCharType="separate"/>
      </w:r>
      <w:r w:rsidR="00A90022" w:rsidRPr="00774395">
        <w:rPr>
          <w:noProof/>
        </w:rPr>
        <w:t>[27]</w:t>
      </w:r>
      <w:r w:rsidR="00A53AF2" w:rsidRPr="00774395">
        <w:fldChar w:fldCharType="end"/>
      </w:r>
      <w:r w:rsidR="0047733F" w:rsidRPr="00774395">
        <w:t xml:space="preserve"> </w:t>
      </w:r>
      <w:r w:rsidR="00A53AF2" w:rsidRPr="00774395">
        <w:t xml:space="preserve">conducted a meta-analysis </w:t>
      </w:r>
      <w:r w:rsidR="002E3FE7">
        <w:t>on</w:t>
      </w:r>
      <w:r w:rsidR="002E3FE7" w:rsidRPr="00774395">
        <w:t xml:space="preserve"> 27 publications and 156 datasets </w:t>
      </w:r>
      <w:r w:rsidR="00B75585" w:rsidRPr="00774395">
        <w:t>to assess the impact of BC properties</w:t>
      </w:r>
      <w:r w:rsidR="00EE36B7">
        <w:t xml:space="preserve"> (</w:t>
      </w:r>
      <w:r w:rsidR="002E3FE7">
        <w:t>dose, pH, size, specific surface area, feedstock, pyrolysis temperature</w:t>
      </w:r>
      <w:r w:rsidR="00EE36B7">
        <w:t>)</w:t>
      </w:r>
      <w:r w:rsidR="00B75585" w:rsidRPr="00774395">
        <w:t xml:space="preserve"> on AD performance, concluding </w:t>
      </w:r>
      <w:r w:rsidR="009618E9" w:rsidRPr="00774395">
        <w:t xml:space="preserve">that </w:t>
      </w:r>
      <w:r w:rsidR="00B75585" w:rsidRPr="00774395">
        <w:t xml:space="preserve">BC </w:t>
      </w:r>
      <w:r w:rsidR="008F51F7" w:rsidRPr="00774395">
        <w:t>enhances</w:t>
      </w:r>
      <w:r w:rsidR="00B75585" w:rsidRPr="00774395">
        <w:t xml:space="preserve"> </w:t>
      </w:r>
      <w:r w:rsidR="00F36917" w:rsidRPr="00774395">
        <w:t>methane production</w:t>
      </w:r>
      <w:r w:rsidR="001334E6" w:rsidRPr="00774395">
        <w:t>,</w:t>
      </w:r>
      <w:r w:rsidR="00F36917" w:rsidRPr="00774395">
        <w:t xml:space="preserve"> and suggesting </w:t>
      </w:r>
      <w:r w:rsidR="002E3FE7">
        <w:t>that</w:t>
      </w:r>
      <w:r w:rsidR="00F36917" w:rsidRPr="00774395">
        <w:t xml:space="preserve"> BC</w:t>
      </w:r>
      <w:r w:rsidR="002E3FE7">
        <w:t xml:space="preserve"> feature</w:t>
      </w:r>
      <w:r w:rsidR="00231FAD">
        <w:t>s</w:t>
      </w:r>
      <w:r w:rsidR="002E3FE7">
        <w:t xml:space="preserve"> able to control methane production were feedstock type, pyrolysis temperature and BC dose,</w:t>
      </w:r>
      <w:r w:rsidR="00EE36B7">
        <w:t xml:space="preserve"> without defining their optimal range values</w:t>
      </w:r>
      <w:r w:rsidR="00F36917" w:rsidRPr="00774395">
        <w:t xml:space="preserve">. </w:t>
      </w:r>
      <w:r w:rsidR="007A49F1">
        <w:t>C</w:t>
      </w:r>
      <w:r w:rsidR="00A97897" w:rsidRPr="00774395">
        <w:t xml:space="preserve">ompared to </w:t>
      </w:r>
      <w:r w:rsidR="00997E51" w:rsidRPr="00774395">
        <w:t xml:space="preserve">Xiao et al. (2021) </w:t>
      </w:r>
      <w:r w:rsidR="0064685A" w:rsidRPr="00231FAD">
        <w:fldChar w:fldCharType="begin" w:fldLock="1"/>
      </w:r>
      <w:r w:rsidR="00101137" w:rsidRPr="00231FAD">
        <w:instrText>ADDIN CSL_CITATION {"citationItems":[{"id":"ITEM-1","itemData":{"DOI":"10.1007/s10311-021-01251-6","ISSN":"16103661","abstract":"Climate change and energy demand are calling for more sustainable fuels such as biomethane produced by anaerobic digestion of organic waste. Biochar addition to waste is presumed to enhance the efficiency of methane production, yet individual reports disclose contradictory results. Therefore, we performed a meta-analysis of 27 selected publications containing 156 paired measurements of control and biochar-amended treatments to assess the impact of biochar on the methanogenic performance. Results show that biochar promotes biomethane production substantially with a high Hedge's d value of 5.7 ± 1.04, yet sporadic publications report a methane decline. Methanogenic performance is statistically controlled by feedstock type, pyrolysis temperature and biochar concentration, but not controlled by pH, size, surface area and methanogen species. These findings should help to tune the parameters of anaerobic digestion with biochar to optimize biomethane productions. Moreover, our results cast some doubt on the efficiency of adding biochar to soil to sequester carbon in soils because biochar promotes methane generation and, in turn, emissions of methane, a greenhouse gas, to the atmosphere.","author":[{"dropping-particle":"","family":"Xiao","given":"Leilei","non-dropping-particle":"","parse-names":false,"suffix":""},{"dropping-particle":"","family":"Lichtfouse","given":"Eric","non-dropping-particle":"","parse-names":false,"suffix":""},{"dropping-particle":"","family":"Kumar","given":"P. Senthil","non-dropping-particle":"","parse-names":false,"suffix":""},{"dropping-particle":"","family":"Wang","given":"Quan","non-dropping-particle":"","parse-names":false,"suffix":""},{"dropping-particle":"","family":"Liu","given":"Fanghua","non-dropping-particle":"","parse-names":false,"suffix":""}],"container-title":"Environmental Chemistry Letters","id":"ITEM-1","issue":"5","issued":{"date-parts":[["2021","5","1"]]},"page":"3557-3564","publisher":"Springer","title":"Biochar promotes methane production during anaerobic digestion of organic waste","type":"article-journal","volume":"19"},"uris":["http://www.mendeley.com/documents/?uuid=8db66765-0cc0-4fcf-aa38-c8e4a43aed7b"]}],"mendeley":{"formattedCitation":"[27]","plainTextFormattedCitation":"[27]","previouslyFormattedCitation":"[27]"},"properties":{"noteIndex":0},"schema":"https://github.com/citation-style-language/schema/raw/master/csl-citation.json"}</w:instrText>
      </w:r>
      <w:r w:rsidR="0064685A" w:rsidRPr="00231FAD">
        <w:fldChar w:fldCharType="separate"/>
      </w:r>
      <w:r w:rsidR="0064685A" w:rsidRPr="00231FAD">
        <w:rPr>
          <w:noProof/>
        </w:rPr>
        <w:t>[27]</w:t>
      </w:r>
      <w:r w:rsidR="0064685A" w:rsidRPr="00231FAD">
        <w:fldChar w:fldCharType="end"/>
      </w:r>
      <w:r w:rsidR="00A97897" w:rsidRPr="00231FAD">
        <w:t xml:space="preserve">, </w:t>
      </w:r>
      <w:r w:rsidR="007A49F1" w:rsidRPr="00C40114">
        <w:t>submitt</w:t>
      </w:r>
      <w:r w:rsidR="000A26B0" w:rsidRPr="00C40114">
        <w:t>ed in Ma</w:t>
      </w:r>
      <w:r w:rsidR="007A49F1" w:rsidRPr="00C40114">
        <w:t>rch</w:t>
      </w:r>
      <w:r w:rsidR="000A26B0" w:rsidRPr="00C40114">
        <w:t xml:space="preserve"> 2021,</w:t>
      </w:r>
      <w:r w:rsidR="007A49F1" w:rsidRPr="00C40114">
        <w:t xml:space="preserve"> this work presents the results of a meta-analysis that has elements of novelty as follows. In details, just 6 months later (in September </w:t>
      </w:r>
      <w:r w:rsidR="00AB4616" w:rsidRPr="00231FAD">
        <w:t>202</w:t>
      </w:r>
      <w:r w:rsidR="00EB238B" w:rsidRPr="00C40114">
        <w:t>1</w:t>
      </w:r>
      <w:r w:rsidR="007A49F1" w:rsidRPr="00C40114">
        <w:t>)</w:t>
      </w:r>
      <w:r w:rsidR="00AB4616" w:rsidRPr="00774395">
        <w:t xml:space="preserve"> </w:t>
      </w:r>
      <w:r w:rsidR="002E3FE7">
        <w:t xml:space="preserve">over 50 </w:t>
      </w:r>
      <w:r w:rsidR="00572444" w:rsidRPr="00774395">
        <w:t>additional</w:t>
      </w:r>
      <w:r w:rsidR="00426D25" w:rsidRPr="00774395">
        <w:t xml:space="preserve"> studies</w:t>
      </w:r>
      <w:r w:rsidR="00572444" w:rsidRPr="00774395">
        <w:t xml:space="preserve"> </w:t>
      </w:r>
      <w:r w:rsidR="002E3FE7">
        <w:t>exploring</w:t>
      </w:r>
      <w:r w:rsidR="007A49F1">
        <w:t xml:space="preserve"> BC influence on AD</w:t>
      </w:r>
      <w:r w:rsidR="006C2D2A" w:rsidRPr="006C2D2A">
        <w:t xml:space="preserve"> </w:t>
      </w:r>
      <w:r w:rsidR="006C2D2A" w:rsidRPr="00774395">
        <w:t>have been published</w:t>
      </w:r>
      <w:r w:rsidR="002E3FE7">
        <w:t xml:space="preserve">. Therefore, </w:t>
      </w:r>
      <w:r w:rsidR="000A7790" w:rsidRPr="00774395">
        <w:t xml:space="preserve">compared to the ones considered in </w:t>
      </w:r>
      <w:r w:rsidR="00997E51" w:rsidRPr="00774395">
        <w:t xml:space="preserve">Xiao et al. (2021) </w:t>
      </w:r>
      <w:r w:rsidR="00997E51" w:rsidRPr="00774395">
        <w:fldChar w:fldCharType="begin" w:fldLock="1"/>
      </w:r>
      <w:r w:rsidR="00997E51" w:rsidRPr="00774395">
        <w:instrText>ADDIN CSL_CITATION {"citationItems":[{"id":"ITEM-1","itemData":{"DOI":"10.1007/s10311-021-01251-6","ISSN":"16103661","abstract":"Climate change and energy demand are calling for more sustainable fuels such as biomethane produced by anaerobic digestion of organic waste. Biochar addition to waste is presumed to enhance the efficiency of methane production, yet individual reports disclose contradictory results. Therefore, we performed a meta-analysis of 27 selected publications containing 156 paired measurements of control and biochar-amended treatments to assess the impact of biochar on the methanogenic performance. Results show that biochar promotes biomethane production substantially with a high Hedge's d value of 5.7 ± 1.04, yet sporadic publications report a methane decline. Methanogenic performance is statistically controlled by feedstock type, pyrolysis temperature and biochar concentration, but not controlled by pH, size, surface area and methanogen species. These findings should help to tune the parameters of anaerobic digestion with biochar to optimize biomethane productions. Moreover, our results cast some doubt on the efficiency of adding biochar to soil to sequester carbon in soils because biochar promotes methane generation and, in turn, emissions of methane, a greenhouse gas, to the atmosphere.","author":[{"dropping-particle":"","family":"Xiao","given":"Leilei","non-dropping-particle":"","parse-names":false,"suffix":""},{"dropping-particle":"","family":"Lichtfouse","given":"Eric","non-dropping-particle":"","parse-names":false,"suffix":""},{"dropping-particle":"","family":"Kumar","given":"P. Senthil","non-dropping-particle":"","parse-names":false,"suffix":""},{"dropping-particle":"","family":"Wang","given":"Quan","non-dropping-particle":"","parse-names":false,"suffix":""},{"dropping-particle":"","family":"Liu","given":"Fanghua","non-dropping-particle":"","parse-names":false,"suffix":""}],"container-title":"Environmental Chemistry Letters","id":"ITEM-1","issue":"5","issued":{"date-parts":[["2021","5","1"]]},"page":"3557-3564","publisher":"Springer","title":"Biochar promotes methane production during anaerobic digestion of organic waste","type":"article-journal","volume":"19"},"uris":["http://www.mendeley.com/documents/?uuid=8db66765-0cc0-4fcf-aa38-c8e4a43aed7b"]}],"mendeley":{"formattedCitation":"[27]","plainTextFormattedCitation":"[27]","previouslyFormattedCitation":"[27]"},"properties":{"noteIndex":0},"schema":"https://github.com/citation-style-language/schema/raw/master/csl-citation.json"}</w:instrText>
      </w:r>
      <w:r w:rsidR="00997E51" w:rsidRPr="00774395">
        <w:fldChar w:fldCharType="separate"/>
      </w:r>
      <w:r w:rsidR="00997E51" w:rsidRPr="00774395">
        <w:rPr>
          <w:noProof/>
        </w:rPr>
        <w:t>[27]</w:t>
      </w:r>
      <w:r w:rsidR="00997E51" w:rsidRPr="00774395">
        <w:fldChar w:fldCharType="end"/>
      </w:r>
      <w:r w:rsidR="00AB4616" w:rsidRPr="00774395">
        <w:t>, m</w:t>
      </w:r>
      <w:r w:rsidR="00426D25" w:rsidRPr="00774395">
        <w:t xml:space="preserve">ore </w:t>
      </w:r>
      <w:r w:rsidR="00A747DA" w:rsidRPr="00774395">
        <w:t xml:space="preserve">datasets </w:t>
      </w:r>
      <w:r w:rsidR="00941046" w:rsidRPr="00774395">
        <w:t xml:space="preserve">can be accounted </w:t>
      </w:r>
      <w:r w:rsidR="00A252DC" w:rsidRPr="00774395">
        <w:t>in</w:t>
      </w:r>
      <w:r w:rsidR="00941046" w:rsidRPr="00774395">
        <w:t xml:space="preserve"> </w:t>
      </w:r>
      <w:r w:rsidR="000A7790" w:rsidRPr="00774395">
        <w:t xml:space="preserve">a </w:t>
      </w:r>
      <w:r w:rsidR="00941046" w:rsidRPr="00774395">
        <w:t>meta-analysis</w:t>
      </w:r>
      <w:r w:rsidR="0089222F" w:rsidRPr="00774395">
        <w:t xml:space="preserve">, </w:t>
      </w:r>
      <w:r w:rsidR="00997E51" w:rsidRPr="00774395">
        <w:t>considering</w:t>
      </w:r>
      <w:r w:rsidR="007E550C" w:rsidRPr="00774395">
        <w:t xml:space="preserve"> </w:t>
      </w:r>
      <w:r w:rsidR="00EE36B7">
        <w:t>a wider number of</w:t>
      </w:r>
      <w:r w:rsidR="006C2D2A">
        <w:t xml:space="preserve"> </w:t>
      </w:r>
      <w:r w:rsidR="00941046" w:rsidRPr="00774395">
        <w:t>BC physi</w:t>
      </w:r>
      <w:r w:rsidR="00215198" w:rsidRPr="00774395">
        <w:t>c</w:t>
      </w:r>
      <w:r w:rsidR="00941046" w:rsidRPr="00774395">
        <w:t xml:space="preserve">o-chemical </w:t>
      </w:r>
      <w:r w:rsidR="00A252DC" w:rsidRPr="00774395">
        <w:t>features</w:t>
      </w:r>
      <w:r w:rsidR="00941046" w:rsidRPr="00774395">
        <w:t xml:space="preserve"> </w:t>
      </w:r>
      <w:r w:rsidR="0089222F" w:rsidRPr="00774395">
        <w:t xml:space="preserve">(conductivity, pH, </w:t>
      </w:r>
      <w:r w:rsidR="00510E33">
        <w:t>specific</w:t>
      </w:r>
      <w:r w:rsidR="00510E33" w:rsidRPr="00774395">
        <w:t xml:space="preserve"> </w:t>
      </w:r>
      <w:r w:rsidR="0089222F" w:rsidRPr="00774395">
        <w:t>surface area, particle size, dose)</w:t>
      </w:r>
      <w:r w:rsidR="00203278" w:rsidRPr="00774395">
        <w:t>,</w:t>
      </w:r>
      <w:r w:rsidR="00941046" w:rsidRPr="00774395">
        <w:t xml:space="preserve"> </w:t>
      </w:r>
      <w:r w:rsidR="00A252DC" w:rsidRPr="00774395">
        <w:t xml:space="preserve">BC </w:t>
      </w:r>
      <w:r w:rsidR="00A505D5" w:rsidRPr="00774395">
        <w:t>production</w:t>
      </w:r>
      <w:r w:rsidR="0089222F" w:rsidRPr="00774395">
        <w:t xml:space="preserve"> </w:t>
      </w:r>
      <w:r w:rsidR="009618E9" w:rsidRPr="00774395">
        <w:t xml:space="preserve">characteristics </w:t>
      </w:r>
      <w:r w:rsidR="0089222F" w:rsidRPr="00774395">
        <w:t xml:space="preserve">(feedstocks </w:t>
      </w:r>
      <w:r w:rsidR="00A747DA" w:rsidRPr="00774395">
        <w:t xml:space="preserve">and </w:t>
      </w:r>
      <w:r w:rsidR="0089222F" w:rsidRPr="00774395">
        <w:t>pyrolysis temperature)</w:t>
      </w:r>
      <w:r w:rsidR="00203278" w:rsidRPr="00774395">
        <w:t>, and</w:t>
      </w:r>
      <w:r w:rsidR="00941046" w:rsidRPr="00774395">
        <w:t xml:space="preserve"> </w:t>
      </w:r>
      <w:r w:rsidR="00510E33">
        <w:t xml:space="preserve">also </w:t>
      </w:r>
      <w:r w:rsidR="0089222F" w:rsidRPr="00774395">
        <w:t>AD</w:t>
      </w:r>
      <w:r w:rsidR="009618E9" w:rsidRPr="00774395">
        <w:t xml:space="preserve"> operating conditions</w:t>
      </w:r>
      <w:r w:rsidR="0089222F" w:rsidRPr="00774395">
        <w:t xml:space="preserve"> </w:t>
      </w:r>
      <w:r w:rsidR="00821BEF" w:rsidRPr="00774395">
        <w:t xml:space="preserve">and </w:t>
      </w:r>
      <w:r w:rsidR="0072599F" w:rsidRPr="00774395">
        <w:t>substrates</w:t>
      </w:r>
      <w:r w:rsidR="00941046" w:rsidRPr="00774395">
        <w:t>.</w:t>
      </w:r>
      <w:r w:rsidR="006C2D2A">
        <w:t xml:space="preserve"> </w:t>
      </w:r>
      <w:r w:rsidR="006C2D2A" w:rsidRPr="00C40114">
        <w:t>T</w:t>
      </w:r>
      <w:r w:rsidR="00645C54" w:rsidRPr="00231FAD">
        <w:t>o our knowledge,</w:t>
      </w:r>
      <w:r w:rsidR="00645C54" w:rsidRPr="00985593">
        <w:t xml:space="preserve"> </w:t>
      </w:r>
      <w:r w:rsidR="00B0701F">
        <w:t>a key knowledge gap of t</w:t>
      </w:r>
      <w:r w:rsidR="006C2D2A">
        <w:t xml:space="preserve">he available literature </w:t>
      </w:r>
      <w:r w:rsidR="00B0701F">
        <w:t xml:space="preserve">is that it </w:t>
      </w:r>
      <w:r w:rsidR="006C2D2A">
        <w:t xml:space="preserve">only suggests what are BC desirable properties, </w:t>
      </w:r>
      <w:r w:rsidR="00510E33">
        <w:t>without defining</w:t>
      </w:r>
      <w:r w:rsidR="006C2D2A" w:rsidRPr="00985593">
        <w:t xml:space="preserve"> </w:t>
      </w:r>
      <w:r w:rsidR="00645C54" w:rsidRPr="00985593">
        <w:t xml:space="preserve">the </w:t>
      </w:r>
      <w:r w:rsidR="00203278" w:rsidRPr="00985593">
        <w:t>optimal range</w:t>
      </w:r>
      <w:r w:rsidR="00510E33">
        <w:t xml:space="preserve"> values</w:t>
      </w:r>
      <w:r w:rsidR="00645C54" w:rsidRPr="00985593">
        <w:t xml:space="preserve"> of</w:t>
      </w:r>
      <w:r w:rsidR="00B0701F">
        <w:t xml:space="preserve"> the single</w:t>
      </w:r>
      <w:r w:rsidR="00645C54" w:rsidRPr="00985593">
        <w:t xml:space="preserve"> BC physico-chemical properties</w:t>
      </w:r>
      <w:r w:rsidR="00510E33">
        <w:t>,</w:t>
      </w:r>
      <w:r w:rsidR="00645C54" w:rsidRPr="00985593">
        <w:t xml:space="preserve"> their correlation with AD performance</w:t>
      </w:r>
      <w:r w:rsidR="00510E33">
        <w:t xml:space="preserve">, </w:t>
      </w:r>
      <w:r w:rsidR="00B0701F">
        <w:t>nor</w:t>
      </w:r>
      <w:r w:rsidR="00510E33">
        <w:t xml:space="preserve"> the AD substrates and operating conditions that are more likely improved by BC </w:t>
      </w:r>
      <w:r w:rsidR="00510E33">
        <w:lastRenderedPageBreak/>
        <w:t>supplementation</w:t>
      </w:r>
      <w:r w:rsidR="00645C54" w:rsidRPr="00985593">
        <w:t>.</w:t>
      </w:r>
      <w:r w:rsidR="00645C54" w:rsidRPr="00774395">
        <w:t xml:space="preserve"> </w:t>
      </w:r>
      <w:r w:rsidR="00203278" w:rsidRPr="00774395">
        <w:t xml:space="preserve">It is reasonable to expect different effects of BC on AD performance depending on the specific combinations of AD temperature and feeding conditions (substrate, organic load); for instance, BC was acknowledged as a stabilizing agent </w:t>
      </w:r>
      <w:r w:rsidR="00203278" w:rsidRPr="00774395">
        <w:fldChar w:fldCharType="begin" w:fldLock="1"/>
      </w:r>
      <w:r w:rsidR="00203278" w:rsidRPr="00774395">
        <w:instrText>ADDIN CSL_CITATION {"citationItems":[{"id":"ITEM-1","itemData":{"DOI":"10.1016/j.rser.2018.12.048","ISSN":"1364-0321","abstract":"Anaerobic digestion (AD) is an established organic waste management technology, producing biogas and organic fertiliser as end-products. Despite being an established technology, AD still faces key challenges, including process inefficiencies due to substrate-induced instability and product quality assurance; inability to digest highly lignocellulosic biomass without pre-treatment; and management of effluents and emissions. Commercial grade carbon-based materials have been employed as stabilising agent to improve process efficiency. Biochar, a by-product from biomass pyrolysis, has recently been identified as a sustainable alternative material to commercial grade carbon-based adsorbent used in AD. This review highlights the challenges with the AD process and the limitations of the various conventional approaches in its management. An exposition of the characteristics of biochar and the physico-chemical properties of biochar, that can simultaneously promote AD process stability, increase biomethane yield rate and the agronomic quality of digestate, are presented and discussed.","author":[{"dropping-particle":"","family":"Masebinu","given":"S.O.","non-dropping-particle":"","parse-names":false,"suffix":""},{"dropping-particle":"","family":"Akinlabi","given":"E.T.","non-dropping-particle":"","parse-names":false,"suffix":""},{"dropping-particle":"","family":"Muzenda","given":"E.","non-dropping-particle":"","parse-names":false,"suffix":""},{"dropping-particle":"","family":"Aboyade","given":"A.O.","non-dropping-particle":"","parse-names":false,"suffix":""}],"container-title":"Renewable and Sustainable Energy Reviews","id":"ITEM-1","issued":{"date-parts":[["2019","4","1"]]},"page":"291-307","publisher":"Elsevier","title":"A review of biochar properties and their roles in mitigating challenges with anaerobic digestion","type":"article-journal","volume":"103"},"uris":["http://www.mendeley.com/documents/?uuid=0d958a49-b794-3eae-b815-f221c7dc33f8"]}],"mendeley":{"formattedCitation":"[21]","plainTextFormattedCitation":"[21]","previouslyFormattedCitation":"[21]"},"properties":{"noteIndex":0},"schema":"https://github.com/citation-style-language/schema/raw/master/csl-citation.json"}</w:instrText>
      </w:r>
      <w:r w:rsidR="00203278" w:rsidRPr="00774395">
        <w:fldChar w:fldCharType="separate"/>
      </w:r>
      <w:r w:rsidR="00203278" w:rsidRPr="00774395">
        <w:rPr>
          <w:noProof/>
        </w:rPr>
        <w:t>[21]</w:t>
      </w:r>
      <w:r w:rsidR="00203278" w:rsidRPr="00774395">
        <w:fldChar w:fldCharType="end"/>
      </w:r>
      <w:r w:rsidR="00203278" w:rsidRPr="00774395">
        <w:t xml:space="preserve"> in case of high organic loads of a highly degradable substrate as the organic fraction of municipal solid waste (OFMSW), and also as an accelerating agent of metabolic activities </w:t>
      </w:r>
      <w:r w:rsidR="00203278" w:rsidRPr="00774395">
        <w:fldChar w:fldCharType="begin" w:fldLock="1"/>
      </w:r>
      <w:r w:rsidR="00203278" w:rsidRPr="00774395">
        <w:instrText>ADDIN CSL_CITATION {"citationItems":[{"id":"ITEM-1","itemData":{"DOI":"10.1016/j.jece.2021.105489","ISSN":"2213-3437","abstract":"Anaerobic digestion (AD) is the preferred and promising method used worldwide to manage specific wastes and waste biomass. The techniques to maximize biogas productions by anaerobic digestion is explicitly introduced to achieve potential reactor operations. An essential consideration for combining anaerobic digestion with biochar is formed from waste biomass by thermochemical conversion. The latest enhancement work is showing the potential biochar results of augmentation of certain chemicals such as biofuels and charcoal, bioethanol, biodiesel, butanol, hydrogen, carboxylic acids, and hydrocarbons. However, there is still a lack of a detailed and robust interpretation of BC and AD relations. This article aims for systematic reviews on anaerobic digestion efficacy with the use of biochar. The maximum methane generation using biochar with enhanced AD efficiency ranges from 650 to 900 mL/d, with organic removal efficiencies varying from 70% to 75%. The major components of the biochar usage include hydrolysis, acidogenesis-acetogenesis, and the progression and equilibrium of methanogenesis are reviewed. Biochar properties provide reasonable conditions for pH adjusting, disinfectant, complementary sourcing, electron carrier servers, and the expression of physicochemical weights on an organism through various bacterial communities. Biochar can improve biomethane yield plans for the most part by chemically moving organisms, methanogen for biomethane yield, growth of microbial groups, and a stimulus for buffer potential. This article is giving an in-depth discussion of current advances, distinctive difficulties, and limitations of biochar applications in anaerobic digestion. Future research can focus on biochar's functions in acid buffering, acid reduction, and increasing syntropy between hydrolysis and acidogenesis-acetogenesis.","author":[{"dropping-particle":"Bin","family":"Khalid","given":"Zaied","non-dropping-particle":"","parse-names":false,"suffix":""},{"dropping-particle":"","family":"Siddique","given":"Md Nurul Islam","non-dropping-particle":"","parse-names":false,"suffix":""},{"dropping-particle":"","family":"Nayeem","given":"Abdullah","non-dropping-particle":"","parse-names":false,"suffix":""},{"dropping-particle":"","family":"Adyel","given":"Tanveer Mehedi","non-dropping-particle":"","parse-names":false,"suffix":""},{"dropping-particle":"Bin","family":"Ismail","given":"Shahrul","non-dropping-particle":"","parse-names":false,"suffix":""},{"dropping-particle":"","family":"Ibrahim","given":"Mohd Zamri","non-dropping-particle":"","parse-names":false,"suffix":""}],"container-title":"Journal of Environmental Chemical Engineering","id":"ITEM-1","issue":"4","issued":{"date-parts":[["2021","8","1"]]},"page":"105489","publisher":"Elsevier","title":"Biochar application as sustainable precursors for enhanced anaerobic digestion: A systematic review","type":"article-journal","volume":"9"},"uris":["http://www.mendeley.com/documents/?uuid=bca99055-315e-3a46-a4b5-89e3b3c03a93"]},{"id":"ITEM-2","itemData":{"DOI":"10.1016/j.biortech.2021.125797","ISSN":"09608524","abstract":"Anaerobic digestion (AD) technology still faces some challenges including low methane productivity, instable operation efficiency and undesired refractory substances degradation. Biochar has recently been recognized as a promising alternative addition in AD process to enhance methane production. Based on VOSviewer analysis, this review presents a comprehensive summarizing of the applications, performances, and economies of biochar strategies in AD system. Firstly, typical production processes of biochar and its main characteristics including adsorption and immobilization ability, buffering ability and electron transfer ability were evaluated. Then, the applications of biochar in AD and its improving effects on biogas production/purification were summarized. Accordingly, the corresponding mechanisms of biochar addition in AD for digestion efficiency improvement were elucidated. Finally, the economic and environmental feasibilities of application biochar in AD, as well as prospective future studies were summarized. Through an overview of biochar in AD system, this paper aims to promote its widely practical applications.","author":[{"dropping-particle":"","family":"Zhao","given":"Weixin","non-dropping-particle":"","parse-names":false,"suffix":""},{"dropping-particle":"","family":"Yang","given":"Haizhou","non-dropping-particle":"","parse-names":false,"suffix":""},{"dropping-particle":"","family":"He","given":"Shufei","non-dropping-particle":"","parse-names":false,"suffix":""},{"dropping-particle":"","family":"Zhao","given":"Qingliang","non-dropping-particle":"","parse-names":false,"suffix":""},{"dropping-particle":"","family":"Wei","given":"Liangliang","non-dropping-particle":"","parse-names":false,"suffix":""}],"container-title":"Bioresource Technology","id":"ITEM-2","issue":"August","issued":{"date-parts":[["2021"]]},"page":"125797","publisher":"Elsevier Ltd","title":"A review of biochar in anaerobic digestion to improve biogas production: Performances, mechanisms and economic assessments","type":"article-journal","volume":"341"},"uris":["http://www.mendeley.com/documents/?uuid=3b81ab17-c0c8-4b3e-b0db-3b3c638850e0"]}],"mendeley":{"formattedCitation":"[24,26]","plainTextFormattedCitation":"[24,26]","previouslyFormattedCitation":"[24,26]"},"properties":{"noteIndex":0},"schema":"https://github.com/citation-style-language/schema/raw/master/csl-citation.json"}</w:instrText>
      </w:r>
      <w:r w:rsidR="00203278" w:rsidRPr="00774395">
        <w:fldChar w:fldCharType="separate"/>
      </w:r>
      <w:r w:rsidR="00203278" w:rsidRPr="00774395">
        <w:rPr>
          <w:noProof/>
        </w:rPr>
        <w:t>[24,26]</w:t>
      </w:r>
      <w:r w:rsidR="00203278" w:rsidRPr="00774395">
        <w:fldChar w:fldCharType="end"/>
      </w:r>
      <w:r w:rsidR="00203278" w:rsidRPr="00774395">
        <w:t xml:space="preserve">, in case of a relatively refractory substrate as sewage sludge. </w:t>
      </w:r>
      <w:r w:rsidR="00510E33">
        <w:t xml:space="preserve">Another knowledge gap of current literature on the topic is </w:t>
      </w:r>
      <w:r w:rsidR="00B0701F">
        <w:t>the</w:t>
      </w:r>
      <w:r w:rsidR="00510E33" w:rsidRPr="00985593">
        <w:t xml:space="preserve"> uncertainty related to the full-scale application of BC to AD is the comparison between BC input cost and output revenues deriving from the energy production, since few studies have investigated the economic feasibility of BC supplementation in AD </w:t>
      </w:r>
      <w:r w:rsidR="00510E33" w:rsidRPr="00985593">
        <w:fldChar w:fldCharType="begin" w:fldLock="1"/>
      </w:r>
      <w:r w:rsidR="00520099">
        <w:instrText>ADDIN CSL_CITATION {"citationItems":[{"id":"ITEM-1","itemData":{"DOI":"10.1016/j.jece.2019.103184","ISSN":"2213-3437","abstract":"The aim of the work was to evaluate the techno-economic feasibility of anaerobic digestion implementation in small breweries located in the mountain area of Friuli-Venezia Giulia region (Italy). A territory-oriented approach was adopted, analysing the production of organic residues in local breweries and the potential methane production from each residue. An energy balance and a simplified dimensioning for anaerobic reactor installation at brewery scale was proposed, analysing actual energy consumption and the effect of biogas on plant energy balance improvement. Brewery spent grain, spent yeast, whirlpool residue and end-of-fermentation beer were identified as the main organic residues in the analysed plants. Biochemical methane potential tests revealed high methane potential of spent yeast, up to 486.9 NL CH4/kg VSadded, and spent grain, up to 356.2 NL CH4/kg VSadded. Granular activated carbon and biochar were added to selected tests to evaluate an eventual increase in methane yield; a noticeable effect was observed in particular on spent yeast, due to the enhanced microorganism activity and C/N ratio optimization. Co-digestion tests were performed on spent grain and spent yeast: a synergistic effect arose with a mixture of 70% spent yeast and 30% spent grain, where methane yield increased up to 447.7 NL CH4/kg VSadded. Electricity consumption was estimated as 130.6-148.9 MJ/hL, while heat need was 116.4-147.0 MJ/hL; it was showed that anaerobic digestion implementation, through a digester having 65 m3 volume, could provide up to 53.9% of electric and 64.4% of thermal need of the facility.","author":[{"dropping-particle":"","family":"Mainardis","given":"Matia","non-dropping-particle":"","parse-names":false,"suffix":""},{"dropping-particle":"","family":"Flaibani","given":"Simone","non-dropping-particle":"","parse-names":false,"suffix":""},{"dropping-particle":"","family":"Mazzolini","given":"Fabio","non-dropping-particle":"","parse-names":false,"suffix":""},{"dropping-particle":"","family":"Peressotti","given":"Alessandro","non-dropping-particle":"","parse-names":false,"suffix":""},{"dropping-particle":"","family":"Goi","given":"Daniele","non-dropping-particle":"","parse-names":false,"suffix":""}],"container-title":"Journal of Environmental Chemical Engineering","id":"ITEM-1","issued":{"date-parts":[["2019","6","1"]]},"page":"103184","publisher":"Elsevier","title":"Techno-economic analysis of anaerobic digestion implementation in small Italian breweries and evaluation of biochar and granular activated carbon addition effect on methane yield","type":"article-journal","volume":"7"},"uris":["http://www.mendeley.com/documents/?uuid=2a4aa4c9-3542-3894-9fc9-058cc87315ac"]},{"id":"ITEM-2","itemData":{"DOI":"10.1016/j.enconman.2020.112654","abstract":"Effectiveness of biochar addition to enhance thermophilic semi-continuous anaerobic digestion (AD) of food waste for methane production was investigated with a focus on dosage and particle size of biochar, pilot-scale application and elucidation of methanogenic pathways. Optimal dosage range of biochar was determined as 7.5 to 15 g per L working volume based on lab-scale batch AD. Effects of biochar with different particle sizes at a model dosage of 15 g/L were evaluated in a semi-continuous AD experiment, results of which showed that all the examined biochars with different particle sizes (&lt;50 μm to 3 cm) substantially enhanced the average methane yields (0.465–0.543 L/gVS) compared to control digesters which failed due to overloading (≥3.04 gVS/L/d). No significant difference in methane yields, however, was observed among digesters with different particle sizes of biochars, except for 1–3 cm. The core reason for this phenomenon was that the biochars with different particle sizes had similar properties (e.g. density, surface area and pore size) and that the floating of large particle size (1–3 cm) of biochar with a density of 847 kg/m was not conducive to microbial growth. Metagenomic analysis was performed to determine the predominant microbial species and to explain the main methanogenic pathways in biochar-amended digesters using 16S rRNA sequencing. In the biochar-amended digester, bacterial phylum Thermotogae containing a major genus of Defluviitoga was selectively enriched with gradual increase of organic loadings, while simultaneously enriched methanogen genera Methanothermobacter and Methanosarcina, which showed a synergy of hydrogenotrophic and acetoclastic methanogenic pathways, jointly enhanced the methane productivity. Both technical feasibility and economic feasibility of adding biochar with simple pretreatment (e.g. smash) were validated in the pilot-scale thermophilic semi-continuous AD operations. 3","author":[{"dropping-particle":"","family":"Zhang","given":"L.","non-dropping-particle":"","parse-names":false,"suffix":""},{"dropping-particle":"","family":"Lim","given":"E.Y.","non-dropping-particle":"","parse-names":false,"suffix":""},{"dropping-particle":"","family":"Loh","given":"K.-C.","non-dropping-particle":"","parse-names":false,"suffix":""},{"dropping-particle":"","family":"Ok","given":"Y.S.","non-dropping-particle":"","parse-names":false,"suffix":""},{"dropping-particle":"","family":"Lee","given":"J.T.E.","non-dropping-particle":"","parse-names":false,"suffix":""},{"dropping-particle":"","family":"Shen","given":"Y.","non-dropping-particle":"","parse-names":false,"suffix":""},{"dropping-particle":"","family":"Wang","given":"C.-H.","non-dropping-particle":"","parse-names":false,"suffix":""},{"dropping-particle":"","family":"Dai","given":"Y.","non-dropping-particle":"","parse-names":false,"suffix":""},{"dropping-particle":"","family":"Tong","given":"Y.W.","non-dropping-particle":"","parse-names":false,"suffix":""}],"container-title":"Energy Conversion and Management","id":"ITEM-2","issued":{"date-parts":[["2020"]]},"page":"112654","title":"Biochar enhanced thermophilic anaerobic digestion of food waste: Focusing on biochar particle size, microbial community analysis and pilot-scale application","type":"article-journal","volume":"209"},"uris":["http://www.mendeley.com/documents/?uuid=2e4c11be-833b-38b6-a414-e8771b1110e1"]},{"id":"ITEM-3","itemData":{"DOI":"10.1016/j.biortech.2021.125664","ISSN":"0960-8524","abstract":"This work analysed the effects of Biochar (BC) addition to the Anaerobic digestion (AD) of wastewater Mixed sludge (MS) in semi-continuous mode. A 3 L digester was operated at 37 °C for 100 days, feeding MS collected every three weeks in the same wastewater treatment plant, and 10 g L−1 of BC. The average performance of MS digestion (biogas 188 NmL d−1, 68% methane) improved in presence of BC (biogas 244 NmL d−1, 69% methane). According to the results of the multiple linear regression analysis performed on the experimental data, the 79% variation of the soluble COD in the MS was the driving factor for the 38% increase of biogas and methane yields. In conclusion, in the considered experimental conditions, the variability of the substrate's composition was the key factor driving the performances of the AD of MS, independently of the addition of BC.","author":[{"dropping-particle":"","family":"Chiappero","given":"Marco","non-dropping-particle":"","parse-names":false,"suffix":""},{"dropping-particle":"","family":"Berruti","given":"Franco","non-dropping-particle":"","parse-names":false,"suffix":""},{"dropping-particle":"","family":"Mašek","given":"Ondřej","non-dropping-particle":"","parse-names":false,"suffix":""},{"dropping-particle":"","family":"Fiore","given":"Silvia","non-dropping-particle":"","parse-names":false,"suffix":""}],"container-title":"Bioresource Technology","id":"ITEM-3","issued":{"date-parts":[["2021","11","1"]]},"page":"125664","publisher":"Elsevier","title":"Semi-continuous anaerobic digestion of mixed wastewater sludge with biochar addition","type":"article-journal","volume":"340"},"uris":["http://www.mendeley.com/documents/?uuid=64ecf3bb-7c2b-35da-b13a-66f3bec828d3"]}],"mendeley":{"formattedCitation":"[39–41]","plainTextFormattedCitation":"[39–41]","previouslyFormattedCitation":"[39–41]"},"properties":{"noteIndex":0},"schema":"https://github.com/citation-style-language/schema/raw/master/csl-citation.json"}</w:instrText>
      </w:r>
      <w:r w:rsidR="00510E33" w:rsidRPr="00985593">
        <w:fldChar w:fldCharType="separate"/>
      </w:r>
      <w:r w:rsidR="00830B48" w:rsidRPr="00830B48">
        <w:rPr>
          <w:noProof/>
        </w:rPr>
        <w:t>[39–41]</w:t>
      </w:r>
      <w:r w:rsidR="00510E33" w:rsidRPr="00985593">
        <w:fldChar w:fldCharType="end"/>
      </w:r>
      <w:r w:rsidR="00510E33">
        <w:t xml:space="preserve"> </w:t>
      </w:r>
      <w:r w:rsidR="00645C54" w:rsidRPr="00985593">
        <w:t xml:space="preserve">Therefore, compared to existing literature, the present work </w:t>
      </w:r>
      <w:r w:rsidR="001044DB">
        <w:t>has two key elements of novelty, as follows. Firstly,</w:t>
      </w:r>
      <w:r w:rsidR="001044DB" w:rsidRPr="00985593">
        <w:t xml:space="preserve"> </w:t>
      </w:r>
      <w:r w:rsidR="001044DB">
        <w:t xml:space="preserve">it </w:t>
      </w:r>
      <w:r w:rsidR="006C2D2A">
        <w:t>compiled</w:t>
      </w:r>
      <w:r w:rsidR="00645C54" w:rsidRPr="00985593">
        <w:t xml:space="preserve"> a systematic </w:t>
      </w:r>
      <w:r w:rsidR="001C00D9" w:rsidRPr="00985593">
        <w:t xml:space="preserve">inventory (in the form of a </w:t>
      </w:r>
      <w:r w:rsidR="00912237" w:rsidRPr="00985593">
        <w:t>database</w:t>
      </w:r>
      <w:r w:rsidR="001C00D9" w:rsidRPr="00985593">
        <w:t>)</w:t>
      </w:r>
      <w:r w:rsidR="00F020BD" w:rsidRPr="00985593">
        <w:t xml:space="preserve"> of the literature selected according to specific </w:t>
      </w:r>
      <w:r w:rsidR="006C2D2A">
        <w:t xml:space="preserve">strict </w:t>
      </w:r>
      <w:r w:rsidR="00F020BD" w:rsidRPr="00985593">
        <w:t>requirements</w:t>
      </w:r>
      <w:r w:rsidR="001044DB">
        <w:t xml:space="preserve">, </w:t>
      </w:r>
      <w:r w:rsidR="00231FAD">
        <w:t>which</w:t>
      </w:r>
      <w:r w:rsidR="001044DB">
        <w:t xml:space="preserve"> was further used to</w:t>
      </w:r>
      <w:r w:rsidR="00645C54" w:rsidRPr="00985593">
        <w:t xml:space="preserve"> conduct a meta-analysis on the effects of BC and its properties on AD performance</w:t>
      </w:r>
      <w:r w:rsidR="00510E33">
        <w:t>, considering not only BC features but also the ones of AD process</w:t>
      </w:r>
      <w:r w:rsidR="00645C54" w:rsidRPr="00985593">
        <w:t>.</w:t>
      </w:r>
      <w:r w:rsidR="00645C54" w:rsidRPr="00774395">
        <w:t xml:space="preserve"> </w:t>
      </w:r>
      <w:r w:rsidR="001044DB">
        <w:t>Secondly</w:t>
      </w:r>
      <w:r w:rsidR="00F279C2" w:rsidRPr="00985593">
        <w:t>,</w:t>
      </w:r>
      <w:r w:rsidR="00B0701F">
        <w:t xml:space="preserve"> it evaluated the economic feasibility of BC addition to existing full-scale AD installations</w:t>
      </w:r>
      <w:r w:rsidR="0032598F" w:rsidRPr="00985593">
        <w:t>.</w:t>
      </w:r>
    </w:p>
    <w:p w14:paraId="5A9F6890" w14:textId="415A5028" w:rsidR="00B62654" w:rsidRPr="00774395" w:rsidRDefault="00645C54" w:rsidP="00BB3751">
      <w:pPr>
        <w:jc w:val="both"/>
      </w:pPr>
      <w:r w:rsidRPr="00774395">
        <w:t xml:space="preserve">This study </w:t>
      </w:r>
      <w:r w:rsidR="00704705" w:rsidRPr="00774395">
        <w:t>wa</w:t>
      </w:r>
      <w:r w:rsidRPr="00774395">
        <w:t>s focused on</w:t>
      </w:r>
      <w:r w:rsidR="00FD0A9F" w:rsidRPr="00774395">
        <w:t xml:space="preserve"> the application of BC as additive in AD</w:t>
      </w:r>
      <w:r w:rsidRPr="00774395">
        <w:t xml:space="preserve">, with a specific interest for </w:t>
      </w:r>
      <w:r w:rsidR="00FD0A9F" w:rsidRPr="00774395">
        <w:t>the optimization of BC physi</w:t>
      </w:r>
      <w:r w:rsidR="00216A35" w:rsidRPr="00774395">
        <w:t>c</w:t>
      </w:r>
      <w:r w:rsidR="00FD0A9F" w:rsidRPr="00774395">
        <w:t xml:space="preserve">o-chemical </w:t>
      </w:r>
      <w:r w:rsidR="00B95E09" w:rsidRPr="00774395">
        <w:t xml:space="preserve">properties and their correlation with AD performance. </w:t>
      </w:r>
      <w:r w:rsidRPr="00774395">
        <w:t>I</w:t>
      </w:r>
      <w:r w:rsidR="00850216" w:rsidRPr="00774395">
        <w:t xml:space="preserve">n details, this study </w:t>
      </w:r>
      <w:r w:rsidRPr="00774395">
        <w:t>ha</w:t>
      </w:r>
      <w:r w:rsidR="00704705" w:rsidRPr="00774395">
        <w:t>d</w:t>
      </w:r>
      <w:r w:rsidRPr="00774395">
        <w:t xml:space="preserve"> the following aims</w:t>
      </w:r>
      <w:r w:rsidR="00096F75" w:rsidRPr="00774395">
        <w:t xml:space="preserve">: (1) </w:t>
      </w:r>
      <w:r w:rsidR="009F68A1" w:rsidRPr="00774395">
        <w:t>a</w:t>
      </w:r>
      <w:r w:rsidR="00096F75" w:rsidRPr="00774395">
        <w:t xml:space="preserve">ssessment of the overall effect of BC on AD performance </w:t>
      </w:r>
      <w:r w:rsidR="00F020BD" w:rsidRPr="00774395">
        <w:t>derived from</w:t>
      </w:r>
      <w:r w:rsidR="009F68A1" w:rsidRPr="00774395">
        <w:t xml:space="preserve"> batch and semi-continuous studies; (2) analysis of the impact of BC physi</w:t>
      </w:r>
      <w:r w:rsidR="00216A35" w:rsidRPr="00774395">
        <w:t>c</w:t>
      </w:r>
      <w:r w:rsidR="009F68A1" w:rsidRPr="00774395">
        <w:t xml:space="preserve">o-chemical properties, </w:t>
      </w:r>
      <w:r w:rsidR="00ED030A" w:rsidRPr="00774395">
        <w:t>BC production conditions</w:t>
      </w:r>
      <w:r w:rsidR="009F68A1" w:rsidRPr="00774395">
        <w:t xml:space="preserve">, </w:t>
      </w:r>
      <w:r w:rsidR="00ED030A" w:rsidRPr="00774395">
        <w:t xml:space="preserve">and </w:t>
      </w:r>
      <w:r w:rsidR="00561385" w:rsidRPr="00774395">
        <w:t xml:space="preserve">AD operating </w:t>
      </w:r>
      <w:r w:rsidR="00ED030A" w:rsidRPr="00774395">
        <w:t>conditions</w:t>
      </w:r>
      <w:r w:rsidR="009F68A1" w:rsidRPr="00774395">
        <w:t xml:space="preserve"> on the global effects of BC on AD</w:t>
      </w:r>
      <w:r w:rsidR="00561385" w:rsidRPr="00774395">
        <w:t xml:space="preserve"> products yields and quality</w:t>
      </w:r>
      <w:r w:rsidR="009F68A1" w:rsidRPr="00774395">
        <w:t xml:space="preserve">; </w:t>
      </w:r>
      <w:r w:rsidR="00704705" w:rsidRPr="00C32835">
        <w:t xml:space="preserve">and </w:t>
      </w:r>
      <w:r w:rsidR="00CC0AA2" w:rsidRPr="00C32835">
        <w:t xml:space="preserve">(3) </w:t>
      </w:r>
      <w:r w:rsidR="009F68A1" w:rsidRPr="00C32835">
        <w:t>assessment of the economic feasibility of BC addition on AD</w:t>
      </w:r>
      <w:r w:rsidRPr="00C32835">
        <w:t xml:space="preserve"> at full-scale</w:t>
      </w:r>
      <w:r w:rsidR="00CC0AA2" w:rsidRPr="00C32835">
        <w:t>,</w:t>
      </w:r>
      <w:r w:rsidR="009F68A1" w:rsidRPr="00C32835">
        <w:t xml:space="preserve"> based on data from published semi-continuous AD studies.</w:t>
      </w:r>
    </w:p>
    <w:p w14:paraId="40C1F017" w14:textId="77777777" w:rsidR="00F020BD" w:rsidRPr="00774395" w:rsidRDefault="00F020BD" w:rsidP="00BB3751">
      <w:pPr>
        <w:jc w:val="both"/>
      </w:pPr>
    </w:p>
    <w:p w14:paraId="141A65CE" w14:textId="651384E8" w:rsidR="00016C9F" w:rsidRPr="00774395" w:rsidRDefault="00C92CB2" w:rsidP="00F020BD">
      <w:pPr>
        <w:pStyle w:val="Titolo1"/>
        <w:spacing w:before="360"/>
        <w:rPr>
          <w:b/>
          <w:bCs/>
          <w:sz w:val="24"/>
          <w:szCs w:val="24"/>
        </w:rPr>
      </w:pPr>
      <w:r w:rsidRPr="00774395">
        <w:rPr>
          <w:b/>
          <w:bCs/>
          <w:sz w:val="24"/>
          <w:szCs w:val="24"/>
        </w:rPr>
        <w:t xml:space="preserve">2. </w:t>
      </w:r>
      <w:r w:rsidR="002E703A" w:rsidRPr="00774395">
        <w:rPr>
          <w:b/>
          <w:bCs/>
          <w:sz w:val="24"/>
          <w:szCs w:val="24"/>
        </w:rPr>
        <w:t>M</w:t>
      </w:r>
      <w:r w:rsidR="00A11695" w:rsidRPr="00774395">
        <w:rPr>
          <w:b/>
          <w:bCs/>
          <w:sz w:val="24"/>
          <w:szCs w:val="24"/>
        </w:rPr>
        <w:t>aterial and methods</w:t>
      </w:r>
    </w:p>
    <w:p w14:paraId="10C86D7F" w14:textId="0B9648C7" w:rsidR="002E703A" w:rsidRPr="00774395" w:rsidRDefault="002E703A" w:rsidP="00C92CB2">
      <w:pPr>
        <w:pStyle w:val="Titolo2"/>
        <w:rPr>
          <w:b/>
          <w:bCs/>
          <w:sz w:val="24"/>
          <w:szCs w:val="24"/>
        </w:rPr>
      </w:pPr>
      <w:r w:rsidRPr="00774395">
        <w:rPr>
          <w:b/>
          <w:bCs/>
          <w:sz w:val="24"/>
          <w:szCs w:val="24"/>
        </w:rPr>
        <w:t>2.1. Data collection and selection</w:t>
      </w:r>
    </w:p>
    <w:p w14:paraId="5A3702F7" w14:textId="3A3A80D4" w:rsidR="00340E2D" w:rsidRPr="00774395" w:rsidRDefault="00BF68EB" w:rsidP="00226879">
      <w:pPr>
        <w:jc w:val="both"/>
      </w:pPr>
      <w:r w:rsidRPr="00926EED">
        <w:rPr>
          <w:rFonts w:cs="Times New Roman"/>
        </w:rPr>
        <w:t xml:space="preserve">A systematic </w:t>
      </w:r>
      <w:r w:rsidR="00FA5D04" w:rsidRPr="00926EED">
        <w:rPr>
          <w:rFonts w:cs="Times New Roman"/>
        </w:rPr>
        <w:t>bibliographic</w:t>
      </w:r>
      <w:r w:rsidRPr="00926EED">
        <w:rPr>
          <w:rFonts w:cs="Times New Roman"/>
        </w:rPr>
        <w:t xml:space="preserve"> search was conducted using Scopus and Google Scholar, and compared with the </w:t>
      </w:r>
      <w:r w:rsidR="00CA37AB" w:rsidRPr="00C40114">
        <w:rPr>
          <w:rFonts w:cs="Times New Roman"/>
          <w:color w:val="000000" w:themeColor="text1"/>
        </w:rPr>
        <w:t xml:space="preserve">list of </w:t>
      </w:r>
      <w:r w:rsidRPr="00C40114">
        <w:rPr>
          <w:rFonts w:cs="Times New Roman"/>
          <w:color w:val="000000" w:themeColor="text1"/>
        </w:rPr>
        <w:t>references of a previous review</w:t>
      </w:r>
      <w:r w:rsidR="00F020BD" w:rsidRPr="00C40114">
        <w:rPr>
          <w:rFonts w:cs="Times New Roman"/>
          <w:color w:val="000000" w:themeColor="text1"/>
        </w:rPr>
        <w:t xml:space="preserve"> paper</w:t>
      </w:r>
      <w:r w:rsidRPr="00C40114">
        <w:rPr>
          <w:rFonts w:cs="Times New Roman"/>
          <w:color w:val="000000" w:themeColor="text1"/>
        </w:rPr>
        <w:t xml:space="preserve"> </w:t>
      </w:r>
      <w:r w:rsidRPr="00C40114">
        <w:rPr>
          <w:rFonts w:cs="Times New Roman"/>
          <w:color w:val="000000" w:themeColor="text1"/>
        </w:rPr>
        <w:fldChar w:fldCharType="begin" w:fldLock="1"/>
      </w:r>
      <w:r w:rsidR="00753EF6" w:rsidRPr="00C40114">
        <w:rPr>
          <w:rFonts w:cs="Times New Roman"/>
          <w:color w:val="000000" w:themeColor="text1"/>
        </w:rPr>
        <w:instrText>ADDIN CSL_CITATION {"citationItems":[{"id":"ITEM-1","itemData":{"DOI":"10.1016/j.rser.2020.110037","ISSN":"1364-0321","abstract":"Anaerobic digestion (AD) could be considered as a mature technology and nowadays it can still play a pivot role because of the urgent need to provide renewable energy sources and efficiently manage the continuously growing amount of organic waste. Biochar (BC) is an extremely versatile material, which could be produced by carbonization of organic materials, including biomass and wastes, consistently with Circular Economy principles, and “tailor-made” for specific applications. The potential BC role as additive in the control of the many well-known critical issues of AD processes has been increasingly explored over the past few years. However, a clear and comprehensive understanding of the connections between BC and AD is still missing. This review paper analyses and discusses significant references (review articles, research papers and international databases and reports), mostly published in the last 10 years. This review is aimed at addressing three key issues related to the better understanding of the BC role in AD processes: 1. Investigation of the influence of BC properties on AD performances and of their ability to counteract its main challenges; 2. Assessment of the optimal BC production chain (i.e. feedstock-pyrolysis-activation) to achieve the desired features; 3. Evaluation of the economic and environmental advantages connected to BC use in AD processes, compared to conventional solutions applied to address AD challenges.","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Reviews","id":"ITEM-1","issued":{"date-parts":[["2020","10","1"]]},"page":"110037","publisher":"Pergamon","title":"Review of biochar role as additive in anaerobic digestion processes","type":"article-journal","volume":"131"},"uris":["http://www.mendeley.com/documents/?uuid=c723083b-d34b-38ab-be81-44a38ae5279d"]}],"mendeley":{"formattedCitation":"[18]","plainTextFormattedCitation":"[18]","previouslyFormattedCitation":"[18]"},"properties":{"noteIndex":0},"schema":"https://github.com/citation-style-language/schema/raw/master/csl-citation.json"}</w:instrText>
      </w:r>
      <w:r w:rsidRPr="00C40114">
        <w:rPr>
          <w:rFonts w:cs="Times New Roman"/>
          <w:color w:val="000000" w:themeColor="text1"/>
        </w:rPr>
        <w:fldChar w:fldCharType="separate"/>
      </w:r>
      <w:r w:rsidR="00A90022" w:rsidRPr="00C40114">
        <w:rPr>
          <w:rFonts w:cs="Times New Roman"/>
          <w:noProof/>
          <w:color w:val="000000" w:themeColor="text1"/>
        </w:rPr>
        <w:t>[18]</w:t>
      </w:r>
      <w:r w:rsidRPr="00C40114">
        <w:rPr>
          <w:rFonts w:cs="Times New Roman"/>
          <w:color w:val="000000" w:themeColor="text1"/>
        </w:rPr>
        <w:fldChar w:fldCharType="end"/>
      </w:r>
      <w:r w:rsidRPr="00C40114">
        <w:rPr>
          <w:rFonts w:cs="Times New Roman"/>
          <w:color w:val="000000" w:themeColor="text1"/>
        </w:rPr>
        <w:t xml:space="preserve">. </w:t>
      </w:r>
      <w:r w:rsidR="00926EED" w:rsidRPr="00C40114">
        <w:rPr>
          <w:rFonts w:cs="Times New Roman"/>
          <w:color w:val="000000" w:themeColor="text1"/>
          <w:lang w:val="en-US"/>
        </w:rPr>
        <w:t>The collection of references was completed in September 2021. The size of the selected datasets was significant (613 paired experimental conditions of BC amended “treatment” and “control”)</w:t>
      </w:r>
      <w:r w:rsidR="00926EED" w:rsidRPr="00C40114">
        <w:rPr>
          <w:rFonts w:cs="Times New Roman"/>
          <w:color w:val="000000" w:themeColor="text1"/>
          <w:lang w:val="en-US"/>
        </w:rPr>
        <w:t>, and t</w:t>
      </w:r>
      <w:r w:rsidR="00926EED" w:rsidRPr="00C40114">
        <w:rPr>
          <w:rFonts w:cs="Times New Roman"/>
          <w:color w:val="000000" w:themeColor="text1"/>
          <w:lang w:val="en-US"/>
        </w:rPr>
        <w:t xml:space="preserve">he </w:t>
      </w:r>
      <w:r w:rsidR="00231FAD" w:rsidRPr="00C40114">
        <w:rPr>
          <w:rFonts w:cs="Times New Roman"/>
          <w:color w:val="000000" w:themeColor="text1"/>
          <w:lang w:val="en-US"/>
        </w:rPr>
        <w:t>following</w:t>
      </w:r>
      <w:r w:rsidR="00926EED" w:rsidRPr="00C40114">
        <w:rPr>
          <w:rFonts w:cs="Times New Roman"/>
          <w:color w:val="000000" w:themeColor="text1"/>
          <w:lang w:val="en-US"/>
        </w:rPr>
        <w:t xml:space="preserve"> phases of data extraction and database compilation applied to </w:t>
      </w:r>
      <w:r w:rsidR="00926EED" w:rsidRPr="00C40114">
        <w:rPr>
          <w:rFonts w:cs="Times New Roman"/>
          <w:color w:val="000000" w:themeColor="text1"/>
          <w:lang w:val="en-US"/>
        </w:rPr>
        <w:lastRenderedPageBreak/>
        <w:t xml:space="preserve">such a huge amount of information required several months before starting data analysis. </w:t>
      </w:r>
      <w:r w:rsidR="00926EED" w:rsidRPr="00C40114">
        <w:rPr>
          <w:rFonts w:cs="Times New Roman"/>
          <w:color w:val="000000" w:themeColor="text1"/>
          <w:lang w:val="en-US"/>
        </w:rPr>
        <w:t>T</w:t>
      </w:r>
      <w:r w:rsidR="00926EED" w:rsidRPr="00C40114">
        <w:rPr>
          <w:rFonts w:cs="Times New Roman"/>
          <w:color w:val="000000" w:themeColor="text1"/>
          <w:lang w:val="en-US"/>
        </w:rPr>
        <w:t>he compiled systematic database was made available as Appendix A to other researchers with the specific aim of providing a common dataset that can be updated and expanded with new studies for future analyses.</w:t>
      </w:r>
      <w:r w:rsidR="00926EED" w:rsidRPr="00C40114">
        <w:rPr>
          <w:rFonts w:cs="Times New Roman"/>
          <w:color w:val="000000" w:themeColor="text1"/>
          <w:lang w:val="en-US"/>
        </w:rPr>
        <w:t xml:space="preserve"> </w:t>
      </w:r>
      <w:r w:rsidR="00146862" w:rsidRPr="00C40114">
        <w:rPr>
          <w:color w:val="000000" w:themeColor="text1"/>
        </w:rPr>
        <w:t>Th</w:t>
      </w:r>
      <w:r w:rsidR="00F020BD" w:rsidRPr="00C40114">
        <w:rPr>
          <w:color w:val="000000" w:themeColor="text1"/>
        </w:rPr>
        <w:t>e</w:t>
      </w:r>
      <w:r w:rsidR="00146862" w:rsidRPr="00C40114">
        <w:rPr>
          <w:color w:val="000000" w:themeColor="text1"/>
        </w:rPr>
        <w:t xml:space="preserve"> </w:t>
      </w:r>
      <w:r w:rsidR="00A320CD" w:rsidRPr="00C40114">
        <w:rPr>
          <w:color w:val="000000" w:themeColor="text1"/>
        </w:rPr>
        <w:t>literature survey</w:t>
      </w:r>
      <w:r w:rsidR="00923F7C" w:rsidRPr="00C40114">
        <w:rPr>
          <w:color w:val="000000" w:themeColor="text1"/>
        </w:rPr>
        <w:t xml:space="preserve"> </w:t>
      </w:r>
      <w:r w:rsidR="00146862" w:rsidRPr="00C40114">
        <w:rPr>
          <w:color w:val="000000" w:themeColor="text1"/>
        </w:rPr>
        <w:t>was</w:t>
      </w:r>
      <w:r w:rsidR="00146862" w:rsidRPr="00774395">
        <w:t xml:space="preserve"> based on the following</w:t>
      </w:r>
      <w:r w:rsidR="00C25D0F" w:rsidRPr="00774395">
        <w:t xml:space="preserve"> combination of keywords: </w:t>
      </w:r>
      <w:r w:rsidR="00F020BD" w:rsidRPr="00774395">
        <w:t>(</w:t>
      </w:r>
      <w:r w:rsidR="00254AFB" w:rsidRPr="00774395">
        <w:t xml:space="preserve">methane </w:t>
      </w:r>
      <w:r w:rsidR="0098266A" w:rsidRPr="00774395">
        <w:t xml:space="preserve">or </w:t>
      </w:r>
      <w:r w:rsidR="00254AFB" w:rsidRPr="00774395">
        <w:t>CH</w:t>
      </w:r>
      <w:r w:rsidR="00254AFB" w:rsidRPr="00774395">
        <w:rPr>
          <w:vertAlign w:val="subscript"/>
        </w:rPr>
        <w:t>4</w:t>
      </w:r>
      <w:r w:rsidR="00254AFB" w:rsidRPr="00774395">
        <w:t xml:space="preserve"> </w:t>
      </w:r>
      <w:r w:rsidR="0098266A" w:rsidRPr="00774395">
        <w:t xml:space="preserve">or </w:t>
      </w:r>
      <w:r w:rsidR="00254AFB" w:rsidRPr="00774395">
        <w:t xml:space="preserve">biogas </w:t>
      </w:r>
      <w:r w:rsidR="0098266A" w:rsidRPr="00774395">
        <w:t xml:space="preserve">or </w:t>
      </w:r>
      <w:r w:rsidR="00254AFB" w:rsidRPr="00774395">
        <w:t xml:space="preserve">anaerobic digestion) </w:t>
      </w:r>
      <w:r w:rsidR="0098266A" w:rsidRPr="00774395">
        <w:t xml:space="preserve">and </w:t>
      </w:r>
      <w:r w:rsidR="00254AFB" w:rsidRPr="00774395">
        <w:t xml:space="preserve">(biochar </w:t>
      </w:r>
      <w:r w:rsidR="0098266A" w:rsidRPr="00774395">
        <w:t xml:space="preserve">or </w:t>
      </w:r>
      <w:r w:rsidR="00254AFB" w:rsidRPr="00774395">
        <w:t xml:space="preserve">bio-char). </w:t>
      </w:r>
      <w:r w:rsidR="005D38D2" w:rsidRPr="00774395">
        <w:t xml:space="preserve">Around </w:t>
      </w:r>
      <w:r w:rsidR="005D38D2" w:rsidRPr="00926EED">
        <w:t>450</w:t>
      </w:r>
      <w:r w:rsidR="005D38D2" w:rsidRPr="00774395">
        <w:t xml:space="preserve"> references were collected and imported to Mendeley. </w:t>
      </w:r>
    </w:p>
    <w:p w14:paraId="377EBE84" w14:textId="014BC3D1" w:rsidR="00F020BD" w:rsidRPr="00774395" w:rsidRDefault="00C2532E" w:rsidP="00226879">
      <w:pPr>
        <w:jc w:val="both"/>
      </w:pPr>
      <w:r w:rsidRPr="00774395">
        <w:t>A f</w:t>
      </w:r>
      <w:r w:rsidR="005D38D2" w:rsidRPr="00774395">
        <w:t xml:space="preserve">irst </w:t>
      </w:r>
      <w:r w:rsidR="006401DC" w:rsidRPr="00774395">
        <w:t xml:space="preserve">filtering </w:t>
      </w:r>
      <w:r w:rsidR="00923F7C" w:rsidRPr="00774395">
        <w:t>phase</w:t>
      </w:r>
      <w:r w:rsidR="00290DBF" w:rsidRPr="00774395">
        <w:t xml:space="preserve"> (data extraction)</w:t>
      </w:r>
      <w:r w:rsidR="00923F7C" w:rsidRPr="00774395">
        <w:t xml:space="preserve"> </w:t>
      </w:r>
      <w:r w:rsidR="00DD062B" w:rsidRPr="00774395">
        <w:t xml:space="preserve">was conducted </w:t>
      </w:r>
      <w:r w:rsidRPr="00774395">
        <w:t xml:space="preserve">checking </w:t>
      </w:r>
      <w:r w:rsidR="005D38D2" w:rsidRPr="00774395">
        <w:t>abstract and title</w:t>
      </w:r>
      <w:r w:rsidRPr="00774395">
        <w:t xml:space="preserve">, </w:t>
      </w:r>
      <w:r w:rsidR="00A320CD" w:rsidRPr="00774395">
        <w:t>and</w:t>
      </w:r>
      <w:r w:rsidR="005D38D2" w:rsidRPr="00774395">
        <w:t xml:space="preserve"> based on </w:t>
      </w:r>
      <w:r w:rsidRPr="00774395">
        <w:t xml:space="preserve">the </w:t>
      </w:r>
      <w:r w:rsidR="005D38D2" w:rsidRPr="00774395">
        <w:t>following criteria:</w:t>
      </w:r>
      <w:r w:rsidRPr="00774395">
        <w:t xml:space="preserve"> (1) </w:t>
      </w:r>
      <w:r w:rsidR="00DD062B" w:rsidRPr="00774395">
        <w:t xml:space="preserve">use </w:t>
      </w:r>
      <w:r w:rsidR="00F01E58" w:rsidRPr="00774395">
        <w:t>of E</w:t>
      </w:r>
      <w:r w:rsidRPr="00774395">
        <w:t>nglish language</w:t>
      </w:r>
      <w:r w:rsidR="00FE0769" w:rsidRPr="00774395">
        <w:t>;</w:t>
      </w:r>
      <w:r w:rsidRPr="00774395">
        <w:t xml:space="preserve"> (2) </w:t>
      </w:r>
      <w:r w:rsidR="00DD062B" w:rsidRPr="00774395">
        <w:t xml:space="preserve">access </w:t>
      </w:r>
      <w:r w:rsidRPr="00774395">
        <w:t xml:space="preserve">provided to the full text; </w:t>
      </w:r>
      <w:r w:rsidR="00E70E8E" w:rsidRPr="00774395">
        <w:t xml:space="preserve">(3) </w:t>
      </w:r>
      <w:r w:rsidR="00DD062B" w:rsidRPr="00774395">
        <w:t xml:space="preserve">only </w:t>
      </w:r>
      <w:r w:rsidR="00E70E8E" w:rsidRPr="00774395">
        <w:t xml:space="preserve">primary sources (no review studies); </w:t>
      </w:r>
      <w:r w:rsidRPr="00774395">
        <w:t>(</w:t>
      </w:r>
      <w:r w:rsidR="00E70E8E" w:rsidRPr="00774395">
        <w:t>4</w:t>
      </w:r>
      <w:r w:rsidRPr="00774395">
        <w:t xml:space="preserve">) </w:t>
      </w:r>
      <w:r w:rsidR="00DD062B" w:rsidRPr="00774395">
        <w:t xml:space="preserve">studies </w:t>
      </w:r>
      <w:r w:rsidR="00FE0769" w:rsidRPr="00774395">
        <w:t xml:space="preserve">with </w:t>
      </w:r>
      <w:r w:rsidRPr="00774395">
        <w:t xml:space="preserve">“treatment” </w:t>
      </w:r>
      <w:r w:rsidR="003D6F39" w:rsidRPr="00774395">
        <w:t xml:space="preserve">group </w:t>
      </w:r>
      <w:r w:rsidRPr="00774395">
        <w:t>(</w:t>
      </w:r>
      <w:r w:rsidR="00F020BD" w:rsidRPr="00774395">
        <w:t xml:space="preserve">reactors </w:t>
      </w:r>
      <w:r w:rsidR="002A2FF4" w:rsidRPr="00774395">
        <w:t xml:space="preserve">with </w:t>
      </w:r>
      <w:r w:rsidRPr="00774395">
        <w:t>biochar</w:t>
      </w:r>
      <w:r w:rsidR="002A2FF4" w:rsidRPr="00774395">
        <w:t xml:space="preserve"> supplementation</w:t>
      </w:r>
      <w:r w:rsidRPr="00774395">
        <w:t xml:space="preserve">) and “control” </w:t>
      </w:r>
      <w:r w:rsidR="003D6F39" w:rsidRPr="00774395">
        <w:t xml:space="preserve">group </w:t>
      </w:r>
      <w:r w:rsidRPr="00774395">
        <w:t>(</w:t>
      </w:r>
      <w:r w:rsidR="00F020BD" w:rsidRPr="00774395">
        <w:t xml:space="preserve">reactors </w:t>
      </w:r>
      <w:r w:rsidRPr="00774395">
        <w:t>without biochar)</w:t>
      </w:r>
      <w:r w:rsidR="00FE0769" w:rsidRPr="00774395">
        <w:t>, where other experimental conditions were identical; (</w:t>
      </w:r>
      <w:r w:rsidR="00E70E8E" w:rsidRPr="00774395">
        <w:t>5</w:t>
      </w:r>
      <w:r w:rsidR="00FE0769" w:rsidRPr="00774395">
        <w:t xml:space="preserve">) </w:t>
      </w:r>
      <w:r w:rsidR="00DD062B" w:rsidRPr="00774395">
        <w:t xml:space="preserve">studies </w:t>
      </w:r>
      <w:r w:rsidR="007D32FF" w:rsidRPr="00774395">
        <w:t xml:space="preserve">reporting </w:t>
      </w:r>
      <w:r w:rsidR="00FE0769" w:rsidRPr="00774395">
        <w:t>methane and/or biogas production</w:t>
      </w:r>
      <w:r w:rsidR="00F01E58" w:rsidRPr="00774395">
        <w:t>; (</w:t>
      </w:r>
      <w:r w:rsidR="00E70E8E" w:rsidRPr="00774395">
        <w:t>6</w:t>
      </w:r>
      <w:r w:rsidR="00F01E58" w:rsidRPr="00774395">
        <w:t>)</w:t>
      </w:r>
      <w:r w:rsidR="00FE0769" w:rsidRPr="00774395">
        <w:t xml:space="preserve"> </w:t>
      </w:r>
      <w:r w:rsidR="00DD062B" w:rsidRPr="00774395">
        <w:t xml:space="preserve">no </w:t>
      </w:r>
      <w:r w:rsidR="00F01E58" w:rsidRPr="00774395">
        <w:t>combined use of biochar and other additives</w:t>
      </w:r>
      <w:r w:rsidR="005D38D2" w:rsidRPr="00774395">
        <w:t>.</w:t>
      </w:r>
      <w:r w:rsidR="006A59B9" w:rsidRPr="00774395">
        <w:t xml:space="preserve"> As a result, 11</w:t>
      </w:r>
      <w:r w:rsidR="00144D79" w:rsidRPr="00774395">
        <w:t>2</w:t>
      </w:r>
      <w:r w:rsidR="006A59B9" w:rsidRPr="00774395">
        <w:t xml:space="preserve"> studies </w:t>
      </w:r>
      <w:r w:rsidR="003735A7" w:rsidRPr="00774395">
        <w:t xml:space="preserve">with </w:t>
      </w:r>
      <w:bookmarkStart w:id="1" w:name="_Hlk83206034"/>
      <w:r w:rsidR="003735A7" w:rsidRPr="00774395">
        <w:t xml:space="preserve">613 paired measurements </w:t>
      </w:r>
      <w:r w:rsidR="003D6F39" w:rsidRPr="00774395">
        <w:t xml:space="preserve">of </w:t>
      </w:r>
      <w:r w:rsidR="00A320CD" w:rsidRPr="00774395">
        <w:t>“</w:t>
      </w:r>
      <w:r w:rsidR="003D6F39" w:rsidRPr="00774395">
        <w:t>treatment</w:t>
      </w:r>
      <w:r w:rsidR="00A320CD" w:rsidRPr="00774395">
        <w:t>”</w:t>
      </w:r>
      <w:r w:rsidR="003D6F39" w:rsidRPr="00774395">
        <w:t xml:space="preserve"> vs </w:t>
      </w:r>
      <w:r w:rsidR="00A320CD" w:rsidRPr="00774395">
        <w:t>“</w:t>
      </w:r>
      <w:r w:rsidR="003D6F39" w:rsidRPr="00774395">
        <w:t>control</w:t>
      </w:r>
      <w:r w:rsidR="00A320CD" w:rsidRPr="00774395">
        <w:t>”</w:t>
      </w:r>
      <w:r w:rsidR="003D6F39" w:rsidRPr="00774395">
        <w:t xml:space="preserve"> </w:t>
      </w:r>
      <w:r w:rsidR="006A59B9" w:rsidRPr="00774395">
        <w:t xml:space="preserve">met the </w:t>
      </w:r>
      <w:r w:rsidR="0072484B" w:rsidRPr="00774395">
        <w:t>inclusion criteria</w:t>
      </w:r>
      <w:bookmarkEnd w:id="1"/>
      <w:r w:rsidR="005D38D2" w:rsidRPr="00774395">
        <w:t xml:space="preserve">. </w:t>
      </w:r>
    </w:p>
    <w:p w14:paraId="1F72A41B" w14:textId="5F5E15FF" w:rsidR="00C92CB2" w:rsidRPr="00774395" w:rsidRDefault="00CA37AB" w:rsidP="00226879">
      <w:pPr>
        <w:jc w:val="both"/>
      </w:pPr>
      <w:r w:rsidRPr="00774395">
        <w:t>A</w:t>
      </w:r>
      <w:r w:rsidR="005D38D2" w:rsidRPr="00774395">
        <w:t xml:space="preserve"> second </w:t>
      </w:r>
      <w:r w:rsidR="0097149F" w:rsidRPr="00774395">
        <w:t xml:space="preserve">screening </w:t>
      </w:r>
      <w:r w:rsidR="00290DBF" w:rsidRPr="00774395">
        <w:t xml:space="preserve">phase (data selection) </w:t>
      </w:r>
      <w:r w:rsidR="00E129E7" w:rsidRPr="00774395">
        <w:t xml:space="preserve">was conducted to select the studies eligible for </w:t>
      </w:r>
      <w:r w:rsidR="00290DBF" w:rsidRPr="00774395">
        <w:t xml:space="preserve">a </w:t>
      </w:r>
      <w:r w:rsidR="00E129E7" w:rsidRPr="00774395">
        <w:t xml:space="preserve">meta-analysis, according to the </w:t>
      </w:r>
      <w:r w:rsidRPr="00774395">
        <w:t xml:space="preserve">following </w:t>
      </w:r>
      <w:r w:rsidR="00E129E7" w:rsidRPr="00774395">
        <w:t>additional criteria</w:t>
      </w:r>
      <w:r w:rsidR="0097149F" w:rsidRPr="00774395">
        <w:t>:</w:t>
      </w:r>
      <w:r w:rsidR="00E129E7" w:rsidRPr="00774395">
        <w:t xml:space="preserve"> (</w:t>
      </w:r>
      <w:r w:rsidR="00E70E8E" w:rsidRPr="00774395">
        <w:t>7</w:t>
      </w:r>
      <w:r w:rsidR="00E129E7" w:rsidRPr="00774395">
        <w:t xml:space="preserve">) </w:t>
      </w:r>
      <w:r w:rsidR="00290DBF" w:rsidRPr="00774395">
        <w:t xml:space="preserve">provided </w:t>
      </w:r>
      <w:r w:rsidR="006071F4" w:rsidRPr="00774395">
        <w:t>n</w:t>
      </w:r>
      <w:r w:rsidR="00E129E7" w:rsidRPr="00774395">
        <w:t>umber of</w:t>
      </w:r>
      <w:r w:rsidR="006071F4" w:rsidRPr="00774395">
        <w:t xml:space="preserve"> experimental</w:t>
      </w:r>
      <w:r w:rsidR="00E129E7" w:rsidRPr="00774395">
        <w:t xml:space="preserve"> replicates &gt; 1; (</w:t>
      </w:r>
      <w:r w:rsidR="00E70E8E" w:rsidRPr="00774395">
        <w:t>8</w:t>
      </w:r>
      <w:r w:rsidR="00E129E7" w:rsidRPr="00774395">
        <w:t xml:space="preserve">) </w:t>
      </w:r>
      <w:r w:rsidR="00290DBF" w:rsidRPr="00774395">
        <w:t xml:space="preserve">provided </w:t>
      </w:r>
      <w:r w:rsidR="00571719" w:rsidRPr="00774395">
        <w:t xml:space="preserve">mean and </w:t>
      </w:r>
      <w:r w:rsidR="006071F4" w:rsidRPr="00774395">
        <w:t>uncertainty</w:t>
      </w:r>
      <w:r w:rsidR="00C04C92" w:rsidRPr="00774395">
        <w:t xml:space="preserve"> of methane production</w:t>
      </w:r>
      <w:r w:rsidR="00571719" w:rsidRPr="00774395">
        <w:t>,</w:t>
      </w:r>
      <w:r w:rsidR="006071F4" w:rsidRPr="00774395">
        <w:t xml:space="preserve"> as standard deviation (SD) or standard error (SE)</w:t>
      </w:r>
      <w:r w:rsidR="0097149F" w:rsidRPr="00774395">
        <w:t xml:space="preserve">. </w:t>
      </w:r>
      <w:r w:rsidR="00BC5CC4" w:rsidRPr="00774395">
        <w:t xml:space="preserve">Therefore, </w:t>
      </w:r>
      <w:r w:rsidR="003B7CC1" w:rsidRPr="00926EED">
        <w:t>76</w:t>
      </w:r>
      <w:r w:rsidR="00BC5CC4" w:rsidRPr="00926EED">
        <w:t xml:space="preserve"> studies with </w:t>
      </w:r>
      <w:r w:rsidR="003B7CC1" w:rsidRPr="00926EED">
        <w:t>408</w:t>
      </w:r>
      <w:r w:rsidR="00BC5CC4" w:rsidRPr="00926EED">
        <w:t xml:space="preserve"> experimental conditions in batch mode and </w:t>
      </w:r>
      <w:r w:rsidR="00E37720" w:rsidRPr="00926EED">
        <w:t>18</w:t>
      </w:r>
      <w:r w:rsidR="00BC5CC4" w:rsidRPr="00926EED">
        <w:t xml:space="preserve"> studies with </w:t>
      </w:r>
      <w:r w:rsidR="00E37720" w:rsidRPr="00926EED">
        <w:t>83</w:t>
      </w:r>
      <w:r w:rsidR="00BC5CC4" w:rsidRPr="00926EED">
        <w:t xml:space="preserve"> conditions in semi-continuous mode were included in </w:t>
      </w:r>
      <w:r w:rsidR="00290DBF" w:rsidRPr="00926EED">
        <w:t xml:space="preserve">the </w:t>
      </w:r>
      <w:r w:rsidR="00BC5CC4" w:rsidRPr="00926EED">
        <w:t>meta-analysis</w:t>
      </w:r>
      <w:r w:rsidR="00290DBF" w:rsidRPr="00774395">
        <w:t xml:space="preserve"> performed in this work</w:t>
      </w:r>
      <w:r w:rsidR="00BC5CC4" w:rsidRPr="00774395">
        <w:t>.</w:t>
      </w:r>
    </w:p>
    <w:p w14:paraId="072A765B" w14:textId="77777777" w:rsidR="007E5A02" w:rsidRPr="00774395" w:rsidRDefault="007E5A02" w:rsidP="00226879">
      <w:pPr>
        <w:jc w:val="both"/>
      </w:pPr>
    </w:p>
    <w:p w14:paraId="70137B49" w14:textId="46CF656E" w:rsidR="002E703A" w:rsidRPr="00774395" w:rsidRDefault="002E703A" w:rsidP="00265A4E">
      <w:pPr>
        <w:pStyle w:val="Titolo2"/>
        <w:snapToGrid w:val="0"/>
        <w:spacing w:before="240" w:after="240"/>
        <w:rPr>
          <w:b/>
          <w:bCs/>
          <w:sz w:val="24"/>
          <w:szCs w:val="24"/>
        </w:rPr>
      </w:pPr>
      <w:r w:rsidRPr="00774395">
        <w:rPr>
          <w:b/>
          <w:bCs/>
          <w:sz w:val="24"/>
          <w:szCs w:val="24"/>
        </w:rPr>
        <w:t xml:space="preserve">2.2. </w:t>
      </w:r>
      <w:r w:rsidR="00290DBF" w:rsidRPr="00774395">
        <w:rPr>
          <w:b/>
          <w:bCs/>
          <w:sz w:val="24"/>
          <w:szCs w:val="24"/>
        </w:rPr>
        <w:t>C</w:t>
      </w:r>
      <w:r w:rsidR="000C75E0" w:rsidRPr="00774395">
        <w:rPr>
          <w:b/>
          <w:bCs/>
          <w:sz w:val="24"/>
          <w:szCs w:val="24"/>
        </w:rPr>
        <w:t>ategorization</w:t>
      </w:r>
      <w:r w:rsidR="00290DBF" w:rsidRPr="00774395">
        <w:rPr>
          <w:b/>
          <w:bCs/>
          <w:sz w:val="24"/>
          <w:szCs w:val="24"/>
        </w:rPr>
        <w:t xml:space="preserve"> of the selected </w:t>
      </w:r>
      <w:r w:rsidR="004125B2" w:rsidRPr="00774395">
        <w:rPr>
          <w:b/>
          <w:bCs/>
          <w:sz w:val="24"/>
          <w:szCs w:val="24"/>
        </w:rPr>
        <w:t xml:space="preserve">literature </w:t>
      </w:r>
      <w:r w:rsidR="00290DBF" w:rsidRPr="00774395">
        <w:rPr>
          <w:b/>
          <w:bCs/>
          <w:sz w:val="24"/>
          <w:szCs w:val="24"/>
        </w:rPr>
        <w:t>data</w:t>
      </w:r>
    </w:p>
    <w:p w14:paraId="3424F3A3" w14:textId="3054639C" w:rsidR="00F818F6" w:rsidRPr="00774395" w:rsidRDefault="00D60258" w:rsidP="00265A4E">
      <w:pPr>
        <w:jc w:val="both"/>
      </w:pPr>
      <w:r w:rsidRPr="00774395">
        <w:t xml:space="preserve">The </w:t>
      </w:r>
      <w:r w:rsidR="002A2FF4" w:rsidRPr="00774395">
        <w:t xml:space="preserve">full text and </w:t>
      </w:r>
      <w:r w:rsidR="0013319C" w:rsidRPr="00774395">
        <w:t xml:space="preserve">the </w:t>
      </w:r>
      <w:r w:rsidR="002A2FF4" w:rsidRPr="00774395">
        <w:t xml:space="preserve">supplementary materials of </w:t>
      </w:r>
      <w:r w:rsidR="004125B2" w:rsidRPr="00774395">
        <w:t xml:space="preserve">the </w:t>
      </w:r>
      <w:r w:rsidRPr="00774395">
        <w:t xml:space="preserve">studies </w:t>
      </w:r>
      <w:r w:rsidR="00031116" w:rsidRPr="00774395">
        <w:t xml:space="preserve">passing the first screening </w:t>
      </w:r>
      <w:r w:rsidR="00A809C3" w:rsidRPr="00774395">
        <w:t xml:space="preserve">phase </w:t>
      </w:r>
      <w:r w:rsidR="00031116" w:rsidRPr="00774395">
        <w:t>were subjected to data extraction</w:t>
      </w:r>
      <w:r w:rsidR="007E5A02" w:rsidRPr="00774395">
        <w:t xml:space="preserve">, and </w:t>
      </w:r>
      <w:r w:rsidR="00340E2D" w:rsidRPr="00774395">
        <w:t>an inventory of the selected literature</w:t>
      </w:r>
      <w:r w:rsidR="00FE08D6" w:rsidRPr="00774395">
        <w:t xml:space="preserve"> (613 paired measurements of “treatment” vs “control”) </w:t>
      </w:r>
      <w:r w:rsidR="007E5A02" w:rsidRPr="00774395">
        <w:t>was compiled</w:t>
      </w:r>
      <w:r w:rsidR="00340E2D" w:rsidRPr="00774395">
        <w:t xml:space="preserve"> </w:t>
      </w:r>
      <w:r w:rsidR="001C00D9" w:rsidRPr="00774395">
        <w:t xml:space="preserve">as a database </w:t>
      </w:r>
      <w:r w:rsidR="00340E2D" w:rsidRPr="00774395">
        <w:t>in Excel</w:t>
      </w:r>
      <w:r w:rsidR="00FE08D6" w:rsidRPr="00774395">
        <w:t xml:space="preserve"> (Appendix A)</w:t>
      </w:r>
      <w:r w:rsidR="00031116" w:rsidRPr="00774395">
        <w:t xml:space="preserve">. </w:t>
      </w:r>
      <w:r w:rsidR="007E5A02" w:rsidRPr="00774395">
        <w:t xml:space="preserve">The data were grouped based on variables affecting methane production, considering the most frequent to include </w:t>
      </w:r>
      <w:r w:rsidR="00A320CD" w:rsidRPr="00774395">
        <w:t>enough</w:t>
      </w:r>
      <w:r w:rsidR="007E5A02" w:rsidRPr="00774395">
        <w:t xml:space="preserve"> results within each category. These </w:t>
      </w:r>
      <w:r w:rsidR="00083DD1" w:rsidRPr="00774395">
        <w:t>include</w:t>
      </w:r>
      <w:r w:rsidR="007E5A02" w:rsidRPr="00774395">
        <w:t xml:space="preserve"> BC production conditions (feedstock, pyrolysis temperature), physico-chemical properties of BC (surface area, ash, pH, contents of C, H, N, and O, H/C and O/C molar ratios), substrates for AD, operating conditions of AD (temperature, batch vs semi-continuous, dose of BC). </w:t>
      </w:r>
      <w:r w:rsidR="0003517A" w:rsidRPr="00774395">
        <w:t xml:space="preserve">Data </w:t>
      </w:r>
      <w:r w:rsidR="00A320CD" w:rsidRPr="00774395">
        <w:t xml:space="preserve">included </w:t>
      </w:r>
      <w:r w:rsidR="0003517A" w:rsidRPr="00774395">
        <w:t xml:space="preserve">in the database were </w:t>
      </w:r>
      <w:r w:rsidR="000C75E0" w:rsidRPr="00774395">
        <w:t xml:space="preserve">obtained </w:t>
      </w:r>
      <w:r w:rsidR="0003517A" w:rsidRPr="00774395">
        <w:t>directly from tables and text</w:t>
      </w:r>
      <w:r w:rsidR="00F818F6" w:rsidRPr="00774395">
        <w:t>,</w:t>
      </w:r>
      <w:r w:rsidR="0003517A" w:rsidRPr="00774395">
        <w:t xml:space="preserve"> or extracted using Web Plot Digitizer (Pacifica</w:t>
      </w:r>
      <w:r w:rsidR="000D50CA" w:rsidRPr="00774395">
        <w:t xml:space="preserve">, </w:t>
      </w:r>
      <w:r w:rsidR="0003517A" w:rsidRPr="00774395">
        <w:t xml:space="preserve">US) </w:t>
      </w:r>
      <w:r w:rsidR="0003517A" w:rsidRPr="00774395">
        <w:fldChar w:fldCharType="begin" w:fldLock="1"/>
      </w:r>
      <w:r w:rsidR="00520099">
        <w:instrText>ADDIN CSL_CITATION {"citationItems":[{"id":"ITEM-1","itemData":{"author":[{"dropping-particle":"","family":"Rohatgi","given":"Ankit","non-dropping-particle":"","parse-names":false,"suffix":""}],"id":"ITEM-1","issued":{"date-parts":[["2021"]]},"number":"4.5","publisher-place":"Pacifica, California, USA","title":"WebPlotDigitizer","type":"article"},"uris":["http://www.mendeley.com/documents/?uuid=89cdf34b-b27c-3da5-ac93-f6e11634999b"]}],"mendeley":{"formattedCitation":"[42]","plainTextFormattedCitation":"[42]","previouslyFormattedCitation":"[42]"},"properties":{"noteIndex":0},"schema":"https://github.com/citation-style-language/schema/raw/master/csl-citation.json"}</w:instrText>
      </w:r>
      <w:r w:rsidR="0003517A" w:rsidRPr="00774395">
        <w:fldChar w:fldCharType="separate"/>
      </w:r>
      <w:r w:rsidR="00830B48" w:rsidRPr="00830B48">
        <w:rPr>
          <w:noProof/>
        </w:rPr>
        <w:t>[42]</w:t>
      </w:r>
      <w:r w:rsidR="0003517A" w:rsidRPr="00774395">
        <w:fldChar w:fldCharType="end"/>
      </w:r>
      <w:r w:rsidR="00F818F6" w:rsidRPr="00774395">
        <w:t xml:space="preserve"> if only present</w:t>
      </w:r>
      <w:r w:rsidR="00CA37AB" w:rsidRPr="00774395">
        <w:t>ed</w:t>
      </w:r>
      <w:r w:rsidR="00F818F6" w:rsidRPr="00774395">
        <w:t xml:space="preserve"> in figures</w:t>
      </w:r>
      <w:r w:rsidR="000C75E0" w:rsidRPr="00774395">
        <w:t>.</w:t>
      </w:r>
      <w:r w:rsidR="002A2FF4" w:rsidRPr="00774395">
        <w:t xml:space="preserve"> </w:t>
      </w:r>
      <w:r w:rsidR="007E5A02" w:rsidRPr="00774395">
        <w:t>P</w:t>
      </w:r>
      <w:r w:rsidR="00C233D7" w:rsidRPr="00774395">
        <w:t xml:space="preserve">rimary data </w:t>
      </w:r>
      <w:r w:rsidR="00974497" w:rsidRPr="00774395">
        <w:t xml:space="preserve">about </w:t>
      </w:r>
      <w:r w:rsidR="00C233D7" w:rsidRPr="00774395">
        <w:t>methane production</w:t>
      </w:r>
      <w:r w:rsidR="00CC2370" w:rsidRPr="00774395">
        <w:t xml:space="preserve"> were extracted</w:t>
      </w:r>
      <w:r w:rsidR="00974497" w:rsidRPr="00774395">
        <w:t>: in case of batch AD test</w:t>
      </w:r>
      <w:r w:rsidR="009B434C" w:rsidRPr="00774395">
        <w:t>s,</w:t>
      </w:r>
      <w:r w:rsidR="00974497" w:rsidRPr="00774395">
        <w:t xml:space="preserve"> </w:t>
      </w:r>
      <w:r w:rsidR="00BA362C" w:rsidRPr="00774395">
        <w:t>CH</w:t>
      </w:r>
      <w:r w:rsidR="00BA362C" w:rsidRPr="00774395">
        <w:rPr>
          <w:vertAlign w:val="subscript"/>
        </w:rPr>
        <w:t>4</w:t>
      </w:r>
      <w:r w:rsidR="00974497" w:rsidRPr="00774395">
        <w:t xml:space="preserve"> </w:t>
      </w:r>
      <w:r w:rsidR="00974497" w:rsidRPr="00774395">
        <w:lastRenderedPageBreak/>
        <w:t>yield</w:t>
      </w:r>
      <w:r w:rsidR="00620F79" w:rsidRPr="00774395">
        <w:t xml:space="preserve"> and kinetic parameters (</w:t>
      </w:r>
      <w:r w:rsidR="00BA362C" w:rsidRPr="00774395">
        <w:t>CH</w:t>
      </w:r>
      <w:r w:rsidR="00BA362C" w:rsidRPr="00774395">
        <w:rPr>
          <w:vertAlign w:val="subscript"/>
        </w:rPr>
        <w:t>4</w:t>
      </w:r>
      <w:r w:rsidR="00974497" w:rsidRPr="00774395">
        <w:t xml:space="preserve"> production rate R</w:t>
      </w:r>
      <w:r w:rsidR="00974497" w:rsidRPr="00774395">
        <w:rPr>
          <w:vertAlign w:val="subscript"/>
        </w:rPr>
        <w:t>max</w:t>
      </w:r>
      <w:r w:rsidR="00974497" w:rsidRPr="00774395">
        <w:t xml:space="preserve"> and lag-phase </w:t>
      </w:r>
      <w:r w:rsidR="00974497" w:rsidRPr="00774395">
        <w:rPr>
          <w:rFonts w:cs="Times New Roman"/>
        </w:rPr>
        <w:t>λ</w:t>
      </w:r>
      <w:r w:rsidR="00974497" w:rsidRPr="00774395">
        <w:t xml:space="preserve">) when the </w:t>
      </w:r>
      <w:r w:rsidR="007E5A02" w:rsidRPr="00774395">
        <w:t xml:space="preserve">modified </w:t>
      </w:r>
      <w:r w:rsidR="00974497" w:rsidRPr="00774395">
        <w:t xml:space="preserve">Gompertz </w:t>
      </w:r>
      <w:r w:rsidR="00620F79" w:rsidRPr="00774395">
        <w:t>model</w:t>
      </w:r>
      <w:r w:rsidR="00974497" w:rsidRPr="00774395">
        <w:t xml:space="preserve"> was applied</w:t>
      </w:r>
      <w:r w:rsidR="009B434C" w:rsidRPr="00774395">
        <w:t>; in case of semi-continuous AD tests</w:t>
      </w:r>
      <w:r w:rsidR="00CA37AB" w:rsidRPr="00774395">
        <w:t>,</w:t>
      </w:r>
      <w:r w:rsidR="009B434C" w:rsidRPr="00774395">
        <w:t xml:space="preserve"> </w:t>
      </w:r>
      <w:r w:rsidR="00BA362C" w:rsidRPr="00774395">
        <w:t>CH</w:t>
      </w:r>
      <w:r w:rsidR="00BA362C" w:rsidRPr="00774395">
        <w:rPr>
          <w:vertAlign w:val="subscript"/>
        </w:rPr>
        <w:t>4</w:t>
      </w:r>
      <w:r w:rsidR="009B434C" w:rsidRPr="00774395">
        <w:t xml:space="preserve"> production rate and </w:t>
      </w:r>
      <w:r w:rsidR="00BA362C" w:rsidRPr="00774395">
        <w:t>CH</w:t>
      </w:r>
      <w:r w:rsidR="00BA362C" w:rsidRPr="00774395">
        <w:rPr>
          <w:vertAlign w:val="subscript"/>
        </w:rPr>
        <w:t>4</w:t>
      </w:r>
      <w:r w:rsidR="0011375B" w:rsidRPr="00774395">
        <w:t xml:space="preserve"> </w:t>
      </w:r>
      <w:r w:rsidR="009B434C" w:rsidRPr="00774395">
        <w:t xml:space="preserve">content. </w:t>
      </w:r>
      <w:r w:rsidR="00CC307C" w:rsidRPr="00774395">
        <w:t>For all parameters</w:t>
      </w:r>
      <w:r w:rsidR="00CF7C22" w:rsidRPr="00774395">
        <w:t>, mean, SD, number of replicates</w:t>
      </w:r>
      <w:r w:rsidR="00F50B26" w:rsidRPr="00774395">
        <w:t xml:space="preserve"> (n)</w:t>
      </w:r>
      <w:r w:rsidR="00CF7C22" w:rsidRPr="00774395">
        <w:t xml:space="preserve">, and unit of measures </w:t>
      </w:r>
      <w:r w:rsidR="00FC12C8" w:rsidRPr="00774395">
        <w:t xml:space="preserve">(UM) </w:t>
      </w:r>
      <w:r w:rsidR="00CF7C22" w:rsidRPr="00774395">
        <w:t xml:space="preserve">were extracted. </w:t>
      </w:r>
      <w:r w:rsidR="00F50B26" w:rsidRPr="00774395">
        <w:t>When only SE was provided, SD was estimated</w:t>
      </w:r>
      <w:r w:rsidR="0011375B" w:rsidRPr="00774395">
        <w:t xml:space="preserve"> as</w:t>
      </w:r>
      <w:r w:rsidR="00F50B26" w:rsidRPr="00774395">
        <w:t xml:space="preserve"> </w:t>
      </w:r>
      <m:oMath>
        <m:r>
          <m:rPr>
            <m:sty m:val="p"/>
          </m:rPr>
          <w:rPr>
            <w:rFonts w:ascii="Cambria Math" w:hAnsi="Cambria Math" w:cs="Times New Roman"/>
          </w:rPr>
          <m:t>SD=</m:t>
        </m:r>
        <m:rad>
          <m:radPr>
            <m:degHide m:val="1"/>
            <m:ctrlPr>
              <w:rPr>
                <w:rFonts w:ascii="Cambria Math" w:hAnsi="Cambria Math" w:cs="Times New Roman"/>
                <w:iCs/>
              </w:rPr>
            </m:ctrlPr>
          </m:radPr>
          <m:deg/>
          <m:e>
            <m:r>
              <m:rPr>
                <m:sty m:val="p"/>
              </m:rPr>
              <w:rPr>
                <w:rFonts w:ascii="Cambria Math" w:hAnsi="Cambria Math" w:cs="Times New Roman"/>
              </w:rPr>
              <m:t>n</m:t>
            </m:r>
          </m:e>
        </m:rad>
        <m:r>
          <m:rPr>
            <m:sty m:val="p"/>
          </m:rPr>
          <w:rPr>
            <w:rFonts w:ascii="Cambria Math" w:hAnsi="Cambria Math" w:cs="Times New Roman"/>
          </w:rPr>
          <m:t xml:space="preserve"> SE</m:t>
        </m:r>
      </m:oMath>
      <w:r w:rsidR="00F50B26" w:rsidRPr="00774395">
        <w:rPr>
          <w:rFonts w:eastAsiaTheme="minorEastAsia"/>
          <w:iCs/>
        </w:rPr>
        <w:t>.</w:t>
      </w:r>
      <w:r w:rsidR="00F50B26" w:rsidRPr="00774395">
        <w:t xml:space="preserve"> </w:t>
      </w:r>
      <w:r w:rsidR="007E5A02" w:rsidRPr="00774395">
        <w:t>F</w:t>
      </w:r>
      <w:r w:rsidR="00CC307C" w:rsidRPr="00774395">
        <w:t xml:space="preserve">urther </w:t>
      </w:r>
      <w:r w:rsidR="000D50CA" w:rsidRPr="00774395">
        <w:t xml:space="preserve">relevant </w:t>
      </w:r>
      <w:r w:rsidR="00CC307C" w:rsidRPr="00774395">
        <w:t xml:space="preserve">data and information were </w:t>
      </w:r>
      <w:r w:rsidR="00A809C3" w:rsidRPr="00774395">
        <w:t>extracted</w:t>
      </w:r>
      <w:r w:rsidR="001873C1" w:rsidRPr="00774395">
        <w:t>:</w:t>
      </w:r>
      <w:r w:rsidR="00CC307C" w:rsidRPr="00774395">
        <w:t xml:space="preserve"> </w:t>
      </w:r>
      <w:r w:rsidR="00CA1A48" w:rsidRPr="00774395">
        <w:t xml:space="preserve">(1) </w:t>
      </w:r>
      <w:bookmarkStart w:id="2" w:name="_Hlk87960336"/>
      <w:r w:rsidR="00CC307C" w:rsidRPr="00774395">
        <w:t>article information</w:t>
      </w:r>
      <w:r w:rsidR="001873C1" w:rsidRPr="00774395">
        <w:t xml:space="preserve">, </w:t>
      </w:r>
      <w:r w:rsidR="00CA1A48" w:rsidRPr="00774395">
        <w:t xml:space="preserve">(2) </w:t>
      </w:r>
      <w:r w:rsidR="00CA37AB" w:rsidRPr="00774395">
        <w:t xml:space="preserve">operating </w:t>
      </w:r>
      <w:r w:rsidR="001873C1" w:rsidRPr="00774395">
        <w:t xml:space="preserve">conditions of </w:t>
      </w:r>
      <w:r w:rsidR="00A809C3" w:rsidRPr="00774395">
        <w:t xml:space="preserve">BC </w:t>
      </w:r>
      <w:r w:rsidR="001873C1" w:rsidRPr="00774395">
        <w:t xml:space="preserve">production, </w:t>
      </w:r>
      <w:r w:rsidR="00CA1A48" w:rsidRPr="00774395">
        <w:t xml:space="preserve">(3) </w:t>
      </w:r>
      <w:r w:rsidR="001873C1" w:rsidRPr="00774395">
        <w:t>physi</w:t>
      </w:r>
      <w:r w:rsidR="00216A35" w:rsidRPr="00774395">
        <w:t>c</w:t>
      </w:r>
      <w:r w:rsidR="001873C1" w:rsidRPr="00774395">
        <w:t xml:space="preserve">o-chemical properties of </w:t>
      </w:r>
      <w:r w:rsidR="00A809C3" w:rsidRPr="00774395">
        <w:t>BC</w:t>
      </w:r>
      <w:r w:rsidR="001873C1" w:rsidRPr="00774395">
        <w:t xml:space="preserve">, </w:t>
      </w:r>
      <w:r w:rsidR="00CA1A48" w:rsidRPr="00774395">
        <w:t xml:space="preserve">(4) </w:t>
      </w:r>
      <w:r w:rsidR="001873C1" w:rsidRPr="00774395">
        <w:t xml:space="preserve">operating conditions of AD tests, </w:t>
      </w:r>
      <w:r w:rsidR="00CA1A48" w:rsidRPr="00774395">
        <w:t xml:space="preserve">(5) </w:t>
      </w:r>
      <w:r w:rsidR="001873C1" w:rsidRPr="00774395">
        <w:t>physi</w:t>
      </w:r>
      <w:r w:rsidR="00216A35" w:rsidRPr="00774395">
        <w:t>c</w:t>
      </w:r>
      <w:r w:rsidR="001873C1" w:rsidRPr="00774395">
        <w:t>o-chemical features of substrate and inoculum for AD.</w:t>
      </w:r>
      <w:r w:rsidR="00FC12C8" w:rsidRPr="00774395">
        <w:t xml:space="preserve"> </w:t>
      </w:r>
      <w:bookmarkEnd w:id="2"/>
      <w:r w:rsidR="00FC12C8" w:rsidRPr="00774395">
        <w:t>UMs</w:t>
      </w:r>
      <w:r w:rsidR="00E41607" w:rsidRPr="00774395">
        <w:t xml:space="preserve"> were converted to standardized units </w:t>
      </w:r>
      <w:r w:rsidR="00F8522A" w:rsidRPr="00774395">
        <w:t>for comparison</w:t>
      </w:r>
      <w:r w:rsidR="00A809C3" w:rsidRPr="00774395">
        <w:t>; f</w:t>
      </w:r>
      <w:r w:rsidR="006159F3" w:rsidRPr="00774395">
        <w:t>or instance, the dose of biochar provided in different UMs (g g</w:t>
      </w:r>
      <w:r w:rsidR="006159F3" w:rsidRPr="00774395">
        <w:rPr>
          <w:vertAlign w:val="subscript"/>
        </w:rPr>
        <w:t>TS</w:t>
      </w:r>
      <w:r w:rsidR="006159F3" w:rsidRPr="00774395">
        <w:rPr>
          <w:vertAlign w:val="superscript"/>
        </w:rPr>
        <w:t>-1</w:t>
      </w:r>
      <w:r w:rsidR="006159F3" w:rsidRPr="00774395">
        <w:t>, g g</w:t>
      </w:r>
      <w:r w:rsidR="006159F3" w:rsidRPr="00774395">
        <w:rPr>
          <w:vertAlign w:val="subscript"/>
        </w:rPr>
        <w:t>VS</w:t>
      </w:r>
      <w:r w:rsidR="006159F3" w:rsidRPr="00774395">
        <w:rPr>
          <w:vertAlign w:val="superscript"/>
        </w:rPr>
        <w:t>-1</w:t>
      </w:r>
      <w:r w:rsidR="006159F3" w:rsidRPr="00774395">
        <w:t>, g L</w:t>
      </w:r>
      <w:r w:rsidR="006159F3" w:rsidRPr="00774395">
        <w:rPr>
          <w:vertAlign w:val="superscript"/>
        </w:rPr>
        <w:t>-1</w:t>
      </w:r>
      <w:r w:rsidR="006159F3" w:rsidRPr="00774395">
        <w:t>,</w:t>
      </w:r>
      <w:r w:rsidR="00FC12C8" w:rsidRPr="00774395">
        <w:t xml:space="preserve"> </w:t>
      </w:r>
      <w:r w:rsidR="006159F3" w:rsidRPr="00774395">
        <w:t>% bw) was standardized to g L</w:t>
      </w:r>
      <w:r w:rsidR="006159F3" w:rsidRPr="00774395">
        <w:rPr>
          <w:vertAlign w:val="superscript"/>
        </w:rPr>
        <w:t>-1</w:t>
      </w:r>
      <w:r w:rsidR="000215A3" w:rsidRPr="00774395">
        <w:t xml:space="preserve"> or derived from the available </w:t>
      </w:r>
      <w:r w:rsidR="00BF0831" w:rsidRPr="00774395">
        <w:t>data</w:t>
      </w:r>
      <w:r w:rsidR="000215A3" w:rsidRPr="00774395">
        <w:t xml:space="preserve">. </w:t>
      </w:r>
      <w:r w:rsidR="00F032A9" w:rsidRPr="00774395">
        <w:t xml:space="preserve">When </w:t>
      </w:r>
      <w:r w:rsidR="00CA37AB" w:rsidRPr="00774395">
        <w:t xml:space="preserve">it was </w:t>
      </w:r>
      <w:r w:rsidR="00F032A9" w:rsidRPr="00774395">
        <w:t>not possible, it was recorded in the database</w:t>
      </w:r>
      <w:r w:rsidR="00CA37AB" w:rsidRPr="00774395">
        <w:t>,</w:t>
      </w:r>
      <w:r w:rsidR="00F032A9" w:rsidRPr="00774395">
        <w:t xml:space="preserve"> but excluded from the statistical analysis. Further, when </w:t>
      </w:r>
      <w:r w:rsidR="00CA37AB" w:rsidRPr="00774395">
        <w:t xml:space="preserve">the oxygen content of the BC was </w:t>
      </w:r>
      <w:r w:rsidR="00F032A9" w:rsidRPr="00774395">
        <w:t xml:space="preserve">not available, </w:t>
      </w:r>
      <w:r w:rsidR="00CA37AB" w:rsidRPr="00774395">
        <w:t xml:space="preserve">it </w:t>
      </w:r>
      <w:r w:rsidR="00F032A9" w:rsidRPr="00774395">
        <w:t xml:space="preserve">was determined by difference as O = 100 – Ash (%) – C (%) – H (%) – N (%) – S (%), according to standard method ASTM D3176. H/C and O/C molar ratios were derived from H, C, and O element contents (%), and their corresponding atomic weights (H: 1.008; C: 12.011; O: 15.999). </w:t>
      </w:r>
      <w:r w:rsidR="00B07244" w:rsidRPr="00774395">
        <w:t xml:space="preserve">Table </w:t>
      </w:r>
      <w:r w:rsidR="00CC2370" w:rsidRPr="00774395">
        <w:t xml:space="preserve">B1 </w:t>
      </w:r>
      <w:r w:rsidR="00C43FDE" w:rsidRPr="00774395">
        <w:t xml:space="preserve">in </w:t>
      </w:r>
      <w:r w:rsidR="0013319C" w:rsidRPr="00774395">
        <w:t xml:space="preserve">Appendix </w:t>
      </w:r>
      <w:r w:rsidR="00CC2370" w:rsidRPr="00774395">
        <w:t>B</w:t>
      </w:r>
      <w:r w:rsidR="00A809C3" w:rsidRPr="00774395">
        <w:t xml:space="preserve"> </w:t>
      </w:r>
      <w:r w:rsidR="009B08F7" w:rsidRPr="00774395">
        <w:t xml:space="preserve">summarises the </w:t>
      </w:r>
      <w:r w:rsidR="00CC2370" w:rsidRPr="00774395">
        <w:t xml:space="preserve">data </w:t>
      </w:r>
      <w:r w:rsidR="007E5A02" w:rsidRPr="00774395">
        <w:t xml:space="preserve">presented in the </w:t>
      </w:r>
      <w:r w:rsidR="00C43FDE" w:rsidRPr="00774395">
        <w:t>inventory</w:t>
      </w:r>
      <w:r w:rsidR="007E5A02" w:rsidRPr="00774395">
        <w:t xml:space="preserve"> (Appendix A)</w:t>
      </w:r>
      <w:r w:rsidR="00CC2370" w:rsidRPr="00774395">
        <w:t xml:space="preserve">: data category, data type, unit of measure, </w:t>
      </w:r>
      <w:r w:rsidR="00C43FDE" w:rsidRPr="00774395">
        <w:t>notes,</w:t>
      </w:r>
      <w:r w:rsidR="00CC2370" w:rsidRPr="00774395">
        <w:t xml:space="preserve"> and assumptions for data extraction</w:t>
      </w:r>
      <w:r w:rsidR="007E5A02" w:rsidRPr="00774395">
        <w:t>.</w:t>
      </w:r>
      <w:r w:rsidR="007379E0" w:rsidRPr="00774395">
        <w:t xml:space="preserve"> Table B2 </w:t>
      </w:r>
      <w:r w:rsidR="001C00D9" w:rsidRPr="00774395">
        <w:t xml:space="preserve">in </w:t>
      </w:r>
      <w:r w:rsidR="007379E0" w:rsidRPr="00774395">
        <w:t xml:space="preserve">Appendix B </w:t>
      </w:r>
      <w:r w:rsidR="001C00D9" w:rsidRPr="00774395">
        <w:t>contains</w:t>
      </w:r>
      <w:r w:rsidR="007379E0" w:rsidRPr="00774395">
        <w:t xml:space="preserve"> the selected research studies</w:t>
      </w:r>
      <w:r w:rsidR="009301F1" w:rsidRPr="00774395">
        <w:t xml:space="preserve"> included in the inventory</w:t>
      </w:r>
      <w:r w:rsidR="00C43FDE" w:rsidRPr="00774395">
        <w:t>,</w:t>
      </w:r>
      <w:r w:rsidR="007379E0" w:rsidRPr="00774395">
        <w:t xml:space="preserve"> published </w:t>
      </w:r>
      <w:r w:rsidR="007379E0" w:rsidRPr="00231FAD">
        <w:t>from 2012 to September 3</w:t>
      </w:r>
      <w:r w:rsidR="007379E0" w:rsidRPr="00231FAD">
        <w:rPr>
          <w:vertAlign w:val="superscript"/>
        </w:rPr>
        <w:t>rd</w:t>
      </w:r>
      <w:r w:rsidR="007379E0" w:rsidRPr="00231FAD">
        <w:t>, 2021.</w:t>
      </w:r>
    </w:p>
    <w:p w14:paraId="2E8DE1D1" w14:textId="14CA7D55" w:rsidR="00D304E5" w:rsidRPr="00774395" w:rsidRDefault="00D304E5" w:rsidP="009301F1">
      <w:pPr>
        <w:pStyle w:val="Titolo2"/>
        <w:spacing w:before="360"/>
        <w:rPr>
          <w:b/>
          <w:bCs/>
          <w:sz w:val="24"/>
          <w:szCs w:val="24"/>
        </w:rPr>
      </w:pPr>
      <w:r w:rsidRPr="00774395">
        <w:rPr>
          <w:b/>
          <w:bCs/>
          <w:sz w:val="24"/>
          <w:szCs w:val="24"/>
        </w:rPr>
        <w:t xml:space="preserve">2.3. General overview of </w:t>
      </w:r>
      <w:r w:rsidR="00340E2D" w:rsidRPr="00774395">
        <w:rPr>
          <w:b/>
          <w:bCs/>
          <w:sz w:val="24"/>
          <w:szCs w:val="24"/>
        </w:rPr>
        <w:t xml:space="preserve">the selected literature </w:t>
      </w:r>
      <w:r w:rsidRPr="00774395">
        <w:rPr>
          <w:b/>
          <w:bCs/>
          <w:sz w:val="24"/>
          <w:szCs w:val="24"/>
        </w:rPr>
        <w:t>data</w:t>
      </w:r>
    </w:p>
    <w:p w14:paraId="1D4E0224" w14:textId="77777777" w:rsidR="009301F1" w:rsidRPr="00774395" w:rsidRDefault="00D304E5" w:rsidP="00D304E5">
      <w:pPr>
        <w:jc w:val="both"/>
      </w:pPr>
      <w:r w:rsidRPr="00774395">
        <w:t xml:space="preserve">The systematic bibliographic research </w:t>
      </w:r>
      <w:r w:rsidR="009301F1" w:rsidRPr="00774395">
        <w:t>firstly selected</w:t>
      </w:r>
      <w:r w:rsidRPr="00774395">
        <w:t xml:space="preserve"> around 450 studies, reduced to 112 after the first screening. 613 paired </w:t>
      </w:r>
      <w:r w:rsidR="009301F1" w:rsidRPr="00774395">
        <w:t>experimental conditions</w:t>
      </w:r>
      <w:r w:rsidRPr="00774395">
        <w:t xml:space="preserve"> of </w:t>
      </w:r>
      <w:r w:rsidR="00340E2D" w:rsidRPr="00774395">
        <w:t>BC</w:t>
      </w:r>
      <w:r w:rsidRPr="00774395">
        <w:t xml:space="preserve"> amended “treatment” and “control” were included in the </w:t>
      </w:r>
      <w:r w:rsidR="00340E2D" w:rsidRPr="00774395">
        <w:t>inventory</w:t>
      </w:r>
      <w:r w:rsidRPr="00774395">
        <w:t xml:space="preserve"> from the 112 selected studies. The </w:t>
      </w:r>
      <w:r w:rsidR="009301F1" w:rsidRPr="00774395">
        <w:t>detailed inventory</w:t>
      </w:r>
      <w:r w:rsidRPr="00774395">
        <w:t xml:space="preserve"> (Appendix A) represents a systematic overview of current state of the research, </w:t>
      </w:r>
      <w:r w:rsidR="009301F1" w:rsidRPr="00774395">
        <w:t>while summarized</w:t>
      </w:r>
      <w:r w:rsidRPr="00774395">
        <w:t xml:space="preserve"> data </w:t>
      </w:r>
      <w:r w:rsidR="009301F1" w:rsidRPr="00774395">
        <w:t>are in</w:t>
      </w:r>
      <w:r w:rsidRPr="00774395">
        <w:t xml:space="preserve"> Tables B1 and B2</w:t>
      </w:r>
      <w:r w:rsidR="009301F1" w:rsidRPr="00774395">
        <w:t xml:space="preserve"> of</w:t>
      </w:r>
      <w:r w:rsidRPr="00774395">
        <w:t xml:space="preserve"> Appendix B. These include article information, conditions of BC synthesis, BC physico-chemical properties, operating conditions of AD tests, and physico-chemical features of substrate and inoculum for AD</w:t>
      </w:r>
      <w:r w:rsidR="009301F1" w:rsidRPr="00774395">
        <w:t xml:space="preserve">. </w:t>
      </w:r>
      <w:r w:rsidRPr="00774395">
        <w:t xml:space="preserve">More data than the information used for the meta-analysis was collected </w:t>
      </w:r>
      <w:r w:rsidR="009301F1" w:rsidRPr="00774395">
        <w:t>in the inventory (Appendix A)</w:t>
      </w:r>
      <w:r w:rsidRPr="00774395">
        <w:t xml:space="preserve"> to provide a common basis for further </w:t>
      </w:r>
      <w:r w:rsidR="009301F1" w:rsidRPr="00774395">
        <w:t>research exploring BC role in AD</w:t>
      </w:r>
      <w:r w:rsidRPr="00774395">
        <w:t xml:space="preserve">. </w:t>
      </w:r>
    </w:p>
    <w:p w14:paraId="0A6C0858" w14:textId="4A0D672A" w:rsidR="00D304E5" w:rsidRPr="00774395" w:rsidRDefault="009301F1" w:rsidP="00D304E5">
      <w:pPr>
        <w:jc w:val="both"/>
      </w:pPr>
      <w:r w:rsidRPr="00774395">
        <w:t>T</w:t>
      </w:r>
      <w:r w:rsidR="00D304E5" w:rsidRPr="00774395">
        <w:t xml:space="preserve">he </w:t>
      </w:r>
      <w:r w:rsidRPr="00774395">
        <w:t xml:space="preserve">613 </w:t>
      </w:r>
      <w:r w:rsidR="00D304E5" w:rsidRPr="00774395">
        <w:t>paired case-studies were grouped based on parameters possibly affecting methane production (</w:t>
      </w:r>
      <w:r w:rsidR="00D304E5" w:rsidRPr="00774395">
        <w:fldChar w:fldCharType="begin"/>
      </w:r>
      <w:r w:rsidR="00D304E5" w:rsidRPr="00774395">
        <w:instrText xml:space="preserve"> REF _Ref83145109 \h  \* MERGEFORMAT </w:instrText>
      </w:r>
      <w:r w:rsidR="00D304E5" w:rsidRPr="00774395">
        <w:fldChar w:fldCharType="separate"/>
      </w:r>
      <w:r w:rsidR="00D304E5" w:rsidRPr="00774395">
        <w:t xml:space="preserve">Table </w:t>
      </w:r>
      <w:r w:rsidR="00D304E5" w:rsidRPr="00774395">
        <w:rPr>
          <w:noProof/>
        </w:rPr>
        <w:t>1</w:t>
      </w:r>
      <w:r w:rsidR="00D304E5" w:rsidRPr="00774395">
        <w:fldChar w:fldCharType="end"/>
      </w:r>
      <w:r w:rsidR="00D304E5" w:rsidRPr="00774395">
        <w:t xml:space="preserve">). Most AD tests were conducted in batch (82%) than in semi-continuous mode (17%). A clear imbalance was observed between tests in </w:t>
      </w:r>
      <w:r w:rsidRPr="00774395">
        <w:t xml:space="preserve">AD </w:t>
      </w:r>
      <w:r w:rsidR="00D304E5" w:rsidRPr="00774395">
        <w:t>mesophilic (77%) and thermophilic (22%)</w:t>
      </w:r>
      <w:r w:rsidRPr="00774395">
        <w:t xml:space="preserve"> conditions. </w:t>
      </w:r>
      <w:r w:rsidR="00D304E5" w:rsidRPr="00774395">
        <w:t xml:space="preserve">Regarding the </w:t>
      </w:r>
      <w:r w:rsidR="00D304E5" w:rsidRPr="00774395">
        <w:lastRenderedPageBreak/>
        <w:t xml:space="preserve">substrates for AD, in case of mono-digestion (81%) the most frequent substrates were sewage sludge (20%), food waste or OFMSW (18%), and manure (10%), along with agro-industrial wastes, wastewater and simple substrates. In case of co-digestion (19%), food waste </w:t>
      </w:r>
      <w:r w:rsidRPr="00774395">
        <w:t>(</w:t>
      </w:r>
      <w:r w:rsidR="00D304E5" w:rsidRPr="00774395">
        <w:t>with manure or sewage sludge</w:t>
      </w:r>
      <w:r w:rsidRPr="00774395">
        <w:t>)</w:t>
      </w:r>
      <w:r w:rsidR="00D304E5" w:rsidRPr="00774395">
        <w:t xml:space="preserve"> was the most abundant substrate (11%). BC was obtained from several feedstocks, as wood (49%), herbaceous materials (19%), sludge (13%), crops and lignocellulosic residues (9%), manure (6%), and non-lignocellulosic residues (5%). Different temperatures were employed during the thermo-chemical production of BCs, from less than 400 °C (11%), to typical pyrolysis temperatures ranging between 400 and 700 °C in most cases (64%), up to more than 700 °C in the gasification range (25%). Because of the varying feedstocks and temperature of pyrolysis, a large spectrum of physico-chemical properties of BCs was observed, as discussed in section 3.</w:t>
      </w:r>
      <w:r w:rsidR="004066E8" w:rsidRPr="00774395">
        <w:t>1</w:t>
      </w:r>
      <w:r w:rsidR="00D304E5" w:rsidRPr="00774395">
        <w:t>.</w:t>
      </w:r>
      <w:r w:rsidRPr="00774395">
        <w:t xml:space="preserve"> Despite a wide range of BC doses reported (0.2-100 g L</w:t>
      </w:r>
      <w:r w:rsidRPr="00774395">
        <w:rPr>
          <w:vertAlign w:val="superscript"/>
        </w:rPr>
        <w:t>-1</w:t>
      </w:r>
      <w:r w:rsidRPr="00774395">
        <w:t>), in most cases it was below 20 g L</w:t>
      </w:r>
      <w:r w:rsidRPr="00774395">
        <w:rPr>
          <w:vertAlign w:val="superscript"/>
        </w:rPr>
        <w:t>-1</w:t>
      </w:r>
      <w:r w:rsidRPr="00774395">
        <w:t xml:space="preserve"> (75%), and 10 g L</w:t>
      </w:r>
      <w:r w:rsidRPr="00774395">
        <w:rPr>
          <w:vertAlign w:val="superscript"/>
        </w:rPr>
        <w:t>-1</w:t>
      </w:r>
      <w:r w:rsidRPr="00774395">
        <w:t xml:space="preserve"> was the most adopted.</w:t>
      </w:r>
    </w:p>
    <w:p w14:paraId="3111BE06" w14:textId="77777777" w:rsidR="009301F1" w:rsidRPr="00774395" w:rsidRDefault="009301F1" w:rsidP="00D304E5">
      <w:pPr>
        <w:jc w:val="both"/>
      </w:pPr>
    </w:p>
    <w:p w14:paraId="32E3723E" w14:textId="7F4080BB" w:rsidR="00D304E5" w:rsidRPr="00774395" w:rsidRDefault="00D304E5" w:rsidP="00D304E5">
      <w:pPr>
        <w:pStyle w:val="Didascalia"/>
        <w:spacing w:line="480" w:lineRule="auto"/>
        <w:jc w:val="both"/>
        <w:rPr>
          <w:sz w:val="22"/>
          <w:szCs w:val="22"/>
        </w:rPr>
      </w:pPr>
      <w:bookmarkStart w:id="3" w:name="_Ref83145109"/>
      <w:r w:rsidRPr="00774395">
        <w:rPr>
          <w:sz w:val="22"/>
          <w:szCs w:val="22"/>
        </w:rPr>
        <w:t xml:space="preserve">Table </w:t>
      </w:r>
      <w:r w:rsidRPr="00774395">
        <w:rPr>
          <w:sz w:val="22"/>
          <w:szCs w:val="22"/>
        </w:rPr>
        <w:fldChar w:fldCharType="begin"/>
      </w:r>
      <w:r w:rsidRPr="00774395">
        <w:rPr>
          <w:sz w:val="22"/>
          <w:szCs w:val="22"/>
        </w:rPr>
        <w:instrText xml:space="preserve"> SEQ Table \* ARABIC </w:instrText>
      </w:r>
      <w:r w:rsidRPr="00774395">
        <w:rPr>
          <w:sz w:val="22"/>
          <w:szCs w:val="22"/>
        </w:rPr>
        <w:fldChar w:fldCharType="separate"/>
      </w:r>
      <w:r w:rsidRPr="00774395">
        <w:rPr>
          <w:noProof/>
          <w:sz w:val="22"/>
          <w:szCs w:val="22"/>
        </w:rPr>
        <w:t>1</w:t>
      </w:r>
      <w:r w:rsidRPr="00774395">
        <w:rPr>
          <w:sz w:val="22"/>
          <w:szCs w:val="22"/>
        </w:rPr>
        <w:fldChar w:fldCharType="end"/>
      </w:r>
      <w:bookmarkEnd w:id="3"/>
      <w:r w:rsidRPr="00774395">
        <w:rPr>
          <w:sz w:val="22"/>
          <w:szCs w:val="22"/>
        </w:rPr>
        <w:t xml:space="preserve">. Classification of case studies in the </w:t>
      </w:r>
      <w:r w:rsidR="009301F1" w:rsidRPr="00774395">
        <w:rPr>
          <w:sz w:val="22"/>
          <w:szCs w:val="22"/>
        </w:rPr>
        <w:t>inventory</w:t>
      </w:r>
      <w:r w:rsidRPr="00774395">
        <w:rPr>
          <w:sz w:val="22"/>
          <w:szCs w:val="22"/>
        </w:rPr>
        <w:t>: variables and corresponding levels, relative and absolute (between brackets) frequency of studies in each level.</w:t>
      </w:r>
    </w:p>
    <w:tbl>
      <w:tblPr>
        <w:tblW w:w="0" w:type="auto"/>
        <w:tblLayout w:type="fixed"/>
        <w:tblLook w:val="04A0" w:firstRow="1" w:lastRow="0" w:firstColumn="1" w:lastColumn="0" w:noHBand="0" w:noVBand="1"/>
      </w:tblPr>
      <w:tblGrid>
        <w:gridCol w:w="2127"/>
        <w:gridCol w:w="1815"/>
        <w:gridCol w:w="4298"/>
        <w:gridCol w:w="1398"/>
      </w:tblGrid>
      <w:tr w:rsidR="00D304E5" w:rsidRPr="00774395" w14:paraId="5C16F7DC" w14:textId="77777777" w:rsidTr="00B7447B">
        <w:tc>
          <w:tcPr>
            <w:tcW w:w="2127" w:type="dxa"/>
            <w:tcBorders>
              <w:top w:val="single" w:sz="4" w:space="0" w:color="auto"/>
              <w:bottom w:val="single" w:sz="4" w:space="0" w:color="auto"/>
            </w:tcBorders>
          </w:tcPr>
          <w:p w14:paraId="5AA291A8" w14:textId="77777777" w:rsidR="00D304E5" w:rsidRPr="00774395" w:rsidRDefault="00D304E5" w:rsidP="00B7447B">
            <w:pPr>
              <w:pStyle w:val="Nessunaspaziatura"/>
              <w:spacing w:line="276" w:lineRule="auto"/>
              <w:rPr>
                <w:sz w:val="20"/>
                <w:szCs w:val="20"/>
              </w:rPr>
            </w:pPr>
            <w:r w:rsidRPr="00774395">
              <w:rPr>
                <w:sz w:val="20"/>
                <w:szCs w:val="20"/>
              </w:rPr>
              <w:t>Variable [unit of measure]</w:t>
            </w:r>
          </w:p>
        </w:tc>
        <w:tc>
          <w:tcPr>
            <w:tcW w:w="1815" w:type="dxa"/>
            <w:tcBorders>
              <w:top w:val="single" w:sz="4" w:space="0" w:color="auto"/>
              <w:bottom w:val="single" w:sz="4" w:space="0" w:color="auto"/>
            </w:tcBorders>
          </w:tcPr>
          <w:p w14:paraId="29BAD1C5" w14:textId="77777777" w:rsidR="00D304E5" w:rsidRPr="00774395" w:rsidRDefault="00D304E5" w:rsidP="00B7447B">
            <w:pPr>
              <w:pStyle w:val="Nessunaspaziatura"/>
              <w:spacing w:line="276" w:lineRule="auto"/>
              <w:rPr>
                <w:sz w:val="20"/>
                <w:szCs w:val="20"/>
              </w:rPr>
            </w:pPr>
            <w:r w:rsidRPr="00774395">
              <w:rPr>
                <w:sz w:val="20"/>
                <w:szCs w:val="20"/>
              </w:rPr>
              <w:t>Levels/subgroups</w:t>
            </w:r>
          </w:p>
        </w:tc>
        <w:tc>
          <w:tcPr>
            <w:tcW w:w="4298" w:type="dxa"/>
            <w:tcBorders>
              <w:top w:val="single" w:sz="4" w:space="0" w:color="auto"/>
              <w:bottom w:val="single" w:sz="4" w:space="0" w:color="auto"/>
            </w:tcBorders>
          </w:tcPr>
          <w:p w14:paraId="7F0E3014" w14:textId="77777777" w:rsidR="00D304E5" w:rsidRPr="00774395" w:rsidRDefault="00D304E5" w:rsidP="00B7447B">
            <w:pPr>
              <w:pStyle w:val="Nessunaspaziatura"/>
              <w:spacing w:line="276" w:lineRule="auto"/>
              <w:rPr>
                <w:sz w:val="20"/>
                <w:szCs w:val="20"/>
              </w:rPr>
            </w:pPr>
            <w:r w:rsidRPr="00774395">
              <w:rPr>
                <w:sz w:val="20"/>
                <w:szCs w:val="20"/>
              </w:rPr>
              <w:t>Definition</w:t>
            </w:r>
          </w:p>
        </w:tc>
        <w:tc>
          <w:tcPr>
            <w:tcW w:w="1398" w:type="dxa"/>
            <w:tcBorders>
              <w:top w:val="single" w:sz="4" w:space="0" w:color="auto"/>
              <w:bottom w:val="single" w:sz="4" w:space="0" w:color="auto"/>
            </w:tcBorders>
          </w:tcPr>
          <w:p w14:paraId="5E577456" w14:textId="77777777" w:rsidR="00D304E5" w:rsidRPr="00774395" w:rsidRDefault="00D304E5" w:rsidP="00B7447B">
            <w:pPr>
              <w:pStyle w:val="Nessunaspaziatura"/>
              <w:spacing w:line="276" w:lineRule="auto"/>
              <w:rPr>
                <w:sz w:val="20"/>
                <w:szCs w:val="20"/>
              </w:rPr>
            </w:pPr>
            <w:r w:rsidRPr="00774395">
              <w:rPr>
                <w:sz w:val="20"/>
                <w:szCs w:val="20"/>
              </w:rPr>
              <w:t>Relative frequency (number of occurrence)</w:t>
            </w:r>
          </w:p>
        </w:tc>
      </w:tr>
      <w:tr w:rsidR="00D304E5" w:rsidRPr="00774395" w14:paraId="18C99275" w14:textId="77777777" w:rsidTr="00B7447B">
        <w:trPr>
          <w:trHeight w:val="227"/>
        </w:trPr>
        <w:tc>
          <w:tcPr>
            <w:tcW w:w="2127" w:type="dxa"/>
            <w:vMerge w:val="restart"/>
            <w:tcBorders>
              <w:top w:val="single" w:sz="4" w:space="0" w:color="auto"/>
            </w:tcBorders>
          </w:tcPr>
          <w:p w14:paraId="782F8CFC" w14:textId="19B1EB74" w:rsidR="00D304E5" w:rsidRPr="00774395" w:rsidRDefault="00A16E41" w:rsidP="00B7447B">
            <w:pPr>
              <w:pStyle w:val="Nessunaspaziatura"/>
              <w:spacing w:line="276" w:lineRule="auto"/>
              <w:rPr>
                <w:sz w:val="20"/>
                <w:szCs w:val="20"/>
              </w:rPr>
            </w:pPr>
            <w:r w:rsidRPr="00774395">
              <w:rPr>
                <w:sz w:val="20"/>
                <w:szCs w:val="20"/>
              </w:rPr>
              <w:t>F</w:t>
            </w:r>
            <w:r w:rsidR="00D304E5" w:rsidRPr="00774395">
              <w:rPr>
                <w:sz w:val="20"/>
                <w:szCs w:val="20"/>
              </w:rPr>
              <w:t xml:space="preserve">eedstocks for biochar production (classification adapted from </w:t>
            </w:r>
            <w:r w:rsidR="00D304E5" w:rsidRPr="00774395">
              <w:rPr>
                <w:sz w:val="20"/>
                <w:szCs w:val="20"/>
              </w:rPr>
              <w:fldChar w:fldCharType="begin" w:fldLock="1"/>
            </w:r>
            <w:r w:rsidR="00520099">
              <w:rPr>
                <w:sz w:val="20"/>
                <w:szCs w:val="20"/>
              </w:rPr>
              <w:instrText>ADDIN CSL_CITATION {"citationItems":[{"id":"ITEM-1","itemData":{"DOI":"10.1016/j.geoderma.2016.11.004","ISBN":"0016-7061","ISSN":"00167061","abstract":"The interaction between biochar and soil changes nitrogen (N) dynamics in different ecosystems. Although multiple studies have reported influences of biochar on soil inorganic N (SIN) including ammonium (NH4+-N) and nitrate (NO3−-N), the influences reported are contradictory. We undertook a meta-analysis to investigate how biochar properties and the interaction among biochar, soil and fertilisation affect SIN. This quantitative analysis used 56 studies with 1080 experimental cases from manuscripts published between 2010 and 2015. Overall, we found that biochar reduced SIN regardless of experimental conditions (approximately −ï¿½11ï¿½ï¿½ï¿½2% of NH4+-N and −ï¿½10ï¿½ï¿½ï¿½1.6% of NO3−-N); however, 95% of cases were observed within one year after biochar application. SIN was best explained by residence time of biochar in soil, pyrolysis temperature, application rate, fertiliser type, and soil pH. The effects of biochar were complex due to the interaction of biochar with environmental factors. Most biochar trials used wood as a feedstock, but woody biochar did not decrease SIN as much as other plant-derived biochars. When biochar was used with NH4-based fertilisers, SIN decreased compared to biochar with no fertiliser. In contrast, adding organic fertiliser with biochar increased SIN compared to biochar alone. SIN was clearly reduced after one month of biochar application, suggesting that biochar should be applied at least one month prior to planting so plants are not affected by decreased N. Our results revealed that the interactions between biochar and environmental factors, pyrolysis temperature of biochar and biochar surface properties are the main driving factors affecting SIN. There were limited long-term studies of &gt;ï¿½1ï¿½year, thus the long-term effects of biochar on SIN still remain unclear.","author":[{"dropping-particle":"","family":"Nguyen","given":"Thi Thu Nhan","non-dropping-particle":"","parse-names":false,"suffix":""},{"dropping-particle":"","family":"Xu","given":"Cheng Yuan","non-dropping-particle":"","parse-names":false,"suffix":""},{"dropping-particle":"","family":"Tahmasbian","given":"Iman","non-dropping-particle":"","parse-names":false,"suffix":""},{"dropping-particle":"","family":"Che","given":"Rongxiao","non-dropping-particle":"","parse-names":false,"suffix":""},{"dropping-particle":"","family":"Xu","given":"Zhihong","non-dropping-particle":"","parse-names":false,"suffix":""},{"dropping-particle":"","family":"Zhou","given":"Xuhui","non-dropping-particle":"","parse-names":false,"suffix":""},{"dropping-particle":"","family":"Wallace","given":"Helen M.","non-dropping-particle":"","parse-names":false,"suffix":""},{"dropping-particle":"","family":"Bai","given":"Shahla Hosseini","non-dropping-particle":"","parse-names":false,"suffix":""}],"container-title":"Geoderma","id":"ITEM-1","issued":{"date-parts":[["2017"]]},"page":"79-96","publisher":"Elsevier","title":"Effects of biochar on soil available inorganic nitrogen: A review and meta-analysis","type":"article-journal","volume":"288"},"uris":["http://www.mendeley.com/documents/?uuid=a5a72457-7ced-4c21-a7f9-34fd9b19e57d"]},{"id":"ITEM-2","itemData":{"DOI":"10.1016/j.soilbio.2016.07.021","ISSN":"00380717","abstract":"Methane (CH4) emissions have increased by more than 150% since 1750, with agriculture being the major source. Further increases are predicted as permafrost regions start thawing, and rice and ruminant animal production expand. Biochar is posited to increase crop productivity while mitigating climate change by sequestering carbon in soils and by influencing greenhouse gas fluxes. There is a growing understanding of biochar effects on carbon dioxide and nitrous oxide fluxes from soil. However, little is known regarding the effects on net methane exchange, with single studies often reporting contradictory results. Here we aim to reconcile the disparate effects of biochar application to soil in agricultural systems on CH4 fluxes into a single interpretive framework by quantitative meta-analysis. This study shows that biochar has the potential to mitigate CH4 emissions from soils, particularly from flooded (i.e. paddy) fields (Hedge's d = −0.87) and/or acidic soils (Hedge's d = −1.56) where periods of flooding are part of the management regime. Conversely, addition of biochar to soils that do not have periods of flooding (Hedge's d = 0.65), in particular when neutral or alkaline (Hedge's d = 1.17 and 0.44, respectively), may have the potential to decrease the CH4 sink strength of those soils. Global methane fluxes are net positive as rice cultivation is a much larger source of CH4 than the sink contribution of upland soils. Therefore, this meta-study reveals that biochar use may have the potential to reduce atmospheric CH4 emissions from agricultural flooded soils on a global scale.","author":[{"dropping-particle":"","family":"Jeffery","given":"Simon","non-dropping-particle":"","parse-names":false,"suffix":""},{"dropping-particle":"","family":"Verheijen","given":"Frank G.A.","non-dropping-particle":"","parse-names":false,"suffix":""},{"dropping-particle":"","family":"Kammann","given":"Claudia","non-dropping-particle":"","parse-names":false,"suffix":""},{"dropping-particle":"","family":"Abalos","given":"Diego","non-dropping-particle":"","parse-names":false,"suffix":""}],"container-title":"Soil Biology and Biochemistry","id":"ITEM-2","issued":{"date-parts":[["2016"]]},"page":"251-258","publisher":"Elsevier Ltd","title":"Biochar effects on methane emissions from soils: A meta-analysis","type":"article-journal","volume":"101"},"uris":["http://www.mendeley.com/documents/?uuid=171c7fad-970a-4807-8f33-1de5f9aac9aa"]}],"mendeley":{"formattedCitation":"[31,37]","plainTextFormattedCitation":"[31,37]","previouslyFormattedCitation":"[31,37]"},"properties":{"noteIndex":0},"schema":"https://github.com/citation-style-language/schema/raw/master/csl-citation.json"}</w:instrText>
            </w:r>
            <w:r w:rsidR="00D304E5" w:rsidRPr="00774395">
              <w:rPr>
                <w:sz w:val="20"/>
                <w:szCs w:val="20"/>
              </w:rPr>
              <w:fldChar w:fldCharType="separate"/>
            </w:r>
            <w:r w:rsidR="00830B48" w:rsidRPr="00830B48">
              <w:rPr>
                <w:noProof/>
                <w:sz w:val="20"/>
                <w:szCs w:val="20"/>
              </w:rPr>
              <w:t>[31,37]</w:t>
            </w:r>
            <w:r w:rsidR="00D304E5" w:rsidRPr="00774395">
              <w:rPr>
                <w:sz w:val="20"/>
                <w:szCs w:val="20"/>
              </w:rPr>
              <w:fldChar w:fldCharType="end"/>
            </w:r>
            <w:r w:rsidR="00D304E5" w:rsidRPr="00774395">
              <w:rPr>
                <w:sz w:val="20"/>
                <w:szCs w:val="20"/>
              </w:rPr>
              <w:t>)</w:t>
            </w:r>
          </w:p>
        </w:tc>
        <w:tc>
          <w:tcPr>
            <w:tcW w:w="1815" w:type="dxa"/>
            <w:tcBorders>
              <w:top w:val="single" w:sz="4" w:space="0" w:color="auto"/>
            </w:tcBorders>
          </w:tcPr>
          <w:p w14:paraId="5340861F" w14:textId="77777777" w:rsidR="00D304E5" w:rsidRPr="00774395" w:rsidRDefault="00D304E5" w:rsidP="00B7447B">
            <w:pPr>
              <w:pStyle w:val="Nessunaspaziatura"/>
              <w:spacing w:line="276" w:lineRule="auto"/>
              <w:rPr>
                <w:sz w:val="20"/>
                <w:szCs w:val="20"/>
              </w:rPr>
            </w:pPr>
            <w:r w:rsidRPr="00774395">
              <w:rPr>
                <w:sz w:val="20"/>
                <w:szCs w:val="20"/>
              </w:rPr>
              <w:t>Wood (W)</w:t>
            </w:r>
          </w:p>
          <w:p w14:paraId="6D6646B9" w14:textId="77777777" w:rsidR="00D304E5" w:rsidRPr="00774395" w:rsidRDefault="00D304E5" w:rsidP="00B7447B">
            <w:pPr>
              <w:pStyle w:val="Nessunaspaziatura"/>
              <w:spacing w:line="276" w:lineRule="auto"/>
              <w:rPr>
                <w:sz w:val="20"/>
                <w:szCs w:val="20"/>
              </w:rPr>
            </w:pPr>
          </w:p>
        </w:tc>
        <w:tc>
          <w:tcPr>
            <w:tcW w:w="4298" w:type="dxa"/>
            <w:tcBorders>
              <w:top w:val="single" w:sz="4" w:space="0" w:color="auto"/>
            </w:tcBorders>
          </w:tcPr>
          <w:p w14:paraId="07B423E4" w14:textId="1A449B44" w:rsidR="00D304E5" w:rsidRPr="00774395" w:rsidRDefault="00D304E5" w:rsidP="00B7447B">
            <w:pPr>
              <w:pStyle w:val="Nessunaspaziatura"/>
              <w:spacing w:line="276" w:lineRule="auto"/>
              <w:rPr>
                <w:sz w:val="20"/>
                <w:szCs w:val="20"/>
              </w:rPr>
            </w:pPr>
            <w:r w:rsidRPr="00774395">
              <w:rPr>
                <w:sz w:val="20"/>
                <w:szCs w:val="20"/>
              </w:rPr>
              <w:t xml:space="preserve">Oak, pine, willow, unidentified wood mixtures, spruce, pine trimmings, coppiced woodlands, orchard pruning, pristine wood, bamboo, sawdust, vineyard pruning, holm oak, </w:t>
            </w:r>
            <w:r w:rsidR="007E550C" w:rsidRPr="00774395">
              <w:rPr>
                <w:sz w:val="20"/>
                <w:szCs w:val="20"/>
              </w:rPr>
              <w:t>A</w:t>
            </w:r>
            <w:r w:rsidRPr="00774395">
              <w:rPr>
                <w:sz w:val="20"/>
                <w:szCs w:val="20"/>
              </w:rPr>
              <w:t>sh juniper, white oak, shrub, cotton wood, douglas fir</w:t>
            </w:r>
          </w:p>
        </w:tc>
        <w:tc>
          <w:tcPr>
            <w:tcW w:w="1398" w:type="dxa"/>
            <w:tcBorders>
              <w:top w:val="single" w:sz="4" w:space="0" w:color="auto"/>
            </w:tcBorders>
          </w:tcPr>
          <w:p w14:paraId="24D19EE6" w14:textId="7F3B8E85" w:rsidR="00D304E5" w:rsidRPr="00774395" w:rsidRDefault="00D304E5" w:rsidP="00B7447B">
            <w:pPr>
              <w:pStyle w:val="Nessunaspaziatura"/>
              <w:spacing w:line="276" w:lineRule="auto"/>
              <w:rPr>
                <w:sz w:val="20"/>
                <w:szCs w:val="20"/>
              </w:rPr>
            </w:pPr>
            <w:r w:rsidRPr="00774395">
              <w:rPr>
                <w:sz w:val="20"/>
                <w:szCs w:val="20"/>
              </w:rPr>
              <w:t>48.5% (289)</w:t>
            </w:r>
          </w:p>
        </w:tc>
      </w:tr>
      <w:tr w:rsidR="00D304E5" w:rsidRPr="00774395" w14:paraId="518010C8" w14:textId="77777777" w:rsidTr="00B7447B">
        <w:trPr>
          <w:trHeight w:val="227"/>
        </w:trPr>
        <w:tc>
          <w:tcPr>
            <w:tcW w:w="2127" w:type="dxa"/>
            <w:vMerge/>
          </w:tcPr>
          <w:p w14:paraId="08044F20" w14:textId="77777777" w:rsidR="00D304E5" w:rsidRPr="00774395" w:rsidRDefault="00D304E5" w:rsidP="00B7447B">
            <w:pPr>
              <w:pStyle w:val="Nessunaspaziatura"/>
              <w:spacing w:line="276" w:lineRule="auto"/>
              <w:rPr>
                <w:sz w:val="20"/>
                <w:szCs w:val="20"/>
              </w:rPr>
            </w:pPr>
          </w:p>
        </w:tc>
        <w:tc>
          <w:tcPr>
            <w:tcW w:w="1815" w:type="dxa"/>
          </w:tcPr>
          <w:p w14:paraId="285C3014" w14:textId="77777777" w:rsidR="00D304E5" w:rsidRPr="00774395" w:rsidRDefault="00D304E5" w:rsidP="00B7447B">
            <w:pPr>
              <w:pStyle w:val="Nessunaspaziatura"/>
              <w:spacing w:line="276" w:lineRule="auto"/>
              <w:rPr>
                <w:sz w:val="20"/>
                <w:szCs w:val="20"/>
              </w:rPr>
            </w:pPr>
            <w:r w:rsidRPr="00774395">
              <w:rPr>
                <w:sz w:val="20"/>
                <w:szCs w:val="20"/>
              </w:rPr>
              <w:t>Herbaceous (H)</w:t>
            </w:r>
          </w:p>
        </w:tc>
        <w:tc>
          <w:tcPr>
            <w:tcW w:w="4298" w:type="dxa"/>
          </w:tcPr>
          <w:p w14:paraId="73AD449B" w14:textId="77777777" w:rsidR="00D304E5" w:rsidRPr="00774395" w:rsidRDefault="00D304E5" w:rsidP="00B7447B">
            <w:pPr>
              <w:pStyle w:val="Nessunaspaziatura"/>
              <w:spacing w:line="276" w:lineRule="auto"/>
              <w:rPr>
                <w:sz w:val="20"/>
                <w:szCs w:val="20"/>
              </w:rPr>
            </w:pPr>
            <w:r w:rsidRPr="00774395">
              <w:rPr>
                <w:sz w:val="20"/>
                <w:szCs w:val="20"/>
              </w:rPr>
              <w:t>Green waste, straws, and corn stover, maize stover, wheat straws, miscanthus straw, rice straw, water hyacinth, fucus serratus, corn straw, switchgrass, reed straw</w:t>
            </w:r>
          </w:p>
        </w:tc>
        <w:tc>
          <w:tcPr>
            <w:tcW w:w="1398" w:type="dxa"/>
          </w:tcPr>
          <w:p w14:paraId="592DEA3D" w14:textId="2AD78379" w:rsidR="00D304E5" w:rsidRPr="00774395" w:rsidRDefault="00D304E5" w:rsidP="00B7447B">
            <w:pPr>
              <w:pStyle w:val="Nessunaspaziatura"/>
              <w:spacing w:line="276" w:lineRule="auto"/>
              <w:rPr>
                <w:sz w:val="20"/>
                <w:szCs w:val="20"/>
              </w:rPr>
            </w:pPr>
            <w:r w:rsidRPr="00774395">
              <w:rPr>
                <w:sz w:val="20"/>
                <w:szCs w:val="20"/>
              </w:rPr>
              <w:t>18.5% (110)</w:t>
            </w:r>
          </w:p>
        </w:tc>
      </w:tr>
      <w:tr w:rsidR="00D304E5" w:rsidRPr="00774395" w14:paraId="537B2AFE" w14:textId="77777777" w:rsidTr="00B7447B">
        <w:trPr>
          <w:trHeight w:val="227"/>
        </w:trPr>
        <w:tc>
          <w:tcPr>
            <w:tcW w:w="2127" w:type="dxa"/>
            <w:vMerge/>
          </w:tcPr>
          <w:p w14:paraId="3910B4B4" w14:textId="77777777" w:rsidR="00D304E5" w:rsidRPr="00774395" w:rsidRDefault="00D304E5" w:rsidP="00B7447B">
            <w:pPr>
              <w:pStyle w:val="Nessunaspaziatura"/>
              <w:spacing w:line="276" w:lineRule="auto"/>
              <w:rPr>
                <w:sz w:val="20"/>
                <w:szCs w:val="20"/>
              </w:rPr>
            </w:pPr>
          </w:p>
        </w:tc>
        <w:tc>
          <w:tcPr>
            <w:tcW w:w="1815" w:type="dxa"/>
          </w:tcPr>
          <w:p w14:paraId="50F13462" w14:textId="77777777" w:rsidR="00D304E5" w:rsidRPr="00774395" w:rsidRDefault="00D304E5" w:rsidP="00B7447B">
            <w:pPr>
              <w:pStyle w:val="Nessunaspaziatura"/>
              <w:spacing w:line="276" w:lineRule="auto"/>
              <w:rPr>
                <w:sz w:val="20"/>
                <w:szCs w:val="20"/>
              </w:rPr>
            </w:pPr>
            <w:r w:rsidRPr="00774395">
              <w:rPr>
                <w:sz w:val="20"/>
                <w:szCs w:val="20"/>
              </w:rPr>
              <w:t>Manure or animal-based residue (M)</w:t>
            </w:r>
          </w:p>
        </w:tc>
        <w:tc>
          <w:tcPr>
            <w:tcW w:w="4298" w:type="dxa"/>
          </w:tcPr>
          <w:p w14:paraId="50736905" w14:textId="77777777" w:rsidR="00D304E5" w:rsidRPr="00774395" w:rsidRDefault="00D304E5" w:rsidP="00B7447B">
            <w:pPr>
              <w:pStyle w:val="Nessunaspaziatura"/>
              <w:spacing w:line="276" w:lineRule="auto"/>
              <w:rPr>
                <w:sz w:val="20"/>
                <w:szCs w:val="20"/>
              </w:rPr>
            </w:pPr>
            <w:r w:rsidRPr="00774395">
              <w:rPr>
                <w:sz w:val="20"/>
                <w:szCs w:val="20"/>
              </w:rPr>
              <w:t>Manure or manure-based materials (bone, meat, blood, etc.)</w:t>
            </w:r>
          </w:p>
          <w:p w14:paraId="7690C15A" w14:textId="77777777" w:rsidR="00D304E5" w:rsidRPr="00774395" w:rsidRDefault="00D304E5" w:rsidP="00B7447B">
            <w:pPr>
              <w:pStyle w:val="Nessunaspaziatura"/>
              <w:spacing w:line="276" w:lineRule="auto"/>
              <w:rPr>
                <w:sz w:val="20"/>
                <w:szCs w:val="20"/>
              </w:rPr>
            </w:pPr>
            <w:r w:rsidRPr="00774395">
              <w:rPr>
                <w:sz w:val="20"/>
                <w:szCs w:val="20"/>
              </w:rPr>
              <w:t>sheep manure, dairy manure, cattle bone, poultry waste, cow dung, cow manure, chicken manure</w:t>
            </w:r>
          </w:p>
        </w:tc>
        <w:tc>
          <w:tcPr>
            <w:tcW w:w="1398" w:type="dxa"/>
          </w:tcPr>
          <w:p w14:paraId="2A56800D" w14:textId="28DB75E0" w:rsidR="00D304E5" w:rsidRPr="00774395" w:rsidRDefault="00D304E5" w:rsidP="00B7447B">
            <w:pPr>
              <w:pStyle w:val="Nessunaspaziatura"/>
              <w:spacing w:line="276" w:lineRule="auto"/>
              <w:rPr>
                <w:sz w:val="20"/>
                <w:szCs w:val="20"/>
              </w:rPr>
            </w:pPr>
            <w:r w:rsidRPr="00774395">
              <w:rPr>
                <w:sz w:val="20"/>
                <w:szCs w:val="20"/>
              </w:rPr>
              <w:t>6.2% (37)</w:t>
            </w:r>
          </w:p>
        </w:tc>
      </w:tr>
      <w:tr w:rsidR="00D304E5" w:rsidRPr="00774395" w14:paraId="23923D1D" w14:textId="77777777" w:rsidTr="00B7447B">
        <w:trPr>
          <w:trHeight w:val="227"/>
        </w:trPr>
        <w:tc>
          <w:tcPr>
            <w:tcW w:w="2127" w:type="dxa"/>
            <w:vMerge/>
          </w:tcPr>
          <w:p w14:paraId="372D3BEC" w14:textId="77777777" w:rsidR="00D304E5" w:rsidRPr="00774395" w:rsidRDefault="00D304E5" w:rsidP="00B7447B">
            <w:pPr>
              <w:pStyle w:val="Nessunaspaziatura"/>
              <w:spacing w:line="276" w:lineRule="auto"/>
              <w:rPr>
                <w:sz w:val="20"/>
                <w:szCs w:val="20"/>
              </w:rPr>
            </w:pPr>
          </w:p>
        </w:tc>
        <w:tc>
          <w:tcPr>
            <w:tcW w:w="1815" w:type="dxa"/>
          </w:tcPr>
          <w:p w14:paraId="5D60AAEB" w14:textId="77777777" w:rsidR="00D304E5" w:rsidRPr="00774395" w:rsidRDefault="00D304E5" w:rsidP="00B7447B">
            <w:pPr>
              <w:pStyle w:val="Nessunaspaziatura"/>
              <w:spacing w:line="276" w:lineRule="auto"/>
              <w:rPr>
                <w:sz w:val="20"/>
                <w:szCs w:val="20"/>
              </w:rPr>
            </w:pPr>
            <w:r w:rsidRPr="00774395">
              <w:rPr>
                <w:sz w:val="20"/>
                <w:szCs w:val="20"/>
              </w:rPr>
              <w:t>Sludge (S)</w:t>
            </w:r>
          </w:p>
        </w:tc>
        <w:tc>
          <w:tcPr>
            <w:tcW w:w="4298" w:type="dxa"/>
          </w:tcPr>
          <w:p w14:paraId="6089DF92" w14:textId="77777777" w:rsidR="00D304E5" w:rsidRPr="00774395" w:rsidRDefault="00D304E5" w:rsidP="00B7447B">
            <w:pPr>
              <w:pStyle w:val="Nessunaspaziatura"/>
              <w:spacing w:line="276" w:lineRule="auto"/>
              <w:rPr>
                <w:sz w:val="20"/>
                <w:szCs w:val="20"/>
              </w:rPr>
            </w:pPr>
            <w:r w:rsidRPr="00774395">
              <w:rPr>
                <w:sz w:val="20"/>
                <w:szCs w:val="20"/>
              </w:rPr>
              <w:t>Any sludge, usually obtained from wastewater treatment but also including brewery sludge</w:t>
            </w:r>
          </w:p>
          <w:p w14:paraId="2452DAF4" w14:textId="77777777" w:rsidR="00D304E5" w:rsidRPr="00774395" w:rsidRDefault="00D304E5" w:rsidP="00B7447B">
            <w:pPr>
              <w:pStyle w:val="Nessunaspaziatura"/>
              <w:spacing w:line="276" w:lineRule="auto"/>
              <w:rPr>
                <w:sz w:val="20"/>
                <w:szCs w:val="20"/>
              </w:rPr>
            </w:pPr>
            <w:r w:rsidRPr="00774395">
              <w:rPr>
                <w:sz w:val="20"/>
                <w:szCs w:val="20"/>
              </w:rPr>
              <w:t>biosolids</w:t>
            </w:r>
          </w:p>
        </w:tc>
        <w:tc>
          <w:tcPr>
            <w:tcW w:w="1398" w:type="dxa"/>
          </w:tcPr>
          <w:p w14:paraId="19A6803C" w14:textId="0645DFB4" w:rsidR="00D304E5" w:rsidRPr="00774395" w:rsidRDefault="00D304E5" w:rsidP="00B7447B">
            <w:pPr>
              <w:pStyle w:val="Nessunaspaziatura"/>
              <w:spacing w:line="276" w:lineRule="auto"/>
              <w:rPr>
                <w:sz w:val="20"/>
                <w:szCs w:val="20"/>
              </w:rPr>
            </w:pPr>
            <w:r w:rsidRPr="00774395">
              <w:rPr>
                <w:sz w:val="20"/>
                <w:szCs w:val="20"/>
              </w:rPr>
              <w:t>12.8% (76)</w:t>
            </w:r>
          </w:p>
        </w:tc>
      </w:tr>
      <w:tr w:rsidR="00D304E5" w:rsidRPr="00774395" w14:paraId="1A944608" w14:textId="77777777" w:rsidTr="00B7447B">
        <w:trPr>
          <w:trHeight w:val="227"/>
        </w:trPr>
        <w:tc>
          <w:tcPr>
            <w:tcW w:w="2127" w:type="dxa"/>
            <w:vMerge/>
          </w:tcPr>
          <w:p w14:paraId="3C3F47AB" w14:textId="77777777" w:rsidR="00D304E5" w:rsidRPr="00774395" w:rsidRDefault="00D304E5" w:rsidP="00B7447B">
            <w:pPr>
              <w:pStyle w:val="Nessunaspaziatura"/>
              <w:spacing w:line="276" w:lineRule="auto"/>
              <w:rPr>
                <w:sz w:val="20"/>
                <w:szCs w:val="20"/>
              </w:rPr>
            </w:pPr>
          </w:p>
        </w:tc>
        <w:tc>
          <w:tcPr>
            <w:tcW w:w="1815" w:type="dxa"/>
          </w:tcPr>
          <w:p w14:paraId="62AD458F" w14:textId="77777777" w:rsidR="00D304E5" w:rsidRPr="00774395" w:rsidRDefault="00D304E5" w:rsidP="00B7447B">
            <w:pPr>
              <w:pStyle w:val="Nessunaspaziatura"/>
              <w:spacing w:line="276" w:lineRule="auto"/>
              <w:rPr>
                <w:sz w:val="20"/>
                <w:szCs w:val="20"/>
              </w:rPr>
            </w:pPr>
            <w:r w:rsidRPr="00774395">
              <w:rPr>
                <w:sz w:val="20"/>
                <w:szCs w:val="20"/>
              </w:rPr>
              <w:t>Crops/Lignocellulosic residue (LR)</w:t>
            </w:r>
          </w:p>
        </w:tc>
        <w:tc>
          <w:tcPr>
            <w:tcW w:w="4298" w:type="dxa"/>
          </w:tcPr>
          <w:p w14:paraId="2C526202" w14:textId="77777777" w:rsidR="00D304E5" w:rsidRPr="00774395" w:rsidRDefault="00D304E5" w:rsidP="00B7447B">
            <w:pPr>
              <w:pStyle w:val="Nessunaspaziatura"/>
              <w:spacing w:line="276" w:lineRule="auto"/>
              <w:rPr>
                <w:sz w:val="20"/>
                <w:szCs w:val="20"/>
              </w:rPr>
            </w:pPr>
            <w:r w:rsidRPr="00774395">
              <w:rPr>
                <w:sz w:val="20"/>
                <w:szCs w:val="20"/>
              </w:rPr>
              <w:t>Walnut shells, peanut shells, maize cobs, furfural from corn cobs, rice husk, nuts shells, paper mill waste, coconut endocarp or shell, coffee grounds, almond shells</w:t>
            </w:r>
          </w:p>
        </w:tc>
        <w:tc>
          <w:tcPr>
            <w:tcW w:w="1398" w:type="dxa"/>
          </w:tcPr>
          <w:p w14:paraId="6F869F25" w14:textId="41A3C140" w:rsidR="00D304E5" w:rsidRPr="00774395" w:rsidRDefault="00D304E5" w:rsidP="00B7447B">
            <w:pPr>
              <w:pStyle w:val="Nessunaspaziatura"/>
              <w:spacing w:line="276" w:lineRule="auto"/>
              <w:rPr>
                <w:sz w:val="20"/>
                <w:szCs w:val="20"/>
              </w:rPr>
            </w:pPr>
            <w:r w:rsidRPr="00774395">
              <w:rPr>
                <w:sz w:val="20"/>
                <w:szCs w:val="20"/>
              </w:rPr>
              <w:t>9.2% (55)</w:t>
            </w:r>
          </w:p>
        </w:tc>
      </w:tr>
      <w:tr w:rsidR="00D304E5" w:rsidRPr="00774395" w14:paraId="359FE185" w14:textId="77777777" w:rsidTr="00B7447B">
        <w:trPr>
          <w:trHeight w:val="227"/>
        </w:trPr>
        <w:tc>
          <w:tcPr>
            <w:tcW w:w="2127" w:type="dxa"/>
            <w:vMerge/>
            <w:tcBorders>
              <w:bottom w:val="single" w:sz="4" w:space="0" w:color="auto"/>
            </w:tcBorders>
          </w:tcPr>
          <w:p w14:paraId="454F507C"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0ECF8C00" w14:textId="77777777" w:rsidR="00D304E5" w:rsidRPr="00774395" w:rsidRDefault="00D304E5" w:rsidP="00B7447B">
            <w:pPr>
              <w:pStyle w:val="Nessunaspaziatura"/>
              <w:spacing w:line="276" w:lineRule="auto"/>
              <w:rPr>
                <w:sz w:val="20"/>
                <w:szCs w:val="20"/>
              </w:rPr>
            </w:pPr>
            <w:r w:rsidRPr="00774395">
              <w:rPr>
                <w:sz w:val="20"/>
                <w:szCs w:val="20"/>
              </w:rPr>
              <w:t>Non-lignocellulosic residue (NLR)</w:t>
            </w:r>
          </w:p>
        </w:tc>
        <w:tc>
          <w:tcPr>
            <w:tcW w:w="4298" w:type="dxa"/>
            <w:tcBorders>
              <w:bottom w:val="single" w:sz="4" w:space="0" w:color="auto"/>
            </w:tcBorders>
          </w:tcPr>
          <w:p w14:paraId="4B3AA581" w14:textId="77777777" w:rsidR="00D304E5" w:rsidRPr="00774395" w:rsidRDefault="00D304E5" w:rsidP="00B7447B">
            <w:pPr>
              <w:pStyle w:val="Nessunaspaziatura"/>
              <w:spacing w:line="276" w:lineRule="auto"/>
              <w:rPr>
                <w:sz w:val="20"/>
                <w:szCs w:val="20"/>
              </w:rPr>
            </w:pPr>
            <w:r w:rsidRPr="00774395">
              <w:rPr>
                <w:sz w:val="20"/>
                <w:szCs w:val="20"/>
              </w:rPr>
              <w:t>Fruit peels, seeds, beet-root chips, spent brewer's grains or draff, wheat bran, citrus peel, oil seed rape, canola meal, corn stalk, whiskey draff</w:t>
            </w:r>
          </w:p>
        </w:tc>
        <w:tc>
          <w:tcPr>
            <w:tcW w:w="1398" w:type="dxa"/>
            <w:tcBorders>
              <w:bottom w:val="single" w:sz="4" w:space="0" w:color="auto"/>
            </w:tcBorders>
          </w:tcPr>
          <w:p w14:paraId="23EC26F9" w14:textId="42398B51" w:rsidR="00D304E5" w:rsidRPr="00774395" w:rsidRDefault="00D304E5" w:rsidP="00B7447B">
            <w:pPr>
              <w:pStyle w:val="Nessunaspaziatura"/>
              <w:spacing w:line="276" w:lineRule="auto"/>
              <w:rPr>
                <w:sz w:val="20"/>
                <w:szCs w:val="20"/>
              </w:rPr>
            </w:pPr>
            <w:r w:rsidRPr="00774395">
              <w:rPr>
                <w:sz w:val="20"/>
                <w:szCs w:val="20"/>
              </w:rPr>
              <w:t>4.9% (29)</w:t>
            </w:r>
          </w:p>
        </w:tc>
      </w:tr>
      <w:tr w:rsidR="00D304E5" w:rsidRPr="00774395" w14:paraId="13052FCF" w14:textId="77777777" w:rsidTr="00B7447B">
        <w:trPr>
          <w:trHeight w:val="227"/>
        </w:trPr>
        <w:tc>
          <w:tcPr>
            <w:tcW w:w="2127" w:type="dxa"/>
            <w:vMerge w:val="restart"/>
            <w:tcBorders>
              <w:top w:val="single" w:sz="4" w:space="0" w:color="auto"/>
            </w:tcBorders>
          </w:tcPr>
          <w:p w14:paraId="519B7498" w14:textId="55054CBA" w:rsidR="00D304E5" w:rsidRPr="00774395" w:rsidRDefault="00A16E41" w:rsidP="00B7447B">
            <w:pPr>
              <w:pStyle w:val="Nessunaspaziatura"/>
              <w:spacing w:line="276" w:lineRule="auto"/>
              <w:rPr>
                <w:sz w:val="20"/>
                <w:szCs w:val="20"/>
              </w:rPr>
            </w:pPr>
            <w:r w:rsidRPr="00774395">
              <w:rPr>
                <w:sz w:val="20"/>
                <w:szCs w:val="20"/>
              </w:rPr>
              <w:t>P</w:t>
            </w:r>
            <w:r w:rsidR="00D304E5" w:rsidRPr="00774395">
              <w:rPr>
                <w:sz w:val="20"/>
                <w:szCs w:val="20"/>
              </w:rPr>
              <w:t>yrolysis temperature [°C]</w:t>
            </w:r>
          </w:p>
        </w:tc>
        <w:tc>
          <w:tcPr>
            <w:tcW w:w="1815" w:type="dxa"/>
            <w:tcBorders>
              <w:top w:val="single" w:sz="4" w:space="0" w:color="auto"/>
            </w:tcBorders>
          </w:tcPr>
          <w:p w14:paraId="53D4DDC9" w14:textId="77777777" w:rsidR="00D304E5" w:rsidRPr="00774395" w:rsidRDefault="00D304E5" w:rsidP="00B7447B">
            <w:pPr>
              <w:pStyle w:val="Nessunaspaziatura"/>
              <w:spacing w:line="276" w:lineRule="auto"/>
              <w:rPr>
                <w:sz w:val="20"/>
                <w:szCs w:val="20"/>
              </w:rPr>
            </w:pPr>
            <w:r w:rsidRPr="00774395">
              <w:rPr>
                <w:sz w:val="20"/>
                <w:szCs w:val="20"/>
              </w:rPr>
              <w:t>&lt; 400</w:t>
            </w:r>
          </w:p>
        </w:tc>
        <w:tc>
          <w:tcPr>
            <w:tcW w:w="4298" w:type="dxa"/>
            <w:tcBorders>
              <w:top w:val="single" w:sz="4" w:space="0" w:color="auto"/>
            </w:tcBorders>
          </w:tcPr>
          <w:p w14:paraId="284D3772" w14:textId="77777777" w:rsidR="00D304E5" w:rsidRPr="00774395" w:rsidRDefault="00D304E5" w:rsidP="00B7447B">
            <w:pPr>
              <w:pStyle w:val="Nessunaspaziatura"/>
              <w:spacing w:line="276" w:lineRule="auto"/>
              <w:rPr>
                <w:sz w:val="20"/>
                <w:szCs w:val="20"/>
              </w:rPr>
            </w:pPr>
            <w:r w:rsidRPr="00774395">
              <w:rPr>
                <w:sz w:val="20"/>
                <w:szCs w:val="20"/>
              </w:rPr>
              <w:t xml:space="preserve"> t &lt; 400 °C</w:t>
            </w:r>
          </w:p>
        </w:tc>
        <w:tc>
          <w:tcPr>
            <w:tcW w:w="1398" w:type="dxa"/>
            <w:tcBorders>
              <w:top w:val="single" w:sz="4" w:space="0" w:color="auto"/>
            </w:tcBorders>
          </w:tcPr>
          <w:p w14:paraId="3554D892" w14:textId="34A27ED0" w:rsidR="00D304E5" w:rsidRPr="00774395" w:rsidRDefault="00D304E5" w:rsidP="00B7447B">
            <w:pPr>
              <w:pStyle w:val="Nessunaspaziatura"/>
              <w:spacing w:line="276" w:lineRule="auto"/>
              <w:rPr>
                <w:sz w:val="20"/>
                <w:szCs w:val="20"/>
              </w:rPr>
            </w:pPr>
            <w:r w:rsidRPr="00774395">
              <w:rPr>
                <w:sz w:val="20"/>
                <w:szCs w:val="20"/>
              </w:rPr>
              <w:t>10.5% (58)</w:t>
            </w:r>
          </w:p>
        </w:tc>
      </w:tr>
      <w:tr w:rsidR="00D304E5" w:rsidRPr="00774395" w14:paraId="68169424" w14:textId="77777777" w:rsidTr="00B7447B">
        <w:trPr>
          <w:trHeight w:val="227"/>
        </w:trPr>
        <w:tc>
          <w:tcPr>
            <w:tcW w:w="2127" w:type="dxa"/>
            <w:vMerge/>
          </w:tcPr>
          <w:p w14:paraId="4907D8B6" w14:textId="77777777" w:rsidR="00D304E5" w:rsidRPr="00774395" w:rsidRDefault="00D304E5" w:rsidP="00B7447B">
            <w:pPr>
              <w:pStyle w:val="Nessunaspaziatura"/>
              <w:spacing w:line="276" w:lineRule="auto"/>
              <w:rPr>
                <w:sz w:val="20"/>
                <w:szCs w:val="20"/>
              </w:rPr>
            </w:pPr>
          </w:p>
        </w:tc>
        <w:tc>
          <w:tcPr>
            <w:tcW w:w="1815" w:type="dxa"/>
          </w:tcPr>
          <w:p w14:paraId="4D11A704" w14:textId="77777777" w:rsidR="00D304E5" w:rsidRPr="00774395" w:rsidRDefault="00D304E5" w:rsidP="00B7447B">
            <w:pPr>
              <w:pStyle w:val="Nessunaspaziatura"/>
              <w:spacing w:line="276" w:lineRule="auto"/>
              <w:rPr>
                <w:sz w:val="20"/>
                <w:szCs w:val="20"/>
              </w:rPr>
            </w:pPr>
            <w:r w:rsidRPr="00774395">
              <w:rPr>
                <w:sz w:val="20"/>
                <w:szCs w:val="20"/>
              </w:rPr>
              <w:t>400 - 550</w:t>
            </w:r>
          </w:p>
        </w:tc>
        <w:tc>
          <w:tcPr>
            <w:tcW w:w="4298" w:type="dxa"/>
          </w:tcPr>
          <w:p w14:paraId="394129AF" w14:textId="77777777" w:rsidR="00D304E5" w:rsidRPr="00774395" w:rsidRDefault="00D304E5" w:rsidP="00B7447B">
            <w:pPr>
              <w:pStyle w:val="Nessunaspaziatura"/>
              <w:spacing w:line="276" w:lineRule="auto"/>
              <w:rPr>
                <w:sz w:val="20"/>
                <w:szCs w:val="20"/>
              </w:rPr>
            </w:pPr>
            <w:r w:rsidRPr="00774395">
              <w:rPr>
                <w:sz w:val="20"/>
                <w:szCs w:val="20"/>
              </w:rPr>
              <w:t>400 °C ≤ t &lt; 550 °C</w:t>
            </w:r>
          </w:p>
        </w:tc>
        <w:tc>
          <w:tcPr>
            <w:tcW w:w="1398" w:type="dxa"/>
          </w:tcPr>
          <w:p w14:paraId="13E8E143" w14:textId="58E7C9FA" w:rsidR="00D304E5" w:rsidRPr="00774395" w:rsidRDefault="00D304E5" w:rsidP="00B7447B">
            <w:pPr>
              <w:pStyle w:val="Nessunaspaziatura"/>
              <w:spacing w:line="276" w:lineRule="auto"/>
              <w:rPr>
                <w:sz w:val="20"/>
                <w:szCs w:val="20"/>
              </w:rPr>
            </w:pPr>
            <w:r w:rsidRPr="00774395">
              <w:rPr>
                <w:sz w:val="20"/>
                <w:szCs w:val="20"/>
              </w:rPr>
              <w:t>32.9% (182)</w:t>
            </w:r>
          </w:p>
        </w:tc>
      </w:tr>
      <w:tr w:rsidR="00D304E5" w:rsidRPr="00774395" w14:paraId="5E753A9C" w14:textId="77777777" w:rsidTr="00B7447B">
        <w:trPr>
          <w:trHeight w:val="227"/>
        </w:trPr>
        <w:tc>
          <w:tcPr>
            <w:tcW w:w="2127" w:type="dxa"/>
            <w:vMerge/>
          </w:tcPr>
          <w:p w14:paraId="453E09E3" w14:textId="77777777" w:rsidR="00D304E5" w:rsidRPr="00774395" w:rsidRDefault="00D304E5" w:rsidP="00B7447B">
            <w:pPr>
              <w:pStyle w:val="Nessunaspaziatura"/>
              <w:spacing w:line="276" w:lineRule="auto"/>
              <w:rPr>
                <w:sz w:val="20"/>
                <w:szCs w:val="20"/>
              </w:rPr>
            </w:pPr>
          </w:p>
        </w:tc>
        <w:tc>
          <w:tcPr>
            <w:tcW w:w="1815" w:type="dxa"/>
          </w:tcPr>
          <w:p w14:paraId="780E1703" w14:textId="77777777" w:rsidR="00D304E5" w:rsidRPr="00774395" w:rsidRDefault="00D304E5" w:rsidP="00B7447B">
            <w:pPr>
              <w:pStyle w:val="Nessunaspaziatura"/>
              <w:spacing w:line="276" w:lineRule="auto"/>
              <w:rPr>
                <w:sz w:val="20"/>
                <w:szCs w:val="20"/>
              </w:rPr>
            </w:pPr>
            <w:r w:rsidRPr="00774395">
              <w:rPr>
                <w:sz w:val="20"/>
                <w:szCs w:val="20"/>
              </w:rPr>
              <w:t>550-700</w:t>
            </w:r>
          </w:p>
        </w:tc>
        <w:tc>
          <w:tcPr>
            <w:tcW w:w="4298" w:type="dxa"/>
          </w:tcPr>
          <w:p w14:paraId="4F95CE37" w14:textId="77777777" w:rsidR="00D304E5" w:rsidRPr="00774395" w:rsidRDefault="00D304E5" w:rsidP="00B7447B">
            <w:pPr>
              <w:pStyle w:val="Nessunaspaziatura"/>
              <w:spacing w:line="276" w:lineRule="auto"/>
              <w:rPr>
                <w:sz w:val="20"/>
                <w:szCs w:val="20"/>
              </w:rPr>
            </w:pPr>
            <w:r w:rsidRPr="00774395">
              <w:rPr>
                <w:sz w:val="20"/>
                <w:szCs w:val="20"/>
              </w:rPr>
              <w:t>550 °C ≤ t &lt; 700 °C</w:t>
            </w:r>
          </w:p>
        </w:tc>
        <w:tc>
          <w:tcPr>
            <w:tcW w:w="1398" w:type="dxa"/>
          </w:tcPr>
          <w:p w14:paraId="41150533" w14:textId="4F3C628C" w:rsidR="00D304E5" w:rsidRPr="00774395" w:rsidRDefault="00D304E5" w:rsidP="00B7447B">
            <w:pPr>
              <w:pStyle w:val="Nessunaspaziatura"/>
              <w:spacing w:line="276" w:lineRule="auto"/>
              <w:rPr>
                <w:sz w:val="20"/>
                <w:szCs w:val="20"/>
              </w:rPr>
            </w:pPr>
            <w:r w:rsidRPr="00774395">
              <w:rPr>
                <w:sz w:val="20"/>
                <w:szCs w:val="20"/>
              </w:rPr>
              <w:t>31.3% (173)</w:t>
            </w:r>
          </w:p>
        </w:tc>
      </w:tr>
      <w:tr w:rsidR="00D304E5" w:rsidRPr="00774395" w14:paraId="6F7D11F1" w14:textId="77777777" w:rsidTr="00B7447B">
        <w:trPr>
          <w:trHeight w:val="227"/>
        </w:trPr>
        <w:tc>
          <w:tcPr>
            <w:tcW w:w="2127" w:type="dxa"/>
            <w:vMerge/>
            <w:tcBorders>
              <w:bottom w:val="single" w:sz="4" w:space="0" w:color="auto"/>
            </w:tcBorders>
          </w:tcPr>
          <w:p w14:paraId="52565EA5"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5679AFF7" w14:textId="77777777" w:rsidR="00D304E5" w:rsidRPr="00774395" w:rsidRDefault="00D304E5" w:rsidP="00B7447B">
            <w:pPr>
              <w:pStyle w:val="Nessunaspaziatura"/>
              <w:spacing w:line="276" w:lineRule="auto"/>
              <w:rPr>
                <w:sz w:val="20"/>
                <w:szCs w:val="20"/>
              </w:rPr>
            </w:pPr>
            <w:r w:rsidRPr="00774395">
              <w:rPr>
                <w:sz w:val="20"/>
                <w:szCs w:val="20"/>
              </w:rPr>
              <w:t>≥ 700</w:t>
            </w:r>
          </w:p>
        </w:tc>
        <w:tc>
          <w:tcPr>
            <w:tcW w:w="4298" w:type="dxa"/>
            <w:tcBorders>
              <w:bottom w:val="single" w:sz="4" w:space="0" w:color="auto"/>
            </w:tcBorders>
          </w:tcPr>
          <w:p w14:paraId="15607046" w14:textId="77777777" w:rsidR="00D304E5" w:rsidRPr="00774395" w:rsidRDefault="00D304E5" w:rsidP="00B7447B">
            <w:pPr>
              <w:pStyle w:val="Nessunaspaziatura"/>
              <w:spacing w:line="276" w:lineRule="auto"/>
              <w:rPr>
                <w:sz w:val="20"/>
                <w:szCs w:val="20"/>
              </w:rPr>
            </w:pPr>
            <w:r w:rsidRPr="00774395">
              <w:rPr>
                <w:sz w:val="20"/>
                <w:szCs w:val="20"/>
              </w:rPr>
              <w:t>t ≥ 700 °C</w:t>
            </w:r>
          </w:p>
        </w:tc>
        <w:tc>
          <w:tcPr>
            <w:tcW w:w="1398" w:type="dxa"/>
            <w:tcBorders>
              <w:bottom w:val="single" w:sz="4" w:space="0" w:color="auto"/>
            </w:tcBorders>
          </w:tcPr>
          <w:p w14:paraId="2FBFE33B" w14:textId="5A9D6FD2" w:rsidR="00D304E5" w:rsidRPr="00774395" w:rsidRDefault="00D304E5" w:rsidP="00B7447B">
            <w:pPr>
              <w:pStyle w:val="Nessunaspaziatura"/>
              <w:spacing w:line="276" w:lineRule="auto"/>
              <w:rPr>
                <w:sz w:val="20"/>
                <w:szCs w:val="20"/>
              </w:rPr>
            </w:pPr>
            <w:r w:rsidRPr="00774395">
              <w:rPr>
                <w:sz w:val="20"/>
                <w:szCs w:val="20"/>
              </w:rPr>
              <w:t>25.3% (140)</w:t>
            </w:r>
          </w:p>
        </w:tc>
      </w:tr>
      <w:tr w:rsidR="00D304E5" w:rsidRPr="00774395" w14:paraId="5C57C3C3" w14:textId="77777777" w:rsidTr="00B7447B">
        <w:trPr>
          <w:trHeight w:val="227"/>
        </w:trPr>
        <w:tc>
          <w:tcPr>
            <w:tcW w:w="2127" w:type="dxa"/>
            <w:vMerge w:val="restart"/>
            <w:tcBorders>
              <w:top w:val="single" w:sz="4" w:space="0" w:color="auto"/>
            </w:tcBorders>
          </w:tcPr>
          <w:p w14:paraId="2C263DA4" w14:textId="475D7148" w:rsidR="00D304E5" w:rsidRPr="00774395" w:rsidRDefault="00A16E41" w:rsidP="00B7447B">
            <w:pPr>
              <w:pStyle w:val="Nessunaspaziatura"/>
              <w:spacing w:line="276" w:lineRule="auto"/>
              <w:rPr>
                <w:sz w:val="20"/>
                <w:szCs w:val="20"/>
              </w:rPr>
            </w:pPr>
            <w:r w:rsidRPr="00774395">
              <w:rPr>
                <w:sz w:val="20"/>
                <w:szCs w:val="20"/>
              </w:rPr>
              <w:t>B</w:t>
            </w:r>
            <w:r w:rsidR="00D304E5" w:rsidRPr="00774395">
              <w:rPr>
                <w:sz w:val="20"/>
                <w:szCs w:val="20"/>
              </w:rPr>
              <w:t>iochar dose [g L</w:t>
            </w:r>
            <w:r w:rsidR="00D304E5" w:rsidRPr="00774395">
              <w:rPr>
                <w:sz w:val="20"/>
                <w:szCs w:val="20"/>
                <w:vertAlign w:val="superscript"/>
              </w:rPr>
              <w:t>-1</w:t>
            </w:r>
            <w:r w:rsidR="00D304E5" w:rsidRPr="00774395">
              <w:rPr>
                <w:sz w:val="20"/>
                <w:szCs w:val="20"/>
              </w:rPr>
              <w:t>]</w:t>
            </w:r>
          </w:p>
        </w:tc>
        <w:tc>
          <w:tcPr>
            <w:tcW w:w="1815" w:type="dxa"/>
            <w:tcBorders>
              <w:top w:val="single" w:sz="4" w:space="0" w:color="auto"/>
            </w:tcBorders>
          </w:tcPr>
          <w:p w14:paraId="5217966B" w14:textId="77777777" w:rsidR="00D304E5" w:rsidRPr="00774395" w:rsidRDefault="00D304E5" w:rsidP="00B7447B">
            <w:pPr>
              <w:pStyle w:val="Nessunaspaziatura"/>
              <w:spacing w:line="276" w:lineRule="auto"/>
              <w:rPr>
                <w:sz w:val="20"/>
                <w:szCs w:val="20"/>
              </w:rPr>
            </w:pPr>
            <w:r w:rsidRPr="00774395">
              <w:rPr>
                <w:sz w:val="20"/>
                <w:szCs w:val="20"/>
              </w:rPr>
              <w:t>&lt; 5</w:t>
            </w:r>
          </w:p>
        </w:tc>
        <w:tc>
          <w:tcPr>
            <w:tcW w:w="4298" w:type="dxa"/>
            <w:tcBorders>
              <w:top w:val="single" w:sz="4" w:space="0" w:color="auto"/>
            </w:tcBorders>
          </w:tcPr>
          <w:p w14:paraId="6DF2588A" w14:textId="4AD400A4" w:rsidR="00D304E5" w:rsidRPr="00774395" w:rsidRDefault="00A16E41" w:rsidP="00B7447B">
            <w:pPr>
              <w:pStyle w:val="Nessunaspaziatura"/>
              <w:spacing w:line="276" w:lineRule="auto"/>
              <w:rPr>
                <w:sz w:val="20"/>
                <w:szCs w:val="20"/>
              </w:rPr>
            </w:pPr>
            <w:r w:rsidRPr="00774395">
              <w:rPr>
                <w:sz w:val="20"/>
                <w:szCs w:val="20"/>
              </w:rPr>
              <w:t>D</w:t>
            </w:r>
            <w:r w:rsidR="00D304E5" w:rsidRPr="00774395">
              <w:rPr>
                <w:sz w:val="20"/>
                <w:szCs w:val="20"/>
              </w:rPr>
              <w:t>ose &lt; 5 g L</w:t>
            </w:r>
            <w:r w:rsidR="00D304E5" w:rsidRPr="00774395">
              <w:rPr>
                <w:sz w:val="20"/>
                <w:szCs w:val="20"/>
                <w:vertAlign w:val="superscript"/>
              </w:rPr>
              <w:t>-1</w:t>
            </w:r>
          </w:p>
        </w:tc>
        <w:tc>
          <w:tcPr>
            <w:tcW w:w="1398" w:type="dxa"/>
            <w:tcBorders>
              <w:top w:val="single" w:sz="4" w:space="0" w:color="auto"/>
            </w:tcBorders>
          </w:tcPr>
          <w:p w14:paraId="053BA5E4" w14:textId="64D7B8C2" w:rsidR="00D304E5" w:rsidRPr="00774395" w:rsidRDefault="00D304E5" w:rsidP="00B7447B">
            <w:pPr>
              <w:pStyle w:val="Nessunaspaziatura"/>
              <w:spacing w:line="276" w:lineRule="auto"/>
              <w:rPr>
                <w:sz w:val="20"/>
                <w:szCs w:val="20"/>
              </w:rPr>
            </w:pPr>
            <w:r w:rsidRPr="00774395">
              <w:rPr>
                <w:sz w:val="20"/>
                <w:szCs w:val="20"/>
              </w:rPr>
              <w:t>18.7% (108)</w:t>
            </w:r>
          </w:p>
        </w:tc>
      </w:tr>
      <w:tr w:rsidR="00D304E5" w:rsidRPr="00774395" w14:paraId="7E63E89F" w14:textId="77777777" w:rsidTr="00B7447B">
        <w:trPr>
          <w:trHeight w:val="227"/>
        </w:trPr>
        <w:tc>
          <w:tcPr>
            <w:tcW w:w="2127" w:type="dxa"/>
            <w:vMerge/>
          </w:tcPr>
          <w:p w14:paraId="2DFE08ED" w14:textId="77777777" w:rsidR="00D304E5" w:rsidRPr="00774395" w:rsidRDefault="00D304E5" w:rsidP="00B7447B">
            <w:pPr>
              <w:pStyle w:val="Nessunaspaziatura"/>
              <w:spacing w:line="276" w:lineRule="auto"/>
              <w:rPr>
                <w:sz w:val="20"/>
                <w:szCs w:val="20"/>
              </w:rPr>
            </w:pPr>
          </w:p>
        </w:tc>
        <w:tc>
          <w:tcPr>
            <w:tcW w:w="1815" w:type="dxa"/>
          </w:tcPr>
          <w:p w14:paraId="05A933F5" w14:textId="77777777" w:rsidR="00D304E5" w:rsidRPr="00774395" w:rsidRDefault="00D304E5" w:rsidP="00B7447B">
            <w:pPr>
              <w:pStyle w:val="Nessunaspaziatura"/>
              <w:spacing w:line="276" w:lineRule="auto"/>
              <w:rPr>
                <w:sz w:val="20"/>
                <w:szCs w:val="20"/>
              </w:rPr>
            </w:pPr>
            <w:r w:rsidRPr="00774395">
              <w:rPr>
                <w:sz w:val="20"/>
                <w:szCs w:val="20"/>
              </w:rPr>
              <w:t>5-10</w:t>
            </w:r>
          </w:p>
        </w:tc>
        <w:tc>
          <w:tcPr>
            <w:tcW w:w="4298" w:type="dxa"/>
          </w:tcPr>
          <w:p w14:paraId="473AF8E6" w14:textId="77777777" w:rsidR="00D304E5" w:rsidRPr="00774395" w:rsidRDefault="00D304E5" w:rsidP="00B7447B">
            <w:pPr>
              <w:pStyle w:val="Nessunaspaziatura"/>
              <w:spacing w:line="276" w:lineRule="auto"/>
              <w:rPr>
                <w:sz w:val="20"/>
                <w:szCs w:val="20"/>
              </w:rPr>
            </w:pPr>
            <w:r w:rsidRPr="00774395">
              <w:rPr>
                <w:sz w:val="20"/>
                <w:szCs w:val="20"/>
              </w:rPr>
              <w:t>5 g L</w:t>
            </w:r>
            <w:r w:rsidRPr="00774395">
              <w:rPr>
                <w:sz w:val="20"/>
                <w:szCs w:val="20"/>
                <w:vertAlign w:val="superscript"/>
              </w:rPr>
              <w:t>-1</w:t>
            </w:r>
            <w:r w:rsidRPr="00774395">
              <w:rPr>
                <w:sz w:val="20"/>
                <w:szCs w:val="20"/>
              </w:rPr>
              <w:t xml:space="preserve"> ≤ dose &lt; 10 g L</w:t>
            </w:r>
            <w:r w:rsidRPr="00774395">
              <w:rPr>
                <w:sz w:val="20"/>
                <w:szCs w:val="20"/>
                <w:vertAlign w:val="superscript"/>
              </w:rPr>
              <w:t>-1</w:t>
            </w:r>
          </w:p>
        </w:tc>
        <w:tc>
          <w:tcPr>
            <w:tcW w:w="1398" w:type="dxa"/>
          </w:tcPr>
          <w:p w14:paraId="3C6B608D" w14:textId="42D7D2C7" w:rsidR="00D304E5" w:rsidRPr="00774395" w:rsidRDefault="00D304E5" w:rsidP="00B7447B">
            <w:pPr>
              <w:pStyle w:val="Nessunaspaziatura"/>
              <w:spacing w:line="276" w:lineRule="auto"/>
              <w:rPr>
                <w:sz w:val="20"/>
                <w:szCs w:val="20"/>
              </w:rPr>
            </w:pPr>
            <w:r w:rsidRPr="00774395">
              <w:rPr>
                <w:sz w:val="20"/>
                <w:szCs w:val="20"/>
              </w:rPr>
              <w:t>16.1% (93)</w:t>
            </w:r>
          </w:p>
        </w:tc>
      </w:tr>
      <w:tr w:rsidR="00D304E5" w:rsidRPr="00774395" w14:paraId="5D272129" w14:textId="77777777" w:rsidTr="00B7447B">
        <w:trPr>
          <w:trHeight w:val="227"/>
        </w:trPr>
        <w:tc>
          <w:tcPr>
            <w:tcW w:w="2127" w:type="dxa"/>
            <w:vMerge/>
          </w:tcPr>
          <w:p w14:paraId="59E00F13" w14:textId="77777777" w:rsidR="00D304E5" w:rsidRPr="00774395" w:rsidRDefault="00D304E5" w:rsidP="00B7447B">
            <w:pPr>
              <w:pStyle w:val="Nessunaspaziatura"/>
              <w:spacing w:line="276" w:lineRule="auto"/>
              <w:rPr>
                <w:sz w:val="20"/>
                <w:szCs w:val="20"/>
              </w:rPr>
            </w:pPr>
          </w:p>
        </w:tc>
        <w:tc>
          <w:tcPr>
            <w:tcW w:w="1815" w:type="dxa"/>
          </w:tcPr>
          <w:p w14:paraId="03AF3ABA" w14:textId="77777777" w:rsidR="00D304E5" w:rsidRPr="00774395" w:rsidRDefault="00D304E5" w:rsidP="00B7447B">
            <w:pPr>
              <w:pStyle w:val="Nessunaspaziatura"/>
              <w:spacing w:line="276" w:lineRule="auto"/>
              <w:rPr>
                <w:sz w:val="20"/>
                <w:szCs w:val="20"/>
              </w:rPr>
            </w:pPr>
            <w:r w:rsidRPr="00774395">
              <w:rPr>
                <w:sz w:val="20"/>
                <w:szCs w:val="20"/>
              </w:rPr>
              <w:t>10-15</w:t>
            </w:r>
          </w:p>
        </w:tc>
        <w:tc>
          <w:tcPr>
            <w:tcW w:w="4298" w:type="dxa"/>
          </w:tcPr>
          <w:p w14:paraId="746C977B" w14:textId="77777777" w:rsidR="00D304E5" w:rsidRPr="00774395" w:rsidRDefault="00D304E5" w:rsidP="00B7447B">
            <w:pPr>
              <w:pStyle w:val="Nessunaspaziatura"/>
              <w:spacing w:line="276" w:lineRule="auto"/>
              <w:rPr>
                <w:sz w:val="20"/>
                <w:szCs w:val="20"/>
              </w:rPr>
            </w:pPr>
            <w:r w:rsidRPr="00774395">
              <w:rPr>
                <w:sz w:val="20"/>
                <w:szCs w:val="20"/>
              </w:rPr>
              <w:t>10 g L</w:t>
            </w:r>
            <w:r w:rsidRPr="00774395">
              <w:rPr>
                <w:sz w:val="20"/>
                <w:szCs w:val="20"/>
                <w:vertAlign w:val="superscript"/>
              </w:rPr>
              <w:t>-1</w:t>
            </w:r>
            <w:r w:rsidRPr="00774395">
              <w:rPr>
                <w:sz w:val="20"/>
                <w:szCs w:val="20"/>
              </w:rPr>
              <w:t xml:space="preserve"> ≤ dose &lt; 15 g L</w:t>
            </w:r>
            <w:r w:rsidRPr="00774395">
              <w:rPr>
                <w:sz w:val="20"/>
                <w:szCs w:val="20"/>
                <w:vertAlign w:val="superscript"/>
              </w:rPr>
              <w:t>-1</w:t>
            </w:r>
          </w:p>
        </w:tc>
        <w:tc>
          <w:tcPr>
            <w:tcW w:w="1398" w:type="dxa"/>
          </w:tcPr>
          <w:p w14:paraId="04FC4671" w14:textId="6CBDF023" w:rsidR="00D304E5" w:rsidRPr="00774395" w:rsidRDefault="00D304E5" w:rsidP="00B7447B">
            <w:pPr>
              <w:pStyle w:val="Nessunaspaziatura"/>
              <w:spacing w:line="276" w:lineRule="auto"/>
              <w:rPr>
                <w:sz w:val="20"/>
                <w:szCs w:val="20"/>
              </w:rPr>
            </w:pPr>
            <w:r w:rsidRPr="00774395">
              <w:rPr>
                <w:sz w:val="20"/>
                <w:szCs w:val="20"/>
              </w:rPr>
              <w:t>26.5% (153)</w:t>
            </w:r>
          </w:p>
        </w:tc>
      </w:tr>
      <w:tr w:rsidR="00D304E5" w:rsidRPr="00774395" w14:paraId="16196B4B" w14:textId="77777777" w:rsidTr="00B7447B">
        <w:trPr>
          <w:trHeight w:val="227"/>
        </w:trPr>
        <w:tc>
          <w:tcPr>
            <w:tcW w:w="2127" w:type="dxa"/>
            <w:vMerge/>
          </w:tcPr>
          <w:p w14:paraId="41300001" w14:textId="77777777" w:rsidR="00D304E5" w:rsidRPr="00774395" w:rsidRDefault="00D304E5" w:rsidP="00B7447B">
            <w:pPr>
              <w:pStyle w:val="Nessunaspaziatura"/>
              <w:spacing w:line="276" w:lineRule="auto"/>
              <w:rPr>
                <w:sz w:val="20"/>
                <w:szCs w:val="20"/>
              </w:rPr>
            </w:pPr>
          </w:p>
        </w:tc>
        <w:tc>
          <w:tcPr>
            <w:tcW w:w="1815" w:type="dxa"/>
          </w:tcPr>
          <w:p w14:paraId="697D0598" w14:textId="77777777" w:rsidR="00D304E5" w:rsidRPr="00774395" w:rsidRDefault="00D304E5" w:rsidP="00B7447B">
            <w:pPr>
              <w:pStyle w:val="Nessunaspaziatura"/>
              <w:spacing w:line="276" w:lineRule="auto"/>
              <w:rPr>
                <w:sz w:val="20"/>
                <w:szCs w:val="20"/>
              </w:rPr>
            </w:pPr>
            <w:r w:rsidRPr="00774395">
              <w:rPr>
                <w:sz w:val="20"/>
                <w:szCs w:val="20"/>
              </w:rPr>
              <w:t>15-20</w:t>
            </w:r>
          </w:p>
        </w:tc>
        <w:tc>
          <w:tcPr>
            <w:tcW w:w="4298" w:type="dxa"/>
          </w:tcPr>
          <w:p w14:paraId="7C4C933F" w14:textId="77777777" w:rsidR="00D304E5" w:rsidRPr="00774395" w:rsidRDefault="00D304E5" w:rsidP="00B7447B">
            <w:pPr>
              <w:pStyle w:val="Nessunaspaziatura"/>
              <w:spacing w:line="276" w:lineRule="auto"/>
              <w:rPr>
                <w:sz w:val="20"/>
                <w:szCs w:val="20"/>
              </w:rPr>
            </w:pPr>
            <w:r w:rsidRPr="00774395">
              <w:rPr>
                <w:sz w:val="20"/>
                <w:szCs w:val="20"/>
              </w:rPr>
              <w:t>15 g L</w:t>
            </w:r>
            <w:r w:rsidRPr="00774395">
              <w:rPr>
                <w:sz w:val="20"/>
                <w:szCs w:val="20"/>
                <w:vertAlign w:val="superscript"/>
              </w:rPr>
              <w:t>-1</w:t>
            </w:r>
            <w:r w:rsidRPr="00774395">
              <w:rPr>
                <w:sz w:val="20"/>
                <w:szCs w:val="20"/>
              </w:rPr>
              <w:t xml:space="preserve"> ≤ dose &lt; 20 g L</w:t>
            </w:r>
            <w:r w:rsidRPr="00774395">
              <w:rPr>
                <w:sz w:val="20"/>
                <w:szCs w:val="20"/>
                <w:vertAlign w:val="superscript"/>
              </w:rPr>
              <w:t>-1</w:t>
            </w:r>
          </w:p>
        </w:tc>
        <w:tc>
          <w:tcPr>
            <w:tcW w:w="1398" w:type="dxa"/>
          </w:tcPr>
          <w:p w14:paraId="20B9E1D5" w14:textId="4DB2525E" w:rsidR="00D304E5" w:rsidRPr="00774395" w:rsidRDefault="00D304E5" w:rsidP="00B7447B">
            <w:pPr>
              <w:pStyle w:val="Nessunaspaziatura"/>
              <w:spacing w:line="276" w:lineRule="auto"/>
              <w:rPr>
                <w:sz w:val="20"/>
                <w:szCs w:val="20"/>
              </w:rPr>
            </w:pPr>
            <w:r w:rsidRPr="00774395">
              <w:rPr>
                <w:sz w:val="20"/>
                <w:szCs w:val="20"/>
              </w:rPr>
              <w:t>13.5% (78)</w:t>
            </w:r>
          </w:p>
        </w:tc>
      </w:tr>
      <w:tr w:rsidR="00D304E5" w:rsidRPr="00774395" w14:paraId="3E746938" w14:textId="77777777" w:rsidTr="00B7447B">
        <w:trPr>
          <w:trHeight w:val="227"/>
        </w:trPr>
        <w:tc>
          <w:tcPr>
            <w:tcW w:w="2127" w:type="dxa"/>
            <w:vMerge/>
            <w:tcBorders>
              <w:bottom w:val="single" w:sz="4" w:space="0" w:color="auto"/>
            </w:tcBorders>
          </w:tcPr>
          <w:p w14:paraId="6835D796"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749C904C" w14:textId="77777777" w:rsidR="00D304E5" w:rsidRPr="00774395" w:rsidRDefault="00D304E5" w:rsidP="00B7447B">
            <w:pPr>
              <w:pStyle w:val="Nessunaspaziatura"/>
              <w:spacing w:line="276" w:lineRule="auto"/>
              <w:rPr>
                <w:sz w:val="20"/>
                <w:szCs w:val="20"/>
              </w:rPr>
            </w:pPr>
            <w:r w:rsidRPr="00774395">
              <w:rPr>
                <w:sz w:val="20"/>
                <w:szCs w:val="20"/>
              </w:rPr>
              <w:t>≥ 20</w:t>
            </w:r>
          </w:p>
        </w:tc>
        <w:tc>
          <w:tcPr>
            <w:tcW w:w="4298" w:type="dxa"/>
            <w:tcBorders>
              <w:bottom w:val="single" w:sz="4" w:space="0" w:color="auto"/>
            </w:tcBorders>
          </w:tcPr>
          <w:p w14:paraId="3558A8A6" w14:textId="42297A15" w:rsidR="00D304E5" w:rsidRPr="00774395" w:rsidRDefault="00A16E41" w:rsidP="00B7447B">
            <w:pPr>
              <w:pStyle w:val="Nessunaspaziatura"/>
              <w:spacing w:line="276" w:lineRule="auto"/>
              <w:rPr>
                <w:sz w:val="20"/>
                <w:szCs w:val="20"/>
              </w:rPr>
            </w:pPr>
            <w:r w:rsidRPr="00774395">
              <w:rPr>
                <w:sz w:val="20"/>
                <w:szCs w:val="20"/>
              </w:rPr>
              <w:t>D</w:t>
            </w:r>
            <w:r w:rsidR="00D304E5" w:rsidRPr="00774395">
              <w:rPr>
                <w:sz w:val="20"/>
                <w:szCs w:val="20"/>
              </w:rPr>
              <w:t>ose ≥ 20 g L</w:t>
            </w:r>
            <w:r w:rsidR="00D304E5" w:rsidRPr="00774395">
              <w:rPr>
                <w:sz w:val="20"/>
                <w:szCs w:val="20"/>
                <w:vertAlign w:val="superscript"/>
              </w:rPr>
              <w:t>-1</w:t>
            </w:r>
          </w:p>
        </w:tc>
        <w:tc>
          <w:tcPr>
            <w:tcW w:w="1398" w:type="dxa"/>
            <w:tcBorders>
              <w:bottom w:val="single" w:sz="4" w:space="0" w:color="auto"/>
            </w:tcBorders>
          </w:tcPr>
          <w:p w14:paraId="254AB7A8" w14:textId="4D0ED077" w:rsidR="00D304E5" w:rsidRPr="00774395" w:rsidRDefault="00D304E5" w:rsidP="00B7447B">
            <w:pPr>
              <w:pStyle w:val="Nessunaspaziatura"/>
              <w:spacing w:line="276" w:lineRule="auto"/>
              <w:rPr>
                <w:sz w:val="20"/>
                <w:szCs w:val="20"/>
              </w:rPr>
            </w:pPr>
            <w:r w:rsidRPr="00774395">
              <w:rPr>
                <w:sz w:val="20"/>
                <w:szCs w:val="20"/>
              </w:rPr>
              <w:t>25.3% (146)</w:t>
            </w:r>
          </w:p>
        </w:tc>
      </w:tr>
      <w:tr w:rsidR="00D304E5" w:rsidRPr="00774395" w14:paraId="17C0D81C" w14:textId="77777777" w:rsidTr="00B7447B">
        <w:trPr>
          <w:trHeight w:val="227"/>
        </w:trPr>
        <w:tc>
          <w:tcPr>
            <w:tcW w:w="2127" w:type="dxa"/>
            <w:vMerge w:val="restart"/>
            <w:tcBorders>
              <w:top w:val="single" w:sz="4" w:space="0" w:color="auto"/>
            </w:tcBorders>
          </w:tcPr>
          <w:p w14:paraId="12F5643C" w14:textId="4C3D3DB0" w:rsidR="00D304E5" w:rsidRPr="00774395" w:rsidRDefault="00A16E41" w:rsidP="00B7447B">
            <w:pPr>
              <w:pStyle w:val="Nessunaspaziatura"/>
              <w:spacing w:line="276" w:lineRule="auto"/>
              <w:rPr>
                <w:sz w:val="20"/>
                <w:szCs w:val="20"/>
              </w:rPr>
            </w:pPr>
            <w:r w:rsidRPr="00774395">
              <w:rPr>
                <w:sz w:val="20"/>
                <w:szCs w:val="20"/>
              </w:rPr>
              <w:t>F</w:t>
            </w:r>
            <w:r w:rsidR="00D304E5" w:rsidRPr="00774395">
              <w:rPr>
                <w:sz w:val="20"/>
                <w:szCs w:val="20"/>
              </w:rPr>
              <w:t>eeding mode of anaerobic digestion</w:t>
            </w:r>
          </w:p>
        </w:tc>
        <w:tc>
          <w:tcPr>
            <w:tcW w:w="1815" w:type="dxa"/>
            <w:tcBorders>
              <w:top w:val="single" w:sz="4" w:space="0" w:color="auto"/>
            </w:tcBorders>
          </w:tcPr>
          <w:p w14:paraId="6B1311EF" w14:textId="77777777" w:rsidR="00D304E5" w:rsidRPr="00774395" w:rsidRDefault="00D304E5" w:rsidP="00B7447B">
            <w:pPr>
              <w:pStyle w:val="Nessunaspaziatura"/>
              <w:spacing w:line="276" w:lineRule="auto"/>
              <w:rPr>
                <w:sz w:val="20"/>
                <w:szCs w:val="20"/>
              </w:rPr>
            </w:pPr>
            <w:r w:rsidRPr="00774395">
              <w:rPr>
                <w:sz w:val="20"/>
                <w:szCs w:val="20"/>
              </w:rPr>
              <w:t>Batch</w:t>
            </w:r>
          </w:p>
        </w:tc>
        <w:tc>
          <w:tcPr>
            <w:tcW w:w="4298" w:type="dxa"/>
            <w:tcBorders>
              <w:top w:val="single" w:sz="4" w:space="0" w:color="auto"/>
            </w:tcBorders>
          </w:tcPr>
          <w:p w14:paraId="55A3EA3F" w14:textId="77777777" w:rsidR="00D304E5" w:rsidRPr="00774395" w:rsidRDefault="00D304E5" w:rsidP="00B7447B">
            <w:pPr>
              <w:pStyle w:val="Nessunaspaziatura"/>
              <w:spacing w:line="276" w:lineRule="auto"/>
              <w:rPr>
                <w:sz w:val="20"/>
                <w:szCs w:val="20"/>
              </w:rPr>
            </w:pPr>
          </w:p>
        </w:tc>
        <w:tc>
          <w:tcPr>
            <w:tcW w:w="1398" w:type="dxa"/>
            <w:tcBorders>
              <w:top w:val="single" w:sz="4" w:space="0" w:color="auto"/>
            </w:tcBorders>
          </w:tcPr>
          <w:p w14:paraId="0C5E466F" w14:textId="4C6049C9" w:rsidR="00D304E5" w:rsidRPr="00774395" w:rsidRDefault="00D304E5" w:rsidP="00B7447B">
            <w:pPr>
              <w:pStyle w:val="Nessunaspaziatura"/>
              <w:spacing w:line="276" w:lineRule="auto"/>
              <w:rPr>
                <w:sz w:val="20"/>
                <w:szCs w:val="20"/>
              </w:rPr>
            </w:pPr>
            <w:r w:rsidRPr="00774395">
              <w:rPr>
                <w:sz w:val="20"/>
                <w:szCs w:val="20"/>
              </w:rPr>
              <w:t>82.1% (503)</w:t>
            </w:r>
          </w:p>
        </w:tc>
      </w:tr>
      <w:tr w:rsidR="00D304E5" w:rsidRPr="00774395" w14:paraId="31329970" w14:textId="77777777" w:rsidTr="00B7447B">
        <w:trPr>
          <w:trHeight w:val="227"/>
        </w:trPr>
        <w:tc>
          <w:tcPr>
            <w:tcW w:w="2127" w:type="dxa"/>
            <w:vMerge/>
          </w:tcPr>
          <w:p w14:paraId="5C2F5E19" w14:textId="77777777" w:rsidR="00D304E5" w:rsidRPr="00774395" w:rsidRDefault="00D304E5" w:rsidP="00B7447B">
            <w:pPr>
              <w:pStyle w:val="Nessunaspaziatura"/>
              <w:spacing w:line="276" w:lineRule="auto"/>
              <w:rPr>
                <w:sz w:val="20"/>
                <w:szCs w:val="20"/>
              </w:rPr>
            </w:pPr>
          </w:p>
        </w:tc>
        <w:tc>
          <w:tcPr>
            <w:tcW w:w="1815" w:type="dxa"/>
          </w:tcPr>
          <w:p w14:paraId="2039BA34" w14:textId="77777777" w:rsidR="00D304E5" w:rsidRPr="00774395" w:rsidRDefault="00D304E5" w:rsidP="00B7447B">
            <w:pPr>
              <w:pStyle w:val="Nessunaspaziatura"/>
              <w:spacing w:line="276" w:lineRule="auto"/>
              <w:rPr>
                <w:sz w:val="20"/>
                <w:szCs w:val="20"/>
              </w:rPr>
            </w:pPr>
            <w:r w:rsidRPr="00774395">
              <w:rPr>
                <w:sz w:val="20"/>
                <w:szCs w:val="20"/>
              </w:rPr>
              <w:t>Fed-batch</w:t>
            </w:r>
          </w:p>
        </w:tc>
        <w:tc>
          <w:tcPr>
            <w:tcW w:w="4298" w:type="dxa"/>
          </w:tcPr>
          <w:p w14:paraId="61A91D8D" w14:textId="77777777" w:rsidR="00D304E5" w:rsidRPr="00774395" w:rsidRDefault="00D304E5" w:rsidP="00B7447B">
            <w:pPr>
              <w:pStyle w:val="Nessunaspaziatura"/>
              <w:spacing w:line="276" w:lineRule="auto"/>
              <w:rPr>
                <w:sz w:val="20"/>
                <w:szCs w:val="20"/>
              </w:rPr>
            </w:pPr>
          </w:p>
        </w:tc>
        <w:tc>
          <w:tcPr>
            <w:tcW w:w="1398" w:type="dxa"/>
          </w:tcPr>
          <w:p w14:paraId="2FDFA10F" w14:textId="24FB74B8" w:rsidR="00D304E5" w:rsidRPr="00774395" w:rsidRDefault="00D304E5" w:rsidP="00B7447B">
            <w:pPr>
              <w:pStyle w:val="Nessunaspaziatura"/>
              <w:spacing w:line="276" w:lineRule="auto"/>
              <w:rPr>
                <w:sz w:val="20"/>
                <w:szCs w:val="20"/>
              </w:rPr>
            </w:pPr>
            <w:r w:rsidRPr="00774395">
              <w:rPr>
                <w:sz w:val="20"/>
                <w:szCs w:val="20"/>
              </w:rPr>
              <w:t>1.0% (6)</w:t>
            </w:r>
          </w:p>
        </w:tc>
      </w:tr>
      <w:tr w:rsidR="00D304E5" w:rsidRPr="00774395" w14:paraId="4EEBB358" w14:textId="77777777" w:rsidTr="00B7447B">
        <w:trPr>
          <w:trHeight w:val="227"/>
        </w:trPr>
        <w:tc>
          <w:tcPr>
            <w:tcW w:w="2127" w:type="dxa"/>
            <w:vMerge/>
            <w:tcBorders>
              <w:bottom w:val="single" w:sz="4" w:space="0" w:color="auto"/>
            </w:tcBorders>
          </w:tcPr>
          <w:p w14:paraId="7D35211F"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7A448E61" w14:textId="77777777" w:rsidR="00D304E5" w:rsidRPr="00774395" w:rsidRDefault="00D304E5" w:rsidP="00B7447B">
            <w:pPr>
              <w:pStyle w:val="Nessunaspaziatura"/>
              <w:spacing w:line="276" w:lineRule="auto"/>
              <w:rPr>
                <w:sz w:val="20"/>
                <w:szCs w:val="20"/>
              </w:rPr>
            </w:pPr>
            <w:r w:rsidRPr="00774395">
              <w:rPr>
                <w:sz w:val="20"/>
                <w:szCs w:val="20"/>
              </w:rPr>
              <w:t xml:space="preserve">Semi-continuous </w:t>
            </w:r>
          </w:p>
        </w:tc>
        <w:tc>
          <w:tcPr>
            <w:tcW w:w="4298" w:type="dxa"/>
            <w:tcBorders>
              <w:bottom w:val="single" w:sz="4" w:space="0" w:color="auto"/>
            </w:tcBorders>
          </w:tcPr>
          <w:p w14:paraId="331723A3" w14:textId="77777777" w:rsidR="00D304E5" w:rsidRPr="00774395" w:rsidRDefault="00D304E5" w:rsidP="00B7447B">
            <w:pPr>
              <w:pStyle w:val="Nessunaspaziatura"/>
              <w:spacing w:line="276" w:lineRule="auto"/>
              <w:rPr>
                <w:sz w:val="20"/>
                <w:szCs w:val="20"/>
              </w:rPr>
            </w:pPr>
          </w:p>
        </w:tc>
        <w:tc>
          <w:tcPr>
            <w:tcW w:w="1398" w:type="dxa"/>
            <w:tcBorders>
              <w:bottom w:val="single" w:sz="4" w:space="0" w:color="auto"/>
            </w:tcBorders>
          </w:tcPr>
          <w:p w14:paraId="19BEFC8F" w14:textId="5DB9825F" w:rsidR="00D304E5" w:rsidRPr="00774395" w:rsidRDefault="00D304E5" w:rsidP="00B7447B">
            <w:pPr>
              <w:pStyle w:val="Nessunaspaziatura"/>
              <w:spacing w:line="276" w:lineRule="auto"/>
              <w:rPr>
                <w:sz w:val="20"/>
                <w:szCs w:val="20"/>
              </w:rPr>
            </w:pPr>
            <w:r w:rsidRPr="00774395">
              <w:rPr>
                <w:sz w:val="20"/>
                <w:szCs w:val="20"/>
              </w:rPr>
              <w:t>17.0% (104)</w:t>
            </w:r>
          </w:p>
        </w:tc>
      </w:tr>
      <w:tr w:rsidR="00D304E5" w:rsidRPr="00774395" w14:paraId="4EC7D417" w14:textId="77777777" w:rsidTr="00B7447B">
        <w:trPr>
          <w:trHeight w:val="227"/>
        </w:trPr>
        <w:tc>
          <w:tcPr>
            <w:tcW w:w="2127" w:type="dxa"/>
            <w:vMerge w:val="restart"/>
            <w:tcBorders>
              <w:top w:val="single" w:sz="4" w:space="0" w:color="auto"/>
            </w:tcBorders>
          </w:tcPr>
          <w:p w14:paraId="434C160E" w14:textId="64745C68" w:rsidR="00D304E5" w:rsidRPr="00774395" w:rsidRDefault="00A16E41" w:rsidP="00B7447B">
            <w:pPr>
              <w:pStyle w:val="Nessunaspaziatura"/>
              <w:spacing w:line="276" w:lineRule="auto"/>
              <w:rPr>
                <w:sz w:val="20"/>
                <w:szCs w:val="20"/>
              </w:rPr>
            </w:pPr>
            <w:r w:rsidRPr="00774395">
              <w:rPr>
                <w:sz w:val="20"/>
                <w:szCs w:val="20"/>
              </w:rPr>
              <w:t>S</w:t>
            </w:r>
            <w:r w:rsidR="00D304E5" w:rsidRPr="00774395">
              <w:rPr>
                <w:sz w:val="20"/>
                <w:szCs w:val="20"/>
              </w:rPr>
              <w:t>ubstrate for anaerobic digestion</w:t>
            </w:r>
          </w:p>
        </w:tc>
        <w:tc>
          <w:tcPr>
            <w:tcW w:w="1815" w:type="dxa"/>
            <w:tcBorders>
              <w:top w:val="single" w:sz="4" w:space="0" w:color="auto"/>
            </w:tcBorders>
          </w:tcPr>
          <w:p w14:paraId="58F6DDD1" w14:textId="77777777" w:rsidR="00D304E5" w:rsidRPr="00774395" w:rsidRDefault="00D304E5" w:rsidP="00B7447B">
            <w:pPr>
              <w:pStyle w:val="Nessunaspaziatura"/>
              <w:spacing w:line="276" w:lineRule="auto"/>
              <w:rPr>
                <w:sz w:val="20"/>
                <w:szCs w:val="20"/>
              </w:rPr>
            </w:pPr>
            <w:r w:rsidRPr="00774395">
              <w:rPr>
                <w:sz w:val="20"/>
                <w:szCs w:val="20"/>
              </w:rPr>
              <w:t>Agro-industrial</w:t>
            </w:r>
          </w:p>
        </w:tc>
        <w:tc>
          <w:tcPr>
            <w:tcW w:w="4298" w:type="dxa"/>
            <w:tcBorders>
              <w:top w:val="single" w:sz="4" w:space="0" w:color="auto"/>
            </w:tcBorders>
          </w:tcPr>
          <w:p w14:paraId="11A886C0" w14:textId="77777777" w:rsidR="00D304E5" w:rsidRPr="00774395" w:rsidRDefault="00D304E5" w:rsidP="00B7447B">
            <w:pPr>
              <w:pStyle w:val="Nessunaspaziatura"/>
              <w:spacing w:line="276" w:lineRule="auto"/>
              <w:rPr>
                <w:sz w:val="20"/>
                <w:szCs w:val="20"/>
              </w:rPr>
            </w:pPr>
            <w:r w:rsidRPr="00774395">
              <w:rPr>
                <w:sz w:val="20"/>
                <w:szCs w:val="20"/>
              </w:rPr>
              <w:t>Draff, brewer’s spent grain, citrus peel, cardboard, dried sorghum, orange peel, corn-straw, wheat straw, sugar beet pulp, water hyacinth, corn stalk, beer lees, whiskey draff, broadleaf cattails</w:t>
            </w:r>
          </w:p>
        </w:tc>
        <w:tc>
          <w:tcPr>
            <w:tcW w:w="1398" w:type="dxa"/>
            <w:tcBorders>
              <w:top w:val="single" w:sz="4" w:space="0" w:color="auto"/>
            </w:tcBorders>
          </w:tcPr>
          <w:p w14:paraId="094635D7" w14:textId="30CB53F3" w:rsidR="00D304E5" w:rsidRPr="00774395" w:rsidRDefault="00D304E5" w:rsidP="00B7447B">
            <w:pPr>
              <w:pStyle w:val="Nessunaspaziatura"/>
              <w:spacing w:line="276" w:lineRule="auto"/>
              <w:rPr>
                <w:sz w:val="20"/>
                <w:szCs w:val="20"/>
              </w:rPr>
            </w:pPr>
            <w:r w:rsidRPr="00774395">
              <w:rPr>
                <w:sz w:val="20"/>
                <w:szCs w:val="20"/>
              </w:rPr>
              <w:t>15.4% (93)</w:t>
            </w:r>
          </w:p>
          <w:p w14:paraId="658C3486" w14:textId="77777777" w:rsidR="00D304E5" w:rsidRPr="00774395" w:rsidRDefault="00D304E5" w:rsidP="00B7447B">
            <w:pPr>
              <w:pStyle w:val="Nessunaspaziatura"/>
              <w:spacing w:line="276" w:lineRule="auto"/>
              <w:rPr>
                <w:sz w:val="20"/>
                <w:szCs w:val="20"/>
              </w:rPr>
            </w:pPr>
          </w:p>
        </w:tc>
      </w:tr>
      <w:tr w:rsidR="00D304E5" w:rsidRPr="00774395" w14:paraId="56BFE30A" w14:textId="77777777" w:rsidTr="00B7447B">
        <w:trPr>
          <w:trHeight w:val="227"/>
        </w:trPr>
        <w:tc>
          <w:tcPr>
            <w:tcW w:w="2127" w:type="dxa"/>
            <w:vMerge/>
          </w:tcPr>
          <w:p w14:paraId="63206745" w14:textId="77777777" w:rsidR="00D304E5" w:rsidRPr="00774395" w:rsidRDefault="00D304E5" w:rsidP="00B7447B">
            <w:pPr>
              <w:pStyle w:val="Nessunaspaziatura"/>
              <w:spacing w:line="276" w:lineRule="auto"/>
              <w:rPr>
                <w:sz w:val="20"/>
                <w:szCs w:val="20"/>
              </w:rPr>
            </w:pPr>
          </w:p>
        </w:tc>
        <w:tc>
          <w:tcPr>
            <w:tcW w:w="1815" w:type="dxa"/>
          </w:tcPr>
          <w:p w14:paraId="6D26B800" w14:textId="77777777" w:rsidR="00D304E5" w:rsidRPr="00774395" w:rsidRDefault="00D304E5" w:rsidP="00B7447B">
            <w:pPr>
              <w:pStyle w:val="Nessunaspaziatura"/>
              <w:spacing w:line="276" w:lineRule="auto"/>
              <w:rPr>
                <w:sz w:val="20"/>
                <w:szCs w:val="20"/>
              </w:rPr>
            </w:pPr>
            <w:r w:rsidRPr="00774395">
              <w:rPr>
                <w:sz w:val="20"/>
                <w:szCs w:val="20"/>
              </w:rPr>
              <w:t>Other co-digestion</w:t>
            </w:r>
          </w:p>
        </w:tc>
        <w:tc>
          <w:tcPr>
            <w:tcW w:w="4298" w:type="dxa"/>
          </w:tcPr>
          <w:p w14:paraId="016DD476" w14:textId="77777777" w:rsidR="00D304E5" w:rsidRPr="00774395" w:rsidRDefault="00D304E5" w:rsidP="00B7447B">
            <w:pPr>
              <w:pStyle w:val="Nessunaspaziatura"/>
              <w:spacing w:line="276" w:lineRule="auto"/>
              <w:rPr>
                <w:sz w:val="20"/>
                <w:szCs w:val="20"/>
              </w:rPr>
            </w:pPr>
            <w:r w:rsidRPr="00774395">
              <w:rPr>
                <w:sz w:val="20"/>
                <w:szCs w:val="20"/>
              </w:rPr>
              <w:t>Other co-digestion (no food waste with manure/sewage sludge): orange peel + sewage sludge, cassava wastewater + poultry litter, straw + cow manure, wheat husk + mixed sludge, swine manure + sewage sludge, corn stover + chicken manure, cow dung + sewage sludge pyrolysis liquid, algal biomass + food waste, corn straw + cow dung, wheat straw + cow dung, rice straw + cow dung</w:t>
            </w:r>
          </w:p>
        </w:tc>
        <w:tc>
          <w:tcPr>
            <w:tcW w:w="1398" w:type="dxa"/>
          </w:tcPr>
          <w:p w14:paraId="6D7C5B1A" w14:textId="0360582A" w:rsidR="00D304E5" w:rsidRPr="00774395" w:rsidRDefault="00D304E5" w:rsidP="00B7447B">
            <w:pPr>
              <w:pStyle w:val="Nessunaspaziatura"/>
              <w:spacing w:line="276" w:lineRule="auto"/>
              <w:rPr>
                <w:sz w:val="20"/>
                <w:szCs w:val="20"/>
              </w:rPr>
            </w:pPr>
            <w:r w:rsidRPr="00774395">
              <w:rPr>
                <w:sz w:val="20"/>
                <w:szCs w:val="20"/>
              </w:rPr>
              <w:t>7.9% (48)</w:t>
            </w:r>
          </w:p>
        </w:tc>
      </w:tr>
      <w:tr w:rsidR="00D304E5" w:rsidRPr="00774395" w14:paraId="1A717E80" w14:textId="77777777" w:rsidTr="00B7447B">
        <w:trPr>
          <w:trHeight w:val="227"/>
        </w:trPr>
        <w:tc>
          <w:tcPr>
            <w:tcW w:w="2127" w:type="dxa"/>
            <w:vMerge/>
          </w:tcPr>
          <w:p w14:paraId="1A75DFE9" w14:textId="77777777" w:rsidR="00D304E5" w:rsidRPr="00774395" w:rsidRDefault="00D304E5" w:rsidP="00B7447B">
            <w:pPr>
              <w:pStyle w:val="Nessunaspaziatura"/>
              <w:spacing w:line="276" w:lineRule="auto"/>
              <w:rPr>
                <w:sz w:val="20"/>
                <w:szCs w:val="20"/>
              </w:rPr>
            </w:pPr>
          </w:p>
        </w:tc>
        <w:tc>
          <w:tcPr>
            <w:tcW w:w="1815" w:type="dxa"/>
          </w:tcPr>
          <w:p w14:paraId="371BA8FD" w14:textId="77777777" w:rsidR="00D304E5" w:rsidRPr="00774395" w:rsidRDefault="00D304E5" w:rsidP="00B7447B">
            <w:pPr>
              <w:pStyle w:val="Nessunaspaziatura"/>
              <w:spacing w:line="276" w:lineRule="auto"/>
              <w:rPr>
                <w:sz w:val="20"/>
                <w:szCs w:val="20"/>
              </w:rPr>
            </w:pPr>
            <w:r w:rsidRPr="00774395">
              <w:rPr>
                <w:sz w:val="20"/>
                <w:szCs w:val="20"/>
              </w:rPr>
              <w:t>Co-digestion of food waste + manure/sludge</w:t>
            </w:r>
          </w:p>
        </w:tc>
        <w:tc>
          <w:tcPr>
            <w:tcW w:w="4298" w:type="dxa"/>
          </w:tcPr>
          <w:p w14:paraId="3B2EC65B" w14:textId="77777777" w:rsidR="00D304E5" w:rsidRPr="00774395" w:rsidRDefault="00D304E5" w:rsidP="00B7447B">
            <w:pPr>
              <w:pStyle w:val="Nessunaspaziatura"/>
              <w:spacing w:line="276" w:lineRule="auto"/>
              <w:rPr>
                <w:sz w:val="20"/>
                <w:szCs w:val="20"/>
              </w:rPr>
            </w:pPr>
            <w:r w:rsidRPr="00774395">
              <w:rPr>
                <w:sz w:val="20"/>
                <w:szCs w:val="20"/>
              </w:rPr>
              <w:t>Co-digestion of food waste with manure or sewage sludge</w:t>
            </w:r>
          </w:p>
        </w:tc>
        <w:tc>
          <w:tcPr>
            <w:tcW w:w="1398" w:type="dxa"/>
          </w:tcPr>
          <w:p w14:paraId="0C7C5FBD" w14:textId="2222F04B" w:rsidR="00D304E5" w:rsidRPr="00774395" w:rsidRDefault="00D304E5" w:rsidP="00B7447B">
            <w:pPr>
              <w:pStyle w:val="Nessunaspaziatura"/>
              <w:spacing w:line="276" w:lineRule="auto"/>
              <w:rPr>
                <w:sz w:val="20"/>
                <w:szCs w:val="20"/>
              </w:rPr>
            </w:pPr>
            <w:r w:rsidRPr="00774395">
              <w:rPr>
                <w:sz w:val="20"/>
                <w:szCs w:val="20"/>
              </w:rPr>
              <w:t>10.8% (65)</w:t>
            </w:r>
          </w:p>
        </w:tc>
      </w:tr>
      <w:tr w:rsidR="00D304E5" w:rsidRPr="00774395" w14:paraId="293E81B2" w14:textId="77777777" w:rsidTr="00B7447B">
        <w:trPr>
          <w:trHeight w:val="227"/>
        </w:trPr>
        <w:tc>
          <w:tcPr>
            <w:tcW w:w="2127" w:type="dxa"/>
            <w:vMerge/>
          </w:tcPr>
          <w:p w14:paraId="0F0EA7C1" w14:textId="77777777" w:rsidR="00D304E5" w:rsidRPr="00774395" w:rsidRDefault="00D304E5" w:rsidP="00B7447B">
            <w:pPr>
              <w:pStyle w:val="Nessunaspaziatura"/>
              <w:spacing w:line="276" w:lineRule="auto"/>
              <w:rPr>
                <w:sz w:val="20"/>
                <w:szCs w:val="20"/>
              </w:rPr>
            </w:pPr>
          </w:p>
        </w:tc>
        <w:tc>
          <w:tcPr>
            <w:tcW w:w="1815" w:type="dxa"/>
          </w:tcPr>
          <w:p w14:paraId="404653E1" w14:textId="77777777" w:rsidR="00D304E5" w:rsidRPr="00774395" w:rsidRDefault="00D304E5" w:rsidP="00B7447B">
            <w:pPr>
              <w:pStyle w:val="Nessunaspaziatura"/>
              <w:spacing w:line="276" w:lineRule="auto"/>
              <w:rPr>
                <w:sz w:val="20"/>
                <w:szCs w:val="20"/>
              </w:rPr>
            </w:pPr>
            <w:r w:rsidRPr="00774395">
              <w:rPr>
                <w:sz w:val="20"/>
                <w:szCs w:val="20"/>
              </w:rPr>
              <w:t>Manure</w:t>
            </w:r>
          </w:p>
        </w:tc>
        <w:tc>
          <w:tcPr>
            <w:tcW w:w="4298" w:type="dxa"/>
          </w:tcPr>
          <w:p w14:paraId="650CC47D" w14:textId="77777777" w:rsidR="00D304E5" w:rsidRPr="00774395" w:rsidRDefault="00D304E5" w:rsidP="00B7447B">
            <w:pPr>
              <w:pStyle w:val="Nessunaspaziatura"/>
              <w:spacing w:line="276" w:lineRule="auto"/>
              <w:rPr>
                <w:sz w:val="20"/>
                <w:szCs w:val="20"/>
              </w:rPr>
            </w:pPr>
            <w:r w:rsidRPr="00774395">
              <w:rPr>
                <w:sz w:val="20"/>
                <w:szCs w:val="20"/>
              </w:rPr>
              <w:t>Swine manure, poultry litter, chicken litter, dairy manure, chicken manure, swine waste, pig manure</w:t>
            </w:r>
          </w:p>
        </w:tc>
        <w:tc>
          <w:tcPr>
            <w:tcW w:w="1398" w:type="dxa"/>
          </w:tcPr>
          <w:p w14:paraId="35DAE2E0" w14:textId="31692718" w:rsidR="00D304E5" w:rsidRPr="00774395" w:rsidRDefault="00D304E5" w:rsidP="00B7447B">
            <w:pPr>
              <w:pStyle w:val="Nessunaspaziatura"/>
              <w:spacing w:line="276" w:lineRule="auto"/>
              <w:rPr>
                <w:sz w:val="20"/>
                <w:szCs w:val="20"/>
              </w:rPr>
            </w:pPr>
            <w:r w:rsidRPr="00774395">
              <w:rPr>
                <w:sz w:val="20"/>
                <w:szCs w:val="20"/>
              </w:rPr>
              <w:t>9.8% (59)</w:t>
            </w:r>
          </w:p>
        </w:tc>
      </w:tr>
      <w:tr w:rsidR="00D304E5" w:rsidRPr="00774395" w14:paraId="2DAD6452" w14:textId="77777777" w:rsidTr="00B7447B">
        <w:trPr>
          <w:trHeight w:val="227"/>
        </w:trPr>
        <w:tc>
          <w:tcPr>
            <w:tcW w:w="2127" w:type="dxa"/>
            <w:vMerge/>
          </w:tcPr>
          <w:p w14:paraId="5E0246BB" w14:textId="77777777" w:rsidR="00D304E5" w:rsidRPr="00774395" w:rsidRDefault="00D304E5" w:rsidP="00B7447B">
            <w:pPr>
              <w:pStyle w:val="Nessunaspaziatura"/>
              <w:spacing w:line="276" w:lineRule="auto"/>
              <w:rPr>
                <w:sz w:val="20"/>
                <w:szCs w:val="20"/>
              </w:rPr>
            </w:pPr>
          </w:p>
        </w:tc>
        <w:tc>
          <w:tcPr>
            <w:tcW w:w="1815" w:type="dxa"/>
          </w:tcPr>
          <w:p w14:paraId="18604F33" w14:textId="77777777" w:rsidR="00D304E5" w:rsidRPr="00774395" w:rsidRDefault="00D304E5" w:rsidP="00B7447B">
            <w:pPr>
              <w:pStyle w:val="Nessunaspaziatura"/>
              <w:spacing w:line="276" w:lineRule="auto"/>
              <w:rPr>
                <w:sz w:val="20"/>
                <w:szCs w:val="20"/>
              </w:rPr>
            </w:pPr>
            <w:r w:rsidRPr="00774395">
              <w:rPr>
                <w:sz w:val="20"/>
                <w:szCs w:val="20"/>
              </w:rPr>
              <w:t>OFMSW/food waste</w:t>
            </w:r>
          </w:p>
        </w:tc>
        <w:tc>
          <w:tcPr>
            <w:tcW w:w="4298" w:type="dxa"/>
          </w:tcPr>
          <w:p w14:paraId="41CB1425" w14:textId="77777777" w:rsidR="00D304E5" w:rsidRPr="00774395" w:rsidRDefault="00D304E5" w:rsidP="00B7447B">
            <w:pPr>
              <w:pStyle w:val="Nessunaspaziatura"/>
              <w:spacing w:line="276" w:lineRule="auto"/>
              <w:rPr>
                <w:sz w:val="20"/>
                <w:szCs w:val="20"/>
              </w:rPr>
            </w:pPr>
            <w:r w:rsidRPr="00774395">
              <w:rPr>
                <w:sz w:val="20"/>
                <w:szCs w:val="20"/>
              </w:rPr>
              <w:t>Fruit waste, food waste, organic fraction of the municipal solid waste (OFMSW), rice, chicken, vegetables, kitchen waste, cooked rice/egg white/lard</w:t>
            </w:r>
          </w:p>
        </w:tc>
        <w:tc>
          <w:tcPr>
            <w:tcW w:w="1398" w:type="dxa"/>
          </w:tcPr>
          <w:p w14:paraId="26D0A742" w14:textId="2A0D7FE3" w:rsidR="00D304E5" w:rsidRPr="00774395" w:rsidRDefault="00D304E5" w:rsidP="00B7447B">
            <w:pPr>
              <w:pStyle w:val="Nessunaspaziatura"/>
              <w:spacing w:line="276" w:lineRule="auto"/>
              <w:rPr>
                <w:sz w:val="20"/>
                <w:szCs w:val="20"/>
              </w:rPr>
            </w:pPr>
            <w:r w:rsidRPr="00774395">
              <w:rPr>
                <w:sz w:val="20"/>
                <w:szCs w:val="20"/>
              </w:rPr>
              <w:t>17.9% (108)</w:t>
            </w:r>
          </w:p>
        </w:tc>
      </w:tr>
      <w:tr w:rsidR="00D304E5" w:rsidRPr="00774395" w14:paraId="453C35FF" w14:textId="77777777" w:rsidTr="00B7447B">
        <w:trPr>
          <w:trHeight w:val="227"/>
        </w:trPr>
        <w:tc>
          <w:tcPr>
            <w:tcW w:w="2127" w:type="dxa"/>
            <w:vMerge/>
          </w:tcPr>
          <w:p w14:paraId="6FEE735B" w14:textId="77777777" w:rsidR="00D304E5" w:rsidRPr="00774395" w:rsidRDefault="00D304E5" w:rsidP="00B7447B">
            <w:pPr>
              <w:pStyle w:val="Nessunaspaziatura"/>
              <w:spacing w:line="276" w:lineRule="auto"/>
              <w:rPr>
                <w:sz w:val="20"/>
                <w:szCs w:val="20"/>
              </w:rPr>
            </w:pPr>
          </w:p>
        </w:tc>
        <w:tc>
          <w:tcPr>
            <w:tcW w:w="1815" w:type="dxa"/>
          </w:tcPr>
          <w:p w14:paraId="29CC5489" w14:textId="77777777" w:rsidR="00D304E5" w:rsidRPr="00774395" w:rsidRDefault="00D304E5" w:rsidP="00B7447B">
            <w:pPr>
              <w:pStyle w:val="Nessunaspaziatura"/>
              <w:spacing w:line="276" w:lineRule="auto"/>
              <w:rPr>
                <w:sz w:val="20"/>
                <w:szCs w:val="20"/>
              </w:rPr>
            </w:pPr>
            <w:r w:rsidRPr="00774395">
              <w:rPr>
                <w:sz w:val="20"/>
                <w:szCs w:val="20"/>
              </w:rPr>
              <w:t>Sewage sludge</w:t>
            </w:r>
          </w:p>
        </w:tc>
        <w:tc>
          <w:tcPr>
            <w:tcW w:w="4298" w:type="dxa"/>
          </w:tcPr>
          <w:p w14:paraId="1ED3C398" w14:textId="77777777" w:rsidR="00D304E5" w:rsidRPr="00774395" w:rsidRDefault="00D304E5" w:rsidP="00B7447B">
            <w:pPr>
              <w:pStyle w:val="Nessunaspaziatura"/>
              <w:spacing w:line="276" w:lineRule="auto"/>
              <w:rPr>
                <w:sz w:val="20"/>
                <w:szCs w:val="20"/>
              </w:rPr>
            </w:pPr>
            <w:r w:rsidRPr="00774395">
              <w:rPr>
                <w:sz w:val="20"/>
                <w:szCs w:val="20"/>
              </w:rPr>
              <w:t>Mixed sludge, sewage sludge, wastewater sludge, waste activated sludge, primary sludge</w:t>
            </w:r>
          </w:p>
        </w:tc>
        <w:tc>
          <w:tcPr>
            <w:tcW w:w="1398" w:type="dxa"/>
          </w:tcPr>
          <w:p w14:paraId="3D035E0F" w14:textId="62EFFBD5" w:rsidR="00D304E5" w:rsidRPr="00774395" w:rsidRDefault="00D304E5" w:rsidP="00B7447B">
            <w:pPr>
              <w:pStyle w:val="Nessunaspaziatura"/>
              <w:spacing w:line="276" w:lineRule="auto"/>
              <w:rPr>
                <w:sz w:val="20"/>
                <w:szCs w:val="20"/>
              </w:rPr>
            </w:pPr>
            <w:r w:rsidRPr="00774395">
              <w:rPr>
                <w:sz w:val="20"/>
                <w:szCs w:val="20"/>
              </w:rPr>
              <w:t>19.7% (119)</w:t>
            </w:r>
          </w:p>
        </w:tc>
      </w:tr>
      <w:tr w:rsidR="00D304E5" w:rsidRPr="00774395" w14:paraId="71607C1C" w14:textId="77777777" w:rsidTr="00B7447B">
        <w:trPr>
          <w:trHeight w:val="227"/>
        </w:trPr>
        <w:tc>
          <w:tcPr>
            <w:tcW w:w="2127" w:type="dxa"/>
            <w:vMerge/>
          </w:tcPr>
          <w:p w14:paraId="31F05B98" w14:textId="77777777" w:rsidR="00D304E5" w:rsidRPr="00774395" w:rsidRDefault="00D304E5" w:rsidP="00B7447B">
            <w:pPr>
              <w:pStyle w:val="Nessunaspaziatura"/>
              <w:spacing w:line="276" w:lineRule="auto"/>
              <w:rPr>
                <w:sz w:val="20"/>
                <w:szCs w:val="20"/>
              </w:rPr>
            </w:pPr>
          </w:p>
        </w:tc>
        <w:tc>
          <w:tcPr>
            <w:tcW w:w="1815" w:type="dxa"/>
          </w:tcPr>
          <w:p w14:paraId="6CF69588" w14:textId="77777777" w:rsidR="00D304E5" w:rsidRPr="00774395" w:rsidRDefault="00D304E5" w:rsidP="00B7447B">
            <w:pPr>
              <w:pStyle w:val="Nessunaspaziatura"/>
              <w:spacing w:line="276" w:lineRule="auto"/>
              <w:rPr>
                <w:sz w:val="20"/>
                <w:szCs w:val="20"/>
              </w:rPr>
            </w:pPr>
            <w:r w:rsidRPr="00774395">
              <w:rPr>
                <w:sz w:val="20"/>
                <w:szCs w:val="20"/>
              </w:rPr>
              <w:t>Simple substrate</w:t>
            </w:r>
          </w:p>
        </w:tc>
        <w:tc>
          <w:tcPr>
            <w:tcW w:w="4298" w:type="dxa"/>
          </w:tcPr>
          <w:p w14:paraId="4AD36EE7" w14:textId="77777777" w:rsidR="00D304E5" w:rsidRPr="00774395" w:rsidRDefault="00D304E5" w:rsidP="00B7447B">
            <w:pPr>
              <w:pStyle w:val="Nessunaspaziatura"/>
              <w:spacing w:line="276" w:lineRule="auto"/>
              <w:rPr>
                <w:sz w:val="20"/>
                <w:szCs w:val="20"/>
              </w:rPr>
            </w:pPr>
            <w:r w:rsidRPr="00774395">
              <w:rPr>
                <w:sz w:val="20"/>
                <w:szCs w:val="20"/>
              </w:rPr>
              <w:t>Phenol solution, glucose solution, oil, mixed volatile fatty acids, ethanol, glucose, cellulose, acetate, propionate, butyrate, valerate, oily sludge + starch + naphthalene</w:t>
            </w:r>
          </w:p>
        </w:tc>
        <w:tc>
          <w:tcPr>
            <w:tcW w:w="1398" w:type="dxa"/>
          </w:tcPr>
          <w:p w14:paraId="2C526E5C" w14:textId="2B9D0873" w:rsidR="00D304E5" w:rsidRPr="00774395" w:rsidRDefault="00D304E5" w:rsidP="00B7447B">
            <w:pPr>
              <w:pStyle w:val="Nessunaspaziatura"/>
              <w:spacing w:line="276" w:lineRule="auto"/>
              <w:rPr>
                <w:sz w:val="20"/>
                <w:szCs w:val="20"/>
              </w:rPr>
            </w:pPr>
            <w:r w:rsidRPr="00774395">
              <w:rPr>
                <w:sz w:val="20"/>
                <w:szCs w:val="20"/>
              </w:rPr>
              <w:t>10.4% (63)</w:t>
            </w:r>
          </w:p>
        </w:tc>
      </w:tr>
      <w:tr w:rsidR="00D304E5" w:rsidRPr="00774395" w14:paraId="72C9B1B4" w14:textId="77777777" w:rsidTr="00B7447B">
        <w:trPr>
          <w:trHeight w:val="227"/>
        </w:trPr>
        <w:tc>
          <w:tcPr>
            <w:tcW w:w="2127" w:type="dxa"/>
            <w:vMerge/>
            <w:tcBorders>
              <w:bottom w:val="single" w:sz="4" w:space="0" w:color="auto"/>
            </w:tcBorders>
          </w:tcPr>
          <w:p w14:paraId="1D864352"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42D17216" w14:textId="77777777" w:rsidR="00D304E5" w:rsidRPr="00774395" w:rsidRDefault="00D304E5" w:rsidP="00B7447B">
            <w:pPr>
              <w:pStyle w:val="Nessunaspaziatura"/>
              <w:spacing w:line="276" w:lineRule="auto"/>
              <w:rPr>
                <w:sz w:val="20"/>
                <w:szCs w:val="20"/>
              </w:rPr>
            </w:pPr>
            <w:r w:rsidRPr="00774395">
              <w:rPr>
                <w:sz w:val="20"/>
                <w:szCs w:val="20"/>
              </w:rPr>
              <w:t>Wastewater</w:t>
            </w:r>
          </w:p>
        </w:tc>
        <w:tc>
          <w:tcPr>
            <w:tcW w:w="4298" w:type="dxa"/>
            <w:tcBorders>
              <w:bottom w:val="single" w:sz="4" w:space="0" w:color="auto"/>
            </w:tcBorders>
          </w:tcPr>
          <w:p w14:paraId="781292E6" w14:textId="77777777" w:rsidR="00D304E5" w:rsidRPr="00774395" w:rsidRDefault="00D304E5" w:rsidP="00B7447B">
            <w:pPr>
              <w:pStyle w:val="Nessunaspaziatura"/>
              <w:spacing w:line="276" w:lineRule="auto"/>
              <w:rPr>
                <w:sz w:val="20"/>
                <w:szCs w:val="20"/>
              </w:rPr>
            </w:pPr>
            <w:r w:rsidRPr="00774395">
              <w:rPr>
                <w:sz w:val="20"/>
                <w:szCs w:val="20"/>
              </w:rPr>
              <w:t>Wastewater, synthetic wastewater, piggery wastewater, food waste fermentate, cassava wastewater, soured anaerobic digestate, Aqueous phase of bio-oil generated via Hydrothermal Liquefaction of Algae, synthetic blackwater, cread fermentate, synthetic dairy wastewater</w:t>
            </w:r>
          </w:p>
        </w:tc>
        <w:tc>
          <w:tcPr>
            <w:tcW w:w="1398" w:type="dxa"/>
            <w:tcBorders>
              <w:bottom w:val="single" w:sz="4" w:space="0" w:color="auto"/>
            </w:tcBorders>
          </w:tcPr>
          <w:p w14:paraId="7B9A8ABF" w14:textId="4259F719" w:rsidR="00D304E5" w:rsidRPr="00774395" w:rsidRDefault="00D304E5" w:rsidP="00B7447B">
            <w:pPr>
              <w:pStyle w:val="Nessunaspaziatura"/>
              <w:spacing w:line="276" w:lineRule="auto"/>
              <w:rPr>
                <w:sz w:val="20"/>
                <w:szCs w:val="20"/>
              </w:rPr>
            </w:pPr>
            <w:r w:rsidRPr="00774395">
              <w:rPr>
                <w:sz w:val="20"/>
                <w:szCs w:val="20"/>
              </w:rPr>
              <w:t>8.1% (49)</w:t>
            </w:r>
          </w:p>
        </w:tc>
      </w:tr>
      <w:tr w:rsidR="00D304E5" w:rsidRPr="00774395" w14:paraId="4D3490F2" w14:textId="77777777" w:rsidTr="00B7447B">
        <w:trPr>
          <w:trHeight w:val="227"/>
        </w:trPr>
        <w:tc>
          <w:tcPr>
            <w:tcW w:w="2127" w:type="dxa"/>
            <w:vMerge w:val="restart"/>
            <w:tcBorders>
              <w:top w:val="single" w:sz="4" w:space="0" w:color="auto"/>
            </w:tcBorders>
          </w:tcPr>
          <w:p w14:paraId="3EB32B05" w14:textId="5F09E8F5" w:rsidR="00D304E5" w:rsidRPr="00774395" w:rsidRDefault="00A16E41" w:rsidP="00B7447B">
            <w:pPr>
              <w:pStyle w:val="Nessunaspaziatura"/>
              <w:spacing w:line="276" w:lineRule="auto"/>
              <w:rPr>
                <w:sz w:val="20"/>
                <w:szCs w:val="20"/>
              </w:rPr>
            </w:pPr>
            <w:r w:rsidRPr="00774395">
              <w:rPr>
                <w:sz w:val="20"/>
                <w:szCs w:val="20"/>
              </w:rPr>
              <w:t>T</w:t>
            </w:r>
            <w:r w:rsidR="00D304E5" w:rsidRPr="00774395">
              <w:rPr>
                <w:sz w:val="20"/>
                <w:szCs w:val="20"/>
              </w:rPr>
              <w:t>emperature for anaerobic digestion [°C]</w:t>
            </w:r>
          </w:p>
        </w:tc>
        <w:tc>
          <w:tcPr>
            <w:tcW w:w="1815" w:type="dxa"/>
            <w:tcBorders>
              <w:top w:val="single" w:sz="4" w:space="0" w:color="auto"/>
            </w:tcBorders>
          </w:tcPr>
          <w:p w14:paraId="7A86368E" w14:textId="77777777" w:rsidR="00D304E5" w:rsidRPr="00774395" w:rsidRDefault="00D304E5" w:rsidP="00B7447B">
            <w:pPr>
              <w:pStyle w:val="Nessunaspaziatura"/>
              <w:spacing w:line="276" w:lineRule="auto"/>
              <w:rPr>
                <w:sz w:val="20"/>
                <w:szCs w:val="20"/>
              </w:rPr>
            </w:pPr>
            <w:r w:rsidRPr="00774395">
              <w:rPr>
                <w:sz w:val="20"/>
                <w:szCs w:val="20"/>
              </w:rPr>
              <w:t>Low temperature</w:t>
            </w:r>
          </w:p>
        </w:tc>
        <w:tc>
          <w:tcPr>
            <w:tcW w:w="4298" w:type="dxa"/>
            <w:tcBorders>
              <w:top w:val="single" w:sz="4" w:space="0" w:color="auto"/>
            </w:tcBorders>
          </w:tcPr>
          <w:p w14:paraId="09E7DA54" w14:textId="77777777" w:rsidR="00D304E5" w:rsidRPr="00774395" w:rsidRDefault="00D304E5" w:rsidP="00B7447B">
            <w:pPr>
              <w:pStyle w:val="Nessunaspaziatura"/>
              <w:spacing w:line="276" w:lineRule="auto"/>
              <w:rPr>
                <w:sz w:val="20"/>
                <w:szCs w:val="20"/>
              </w:rPr>
            </w:pPr>
            <w:r w:rsidRPr="00774395">
              <w:rPr>
                <w:sz w:val="20"/>
                <w:szCs w:val="20"/>
              </w:rPr>
              <w:t>t &lt; 25 °C</w:t>
            </w:r>
          </w:p>
        </w:tc>
        <w:tc>
          <w:tcPr>
            <w:tcW w:w="1398" w:type="dxa"/>
            <w:tcBorders>
              <w:top w:val="single" w:sz="4" w:space="0" w:color="auto"/>
            </w:tcBorders>
          </w:tcPr>
          <w:p w14:paraId="1EAF7BFE" w14:textId="10695353" w:rsidR="00D304E5" w:rsidRPr="00774395" w:rsidRDefault="00D304E5" w:rsidP="00B7447B">
            <w:pPr>
              <w:pStyle w:val="Nessunaspaziatura"/>
              <w:spacing w:line="276" w:lineRule="auto"/>
              <w:rPr>
                <w:sz w:val="20"/>
                <w:szCs w:val="20"/>
              </w:rPr>
            </w:pPr>
            <w:r w:rsidRPr="00774395">
              <w:rPr>
                <w:sz w:val="20"/>
                <w:szCs w:val="20"/>
              </w:rPr>
              <w:t>0.8% (5)</w:t>
            </w:r>
          </w:p>
        </w:tc>
      </w:tr>
      <w:tr w:rsidR="00D304E5" w:rsidRPr="00774395" w14:paraId="12AA840E" w14:textId="77777777" w:rsidTr="00B7447B">
        <w:trPr>
          <w:trHeight w:val="227"/>
        </w:trPr>
        <w:tc>
          <w:tcPr>
            <w:tcW w:w="2127" w:type="dxa"/>
            <w:vMerge/>
          </w:tcPr>
          <w:p w14:paraId="74A96D4D" w14:textId="77777777" w:rsidR="00D304E5" w:rsidRPr="00774395" w:rsidRDefault="00D304E5" w:rsidP="00B7447B">
            <w:pPr>
              <w:pStyle w:val="Nessunaspaziatura"/>
              <w:spacing w:line="276" w:lineRule="auto"/>
              <w:rPr>
                <w:sz w:val="20"/>
                <w:szCs w:val="20"/>
              </w:rPr>
            </w:pPr>
          </w:p>
        </w:tc>
        <w:tc>
          <w:tcPr>
            <w:tcW w:w="1815" w:type="dxa"/>
          </w:tcPr>
          <w:p w14:paraId="22D31790" w14:textId="77777777" w:rsidR="00D304E5" w:rsidRPr="00774395" w:rsidRDefault="00D304E5" w:rsidP="00B7447B">
            <w:pPr>
              <w:pStyle w:val="Nessunaspaziatura"/>
              <w:spacing w:line="276" w:lineRule="auto"/>
              <w:rPr>
                <w:sz w:val="20"/>
                <w:szCs w:val="20"/>
              </w:rPr>
            </w:pPr>
            <w:r w:rsidRPr="00774395">
              <w:rPr>
                <w:sz w:val="20"/>
                <w:szCs w:val="20"/>
              </w:rPr>
              <w:t>Mesophilic</w:t>
            </w:r>
          </w:p>
        </w:tc>
        <w:tc>
          <w:tcPr>
            <w:tcW w:w="4298" w:type="dxa"/>
          </w:tcPr>
          <w:p w14:paraId="173BBB11" w14:textId="77777777" w:rsidR="00D304E5" w:rsidRPr="00774395" w:rsidRDefault="00D304E5" w:rsidP="00B7447B">
            <w:pPr>
              <w:pStyle w:val="Nessunaspaziatura"/>
              <w:spacing w:line="276" w:lineRule="auto"/>
              <w:rPr>
                <w:sz w:val="20"/>
                <w:szCs w:val="20"/>
              </w:rPr>
            </w:pPr>
            <w:r w:rsidRPr="00774395">
              <w:rPr>
                <w:sz w:val="20"/>
                <w:szCs w:val="20"/>
              </w:rPr>
              <w:t>25 °C ≤ t &lt; 40 °C</w:t>
            </w:r>
          </w:p>
        </w:tc>
        <w:tc>
          <w:tcPr>
            <w:tcW w:w="1398" w:type="dxa"/>
          </w:tcPr>
          <w:p w14:paraId="69844727" w14:textId="33AE5771" w:rsidR="00D304E5" w:rsidRPr="00774395" w:rsidRDefault="00D304E5" w:rsidP="00B7447B">
            <w:pPr>
              <w:pStyle w:val="Nessunaspaziatura"/>
              <w:spacing w:line="276" w:lineRule="auto"/>
              <w:rPr>
                <w:sz w:val="20"/>
                <w:szCs w:val="20"/>
              </w:rPr>
            </w:pPr>
            <w:r w:rsidRPr="00774395">
              <w:rPr>
                <w:sz w:val="20"/>
                <w:szCs w:val="20"/>
              </w:rPr>
              <w:t>77.3% (469)</w:t>
            </w:r>
          </w:p>
        </w:tc>
      </w:tr>
      <w:tr w:rsidR="00D304E5" w:rsidRPr="00774395" w14:paraId="67E7B90F" w14:textId="77777777" w:rsidTr="00B7447B">
        <w:trPr>
          <w:trHeight w:val="227"/>
        </w:trPr>
        <w:tc>
          <w:tcPr>
            <w:tcW w:w="2127" w:type="dxa"/>
          </w:tcPr>
          <w:p w14:paraId="3298BB3E" w14:textId="77777777" w:rsidR="00D304E5" w:rsidRPr="00774395" w:rsidRDefault="00D304E5" w:rsidP="00B7447B">
            <w:pPr>
              <w:pStyle w:val="Nessunaspaziatura"/>
              <w:spacing w:line="276" w:lineRule="auto"/>
              <w:rPr>
                <w:sz w:val="20"/>
                <w:szCs w:val="20"/>
              </w:rPr>
            </w:pPr>
          </w:p>
        </w:tc>
        <w:tc>
          <w:tcPr>
            <w:tcW w:w="1815" w:type="dxa"/>
          </w:tcPr>
          <w:p w14:paraId="28540F2B" w14:textId="77777777" w:rsidR="00D304E5" w:rsidRPr="00774395" w:rsidRDefault="00D304E5" w:rsidP="00B7447B">
            <w:pPr>
              <w:pStyle w:val="Nessunaspaziatura"/>
              <w:spacing w:line="276" w:lineRule="auto"/>
              <w:rPr>
                <w:sz w:val="20"/>
                <w:szCs w:val="20"/>
              </w:rPr>
            </w:pPr>
            <w:r w:rsidRPr="00774395">
              <w:rPr>
                <w:sz w:val="20"/>
                <w:szCs w:val="20"/>
              </w:rPr>
              <w:t>Thermophilic</w:t>
            </w:r>
          </w:p>
        </w:tc>
        <w:tc>
          <w:tcPr>
            <w:tcW w:w="4298" w:type="dxa"/>
          </w:tcPr>
          <w:p w14:paraId="3BD6AFB3" w14:textId="77777777" w:rsidR="00D304E5" w:rsidRPr="00774395" w:rsidRDefault="00D304E5" w:rsidP="00B7447B">
            <w:pPr>
              <w:pStyle w:val="Nessunaspaziatura"/>
              <w:spacing w:line="276" w:lineRule="auto"/>
              <w:rPr>
                <w:sz w:val="20"/>
                <w:szCs w:val="20"/>
              </w:rPr>
            </w:pPr>
            <w:r w:rsidRPr="00774395">
              <w:rPr>
                <w:sz w:val="20"/>
                <w:szCs w:val="20"/>
              </w:rPr>
              <w:t>t ≥ 40 °C</w:t>
            </w:r>
          </w:p>
        </w:tc>
        <w:tc>
          <w:tcPr>
            <w:tcW w:w="1398" w:type="dxa"/>
          </w:tcPr>
          <w:p w14:paraId="361F4004" w14:textId="425D5E0C" w:rsidR="00D304E5" w:rsidRPr="00774395" w:rsidRDefault="00D304E5" w:rsidP="00B7447B">
            <w:pPr>
              <w:pStyle w:val="Nessunaspaziatura"/>
              <w:spacing w:line="276" w:lineRule="auto"/>
              <w:rPr>
                <w:sz w:val="20"/>
                <w:szCs w:val="20"/>
              </w:rPr>
            </w:pPr>
            <w:r w:rsidRPr="00774395">
              <w:rPr>
                <w:sz w:val="20"/>
                <w:szCs w:val="20"/>
              </w:rPr>
              <w:t>21.9% (133)</w:t>
            </w:r>
          </w:p>
        </w:tc>
      </w:tr>
      <w:tr w:rsidR="00D304E5" w:rsidRPr="00774395" w14:paraId="6544253B" w14:textId="77777777" w:rsidTr="00B7447B">
        <w:trPr>
          <w:trHeight w:val="227"/>
        </w:trPr>
        <w:tc>
          <w:tcPr>
            <w:tcW w:w="2127" w:type="dxa"/>
            <w:tcBorders>
              <w:bottom w:val="single" w:sz="4" w:space="0" w:color="auto"/>
            </w:tcBorders>
          </w:tcPr>
          <w:p w14:paraId="3FB36BF6"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61418B57" w14:textId="77777777" w:rsidR="00D304E5" w:rsidRPr="00774395" w:rsidRDefault="00D304E5" w:rsidP="00B7447B">
            <w:pPr>
              <w:pStyle w:val="Nessunaspaziatura"/>
              <w:spacing w:line="276" w:lineRule="auto"/>
              <w:rPr>
                <w:sz w:val="20"/>
                <w:szCs w:val="20"/>
              </w:rPr>
            </w:pPr>
          </w:p>
        </w:tc>
        <w:tc>
          <w:tcPr>
            <w:tcW w:w="4298" w:type="dxa"/>
            <w:tcBorders>
              <w:bottom w:val="single" w:sz="4" w:space="0" w:color="auto"/>
            </w:tcBorders>
          </w:tcPr>
          <w:p w14:paraId="2A8B73AE" w14:textId="77777777" w:rsidR="00D304E5" w:rsidRPr="00774395" w:rsidRDefault="00D304E5" w:rsidP="00B7447B">
            <w:pPr>
              <w:pStyle w:val="Nessunaspaziatura"/>
              <w:spacing w:line="276" w:lineRule="auto"/>
              <w:rPr>
                <w:sz w:val="20"/>
                <w:szCs w:val="20"/>
              </w:rPr>
            </w:pPr>
          </w:p>
        </w:tc>
        <w:tc>
          <w:tcPr>
            <w:tcW w:w="1398" w:type="dxa"/>
            <w:tcBorders>
              <w:bottom w:val="single" w:sz="4" w:space="0" w:color="auto"/>
            </w:tcBorders>
          </w:tcPr>
          <w:p w14:paraId="42E1A357" w14:textId="77777777" w:rsidR="00D304E5" w:rsidRPr="00774395" w:rsidRDefault="00D304E5" w:rsidP="00B7447B">
            <w:pPr>
              <w:pStyle w:val="Nessunaspaziatura"/>
              <w:spacing w:line="276" w:lineRule="auto"/>
              <w:rPr>
                <w:sz w:val="20"/>
                <w:szCs w:val="20"/>
              </w:rPr>
            </w:pPr>
          </w:p>
        </w:tc>
      </w:tr>
      <w:tr w:rsidR="00D304E5" w:rsidRPr="00774395" w14:paraId="4948435E" w14:textId="77777777" w:rsidTr="00B7447B">
        <w:trPr>
          <w:trHeight w:val="227"/>
        </w:trPr>
        <w:tc>
          <w:tcPr>
            <w:tcW w:w="2127" w:type="dxa"/>
            <w:vMerge w:val="restart"/>
            <w:tcBorders>
              <w:top w:val="single" w:sz="4" w:space="0" w:color="auto"/>
            </w:tcBorders>
          </w:tcPr>
          <w:p w14:paraId="02554678" w14:textId="1A3ADD6B" w:rsidR="00D304E5" w:rsidRPr="00774395" w:rsidRDefault="00A16E41" w:rsidP="00B7447B">
            <w:pPr>
              <w:pStyle w:val="Nessunaspaziatura"/>
              <w:spacing w:line="276" w:lineRule="auto"/>
              <w:rPr>
                <w:sz w:val="20"/>
                <w:szCs w:val="20"/>
              </w:rPr>
            </w:pPr>
            <w:r w:rsidRPr="00774395">
              <w:rPr>
                <w:sz w:val="20"/>
                <w:szCs w:val="20"/>
              </w:rPr>
              <w:t>A</w:t>
            </w:r>
            <w:r w:rsidR="00D304E5" w:rsidRPr="00774395">
              <w:rPr>
                <w:sz w:val="20"/>
                <w:szCs w:val="20"/>
              </w:rPr>
              <w:t>sh [% wt]</w:t>
            </w:r>
          </w:p>
        </w:tc>
        <w:tc>
          <w:tcPr>
            <w:tcW w:w="1815" w:type="dxa"/>
            <w:tcBorders>
              <w:top w:val="single" w:sz="4" w:space="0" w:color="auto"/>
            </w:tcBorders>
          </w:tcPr>
          <w:p w14:paraId="1C7D0AA4" w14:textId="77777777" w:rsidR="00D304E5" w:rsidRPr="00774395" w:rsidRDefault="00D304E5" w:rsidP="00B7447B">
            <w:pPr>
              <w:pStyle w:val="Nessunaspaziatura"/>
              <w:spacing w:line="276" w:lineRule="auto"/>
              <w:rPr>
                <w:sz w:val="20"/>
                <w:szCs w:val="20"/>
              </w:rPr>
            </w:pPr>
            <w:r w:rsidRPr="00774395">
              <w:rPr>
                <w:sz w:val="20"/>
                <w:szCs w:val="20"/>
              </w:rPr>
              <w:t>&lt; 5.0</w:t>
            </w:r>
          </w:p>
        </w:tc>
        <w:tc>
          <w:tcPr>
            <w:tcW w:w="4298" w:type="dxa"/>
            <w:tcBorders>
              <w:top w:val="single" w:sz="4" w:space="0" w:color="auto"/>
            </w:tcBorders>
          </w:tcPr>
          <w:p w14:paraId="040DED08" w14:textId="12EDBD97" w:rsidR="00D304E5" w:rsidRPr="00774395" w:rsidRDefault="00A16E41" w:rsidP="00B7447B">
            <w:pPr>
              <w:pStyle w:val="Nessunaspaziatura"/>
              <w:spacing w:line="276" w:lineRule="auto"/>
              <w:rPr>
                <w:sz w:val="20"/>
                <w:szCs w:val="20"/>
              </w:rPr>
            </w:pPr>
            <w:r w:rsidRPr="00774395">
              <w:rPr>
                <w:sz w:val="20"/>
                <w:szCs w:val="20"/>
              </w:rPr>
              <w:t>A</w:t>
            </w:r>
            <w:r w:rsidR="00D304E5" w:rsidRPr="00774395">
              <w:rPr>
                <w:sz w:val="20"/>
                <w:szCs w:val="20"/>
              </w:rPr>
              <w:t>sh &lt; 5%</w:t>
            </w:r>
          </w:p>
        </w:tc>
        <w:tc>
          <w:tcPr>
            <w:tcW w:w="1398" w:type="dxa"/>
            <w:tcBorders>
              <w:top w:val="single" w:sz="4" w:space="0" w:color="auto"/>
            </w:tcBorders>
          </w:tcPr>
          <w:p w14:paraId="254AFFE9" w14:textId="458F0B6B" w:rsidR="00D304E5" w:rsidRPr="00774395" w:rsidRDefault="00D304E5" w:rsidP="00B7447B">
            <w:pPr>
              <w:pStyle w:val="Nessunaspaziatura"/>
              <w:spacing w:line="276" w:lineRule="auto"/>
              <w:rPr>
                <w:sz w:val="20"/>
                <w:szCs w:val="20"/>
              </w:rPr>
            </w:pPr>
            <w:r w:rsidRPr="00774395">
              <w:rPr>
                <w:sz w:val="20"/>
                <w:szCs w:val="20"/>
              </w:rPr>
              <w:t>15.5% (51)</w:t>
            </w:r>
          </w:p>
        </w:tc>
      </w:tr>
      <w:tr w:rsidR="00D304E5" w:rsidRPr="00774395" w14:paraId="516743C9" w14:textId="77777777" w:rsidTr="00B7447B">
        <w:trPr>
          <w:trHeight w:val="227"/>
        </w:trPr>
        <w:tc>
          <w:tcPr>
            <w:tcW w:w="2127" w:type="dxa"/>
            <w:vMerge/>
          </w:tcPr>
          <w:p w14:paraId="744D500D" w14:textId="77777777" w:rsidR="00D304E5" w:rsidRPr="00774395" w:rsidRDefault="00D304E5" w:rsidP="00B7447B">
            <w:pPr>
              <w:pStyle w:val="Nessunaspaziatura"/>
              <w:spacing w:line="276" w:lineRule="auto"/>
              <w:rPr>
                <w:sz w:val="20"/>
                <w:szCs w:val="20"/>
              </w:rPr>
            </w:pPr>
          </w:p>
        </w:tc>
        <w:tc>
          <w:tcPr>
            <w:tcW w:w="1815" w:type="dxa"/>
          </w:tcPr>
          <w:p w14:paraId="5504F9EF" w14:textId="77777777" w:rsidR="00D304E5" w:rsidRPr="00774395" w:rsidRDefault="00D304E5" w:rsidP="00B7447B">
            <w:pPr>
              <w:pStyle w:val="Nessunaspaziatura"/>
              <w:spacing w:line="276" w:lineRule="auto"/>
              <w:rPr>
                <w:sz w:val="20"/>
                <w:szCs w:val="20"/>
              </w:rPr>
            </w:pPr>
            <w:r w:rsidRPr="00774395">
              <w:rPr>
                <w:sz w:val="20"/>
                <w:szCs w:val="20"/>
              </w:rPr>
              <w:t>5-10</w:t>
            </w:r>
          </w:p>
        </w:tc>
        <w:tc>
          <w:tcPr>
            <w:tcW w:w="4298" w:type="dxa"/>
          </w:tcPr>
          <w:p w14:paraId="3AF51F5D" w14:textId="2B41F90F" w:rsidR="00D304E5" w:rsidRPr="00774395" w:rsidRDefault="00D304E5" w:rsidP="00B7447B">
            <w:pPr>
              <w:pStyle w:val="Nessunaspaziatura"/>
              <w:spacing w:line="276" w:lineRule="auto"/>
              <w:rPr>
                <w:sz w:val="20"/>
                <w:szCs w:val="20"/>
              </w:rPr>
            </w:pPr>
            <w:r w:rsidRPr="00774395">
              <w:rPr>
                <w:sz w:val="20"/>
                <w:szCs w:val="20"/>
              </w:rPr>
              <w:t>5% ≤ ash &lt; 10%</w:t>
            </w:r>
          </w:p>
        </w:tc>
        <w:tc>
          <w:tcPr>
            <w:tcW w:w="1398" w:type="dxa"/>
          </w:tcPr>
          <w:p w14:paraId="68C10EF2" w14:textId="1CFC7C62" w:rsidR="00D304E5" w:rsidRPr="00774395" w:rsidRDefault="00D304E5" w:rsidP="00B7447B">
            <w:pPr>
              <w:pStyle w:val="Nessunaspaziatura"/>
              <w:spacing w:line="276" w:lineRule="auto"/>
              <w:rPr>
                <w:sz w:val="20"/>
                <w:szCs w:val="20"/>
              </w:rPr>
            </w:pPr>
            <w:r w:rsidRPr="00774395">
              <w:rPr>
                <w:sz w:val="20"/>
                <w:szCs w:val="20"/>
              </w:rPr>
              <w:t>29.0% (95)</w:t>
            </w:r>
          </w:p>
        </w:tc>
      </w:tr>
      <w:tr w:rsidR="00D304E5" w:rsidRPr="00774395" w14:paraId="394BADD0" w14:textId="77777777" w:rsidTr="00B7447B">
        <w:trPr>
          <w:trHeight w:val="227"/>
        </w:trPr>
        <w:tc>
          <w:tcPr>
            <w:tcW w:w="2127" w:type="dxa"/>
            <w:vMerge/>
          </w:tcPr>
          <w:p w14:paraId="01A0691D" w14:textId="77777777" w:rsidR="00D304E5" w:rsidRPr="00774395" w:rsidRDefault="00D304E5" w:rsidP="00B7447B">
            <w:pPr>
              <w:pStyle w:val="Nessunaspaziatura"/>
              <w:spacing w:line="276" w:lineRule="auto"/>
              <w:rPr>
                <w:sz w:val="20"/>
                <w:szCs w:val="20"/>
              </w:rPr>
            </w:pPr>
          </w:p>
        </w:tc>
        <w:tc>
          <w:tcPr>
            <w:tcW w:w="1815" w:type="dxa"/>
          </w:tcPr>
          <w:p w14:paraId="01ED3104" w14:textId="77777777" w:rsidR="00D304E5" w:rsidRPr="00774395" w:rsidRDefault="00D304E5" w:rsidP="00B7447B">
            <w:pPr>
              <w:pStyle w:val="Nessunaspaziatura"/>
              <w:spacing w:line="276" w:lineRule="auto"/>
              <w:rPr>
                <w:sz w:val="20"/>
                <w:szCs w:val="20"/>
              </w:rPr>
            </w:pPr>
            <w:r w:rsidRPr="00774395">
              <w:rPr>
                <w:sz w:val="20"/>
                <w:szCs w:val="20"/>
              </w:rPr>
              <w:t>10-20</w:t>
            </w:r>
          </w:p>
        </w:tc>
        <w:tc>
          <w:tcPr>
            <w:tcW w:w="4298" w:type="dxa"/>
          </w:tcPr>
          <w:p w14:paraId="037E11C4" w14:textId="34A60B1C" w:rsidR="00D304E5" w:rsidRPr="00774395" w:rsidRDefault="00D304E5" w:rsidP="00B7447B">
            <w:pPr>
              <w:pStyle w:val="Nessunaspaziatura"/>
              <w:spacing w:line="276" w:lineRule="auto"/>
              <w:rPr>
                <w:sz w:val="20"/>
                <w:szCs w:val="20"/>
              </w:rPr>
            </w:pPr>
            <w:r w:rsidRPr="00774395">
              <w:rPr>
                <w:sz w:val="20"/>
                <w:szCs w:val="20"/>
              </w:rPr>
              <w:t>10% ≤ ash &lt; 20%</w:t>
            </w:r>
          </w:p>
        </w:tc>
        <w:tc>
          <w:tcPr>
            <w:tcW w:w="1398" w:type="dxa"/>
          </w:tcPr>
          <w:p w14:paraId="167C4ABB" w14:textId="6104F295" w:rsidR="00D304E5" w:rsidRPr="00774395" w:rsidRDefault="00D304E5" w:rsidP="00B7447B">
            <w:pPr>
              <w:pStyle w:val="Nessunaspaziatura"/>
              <w:spacing w:line="276" w:lineRule="auto"/>
              <w:rPr>
                <w:sz w:val="20"/>
                <w:szCs w:val="20"/>
              </w:rPr>
            </w:pPr>
            <w:r w:rsidRPr="00774395">
              <w:rPr>
                <w:sz w:val="20"/>
                <w:szCs w:val="20"/>
              </w:rPr>
              <w:t>20.4% (67)</w:t>
            </w:r>
          </w:p>
        </w:tc>
      </w:tr>
      <w:tr w:rsidR="00D304E5" w:rsidRPr="00774395" w14:paraId="6F26A80E" w14:textId="77777777" w:rsidTr="00B7447B">
        <w:trPr>
          <w:trHeight w:val="227"/>
        </w:trPr>
        <w:tc>
          <w:tcPr>
            <w:tcW w:w="2127" w:type="dxa"/>
            <w:vMerge/>
          </w:tcPr>
          <w:p w14:paraId="2757E90B" w14:textId="77777777" w:rsidR="00D304E5" w:rsidRPr="00774395" w:rsidRDefault="00D304E5" w:rsidP="00B7447B">
            <w:pPr>
              <w:pStyle w:val="Nessunaspaziatura"/>
              <w:spacing w:line="276" w:lineRule="auto"/>
              <w:rPr>
                <w:sz w:val="20"/>
                <w:szCs w:val="20"/>
              </w:rPr>
            </w:pPr>
          </w:p>
        </w:tc>
        <w:tc>
          <w:tcPr>
            <w:tcW w:w="1815" w:type="dxa"/>
          </w:tcPr>
          <w:p w14:paraId="729414B9" w14:textId="77777777" w:rsidR="00D304E5" w:rsidRPr="00774395" w:rsidRDefault="00D304E5" w:rsidP="00B7447B">
            <w:pPr>
              <w:pStyle w:val="Nessunaspaziatura"/>
              <w:spacing w:line="276" w:lineRule="auto"/>
              <w:rPr>
                <w:sz w:val="20"/>
                <w:szCs w:val="20"/>
              </w:rPr>
            </w:pPr>
            <w:r w:rsidRPr="00774395">
              <w:rPr>
                <w:sz w:val="20"/>
                <w:szCs w:val="20"/>
              </w:rPr>
              <w:t>20-50</w:t>
            </w:r>
          </w:p>
        </w:tc>
        <w:tc>
          <w:tcPr>
            <w:tcW w:w="4298" w:type="dxa"/>
          </w:tcPr>
          <w:p w14:paraId="35EBF338" w14:textId="147D90E0" w:rsidR="00D304E5" w:rsidRPr="00774395" w:rsidRDefault="00D304E5" w:rsidP="00B7447B">
            <w:pPr>
              <w:pStyle w:val="Nessunaspaziatura"/>
              <w:spacing w:line="276" w:lineRule="auto"/>
              <w:rPr>
                <w:sz w:val="20"/>
                <w:szCs w:val="20"/>
              </w:rPr>
            </w:pPr>
            <w:r w:rsidRPr="00774395">
              <w:rPr>
                <w:sz w:val="20"/>
                <w:szCs w:val="20"/>
              </w:rPr>
              <w:t>20% ≤ ash &lt; 50%</w:t>
            </w:r>
          </w:p>
        </w:tc>
        <w:tc>
          <w:tcPr>
            <w:tcW w:w="1398" w:type="dxa"/>
          </w:tcPr>
          <w:p w14:paraId="37DE887B" w14:textId="302BA88F" w:rsidR="00D304E5" w:rsidRPr="00774395" w:rsidRDefault="00D304E5" w:rsidP="00B7447B">
            <w:pPr>
              <w:pStyle w:val="Nessunaspaziatura"/>
              <w:spacing w:line="276" w:lineRule="auto"/>
              <w:rPr>
                <w:sz w:val="20"/>
                <w:szCs w:val="20"/>
              </w:rPr>
            </w:pPr>
            <w:r w:rsidRPr="00774395">
              <w:rPr>
                <w:sz w:val="20"/>
                <w:szCs w:val="20"/>
              </w:rPr>
              <w:t>25.6% (84)</w:t>
            </w:r>
          </w:p>
        </w:tc>
      </w:tr>
      <w:tr w:rsidR="00D304E5" w:rsidRPr="00774395" w14:paraId="3D0C90D6" w14:textId="77777777" w:rsidTr="00B7447B">
        <w:trPr>
          <w:trHeight w:val="227"/>
        </w:trPr>
        <w:tc>
          <w:tcPr>
            <w:tcW w:w="2127" w:type="dxa"/>
            <w:vMerge/>
            <w:tcBorders>
              <w:bottom w:val="single" w:sz="4" w:space="0" w:color="auto"/>
            </w:tcBorders>
          </w:tcPr>
          <w:p w14:paraId="390A04F7"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506D5684" w14:textId="77777777" w:rsidR="00D304E5" w:rsidRPr="00774395" w:rsidRDefault="00D304E5" w:rsidP="00B7447B">
            <w:pPr>
              <w:pStyle w:val="Nessunaspaziatura"/>
              <w:spacing w:line="276" w:lineRule="auto"/>
              <w:rPr>
                <w:sz w:val="20"/>
                <w:szCs w:val="20"/>
              </w:rPr>
            </w:pPr>
            <w:r w:rsidRPr="00774395">
              <w:rPr>
                <w:sz w:val="20"/>
                <w:szCs w:val="20"/>
              </w:rPr>
              <w:t>≥ 50</w:t>
            </w:r>
          </w:p>
        </w:tc>
        <w:tc>
          <w:tcPr>
            <w:tcW w:w="4298" w:type="dxa"/>
            <w:tcBorders>
              <w:bottom w:val="single" w:sz="4" w:space="0" w:color="auto"/>
            </w:tcBorders>
          </w:tcPr>
          <w:p w14:paraId="0D9CD72E" w14:textId="15EE3EDB" w:rsidR="00D304E5" w:rsidRPr="00774395" w:rsidRDefault="00A16E41" w:rsidP="00B7447B">
            <w:pPr>
              <w:pStyle w:val="Nessunaspaziatura"/>
              <w:spacing w:line="276" w:lineRule="auto"/>
              <w:rPr>
                <w:sz w:val="20"/>
                <w:szCs w:val="20"/>
              </w:rPr>
            </w:pPr>
            <w:r w:rsidRPr="00774395">
              <w:rPr>
                <w:sz w:val="20"/>
                <w:szCs w:val="20"/>
              </w:rPr>
              <w:t>A</w:t>
            </w:r>
            <w:r w:rsidR="00D304E5" w:rsidRPr="00774395">
              <w:rPr>
                <w:sz w:val="20"/>
                <w:szCs w:val="20"/>
              </w:rPr>
              <w:t>sh ≥ 50%</w:t>
            </w:r>
          </w:p>
        </w:tc>
        <w:tc>
          <w:tcPr>
            <w:tcW w:w="1398" w:type="dxa"/>
            <w:tcBorders>
              <w:bottom w:val="single" w:sz="4" w:space="0" w:color="auto"/>
            </w:tcBorders>
          </w:tcPr>
          <w:p w14:paraId="54F7AF4A" w14:textId="6FEE2748" w:rsidR="00D304E5" w:rsidRPr="00774395" w:rsidRDefault="00D304E5" w:rsidP="00B7447B">
            <w:pPr>
              <w:pStyle w:val="Nessunaspaziatura"/>
              <w:spacing w:line="276" w:lineRule="auto"/>
              <w:rPr>
                <w:sz w:val="20"/>
                <w:szCs w:val="20"/>
              </w:rPr>
            </w:pPr>
            <w:r w:rsidRPr="00774395">
              <w:rPr>
                <w:sz w:val="20"/>
                <w:szCs w:val="20"/>
              </w:rPr>
              <w:t>9.5% (31)</w:t>
            </w:r>
          </w:p>
        </w:tc>
      </w:tr>
      <w:tr w:rsidR="00D304E5" w:rsidRPr="00774395" w14:paraId="4B5E9057" w14:textId="77777777" w:rsidTr="00B7447B">
        <w:trPr>
          <w:trHeight w:val="227"/>
        </w:trPr>
        <w:tc>
          <w:tcPr>
            <w:tcW w:w="2127" w:type="dxa"/>
            <w:vMerge w:val="restart"/>
            <w:tcBorders>
              <w:top w:val="single" w:sz="4" w:space="0" w:color="auto"/>
            </w:tcBorders>
          </w:tcPr>
          <w:p w14:paraId="261D2B40" w14:textId="75F3542F" w:rsidR="00D304E5" w:rsidRPr="00774395" w:rsidRDefault="00A16E41" w:rsidP="00B7447B">
            <w:pPr>
              <w:pStyle w:val="Nessunaspaziatura"/>
              <w:spacing w:line="276" w:lineRule="auto"/>
              <w:rPr>
                <w:sz w:val="20"/>
                <w:szCs w:val="20"/>
              </w:rPr>
            </w:pPr>
            <w:r w:rsidRPr="00774395">
              <w:rPr>
                <w:sz w:val="20"/>
                <w:szCs w:val="20"/>
              </w:rPr>
              <w:t>S</w:t>
            </w:r>
            <w:r w:rsidR="00D304E5" w:rsidRPr="00774395">
              <w:rPr>
                <w:sz w:val="20"/>
                <w:szCs w:val="20"/>
              </w:rPr>
              <w:t xml:space="preserve">urface area </w:t>
            </w:r>
          </w:p>
          <w:p w14:paraId="4810F0FE" w14:textId="77777777" w:rsidR="00D304E5" w:rsidRPr="00774395" w:rsidRDefault="00D304E5" w:rsidP="00B7447B">
            <w:pPr>
              <w:pStyle w:val="Nessunaspaziatura"/>
              <w:spacing w:line="276" w:lineRule="auto"/>
              <w:rPr>
                <w:sz w:val="20"/>
                <w:szCs w:val="20"/>
              </w:rPr>
            </w:pPr>
            <w:r w:rsidRPr="00774395">
              <w:rPr>
                <w:sz w:val="20"/>
                <w:szCs w:val="20"/>
              </w:rPr>
              <w:t>[m</w:t>
            </w:r>
            <w:r w:rsidRPr="00774395">
              <w:rPr>
                <w:sz w:val="20"/>
                <w:szCs w:val="20"/>
                <w:vertAlign w:val="superscript"/>
              </w:rPr>
              <w:t>2</w:t>
            </w:r>
            <w:r w:rsidRPr="00774395">
              <w:rPr>
                <w:sz w:val="20"/>
                <w:szCs w:val="20"/>
              </w:rPr>
              <w:t xml:space="preserve"> g</w:t>
            </w:r>
            <w:r w:rsidRPr="00774395">
              <w:rPr>
                <w:sz w:val="20"/>
                <w:szCs w:val="20"/>
                <w:vertAlign w:val="superscript"/>
              </w:rPr>
              <w:t>-1</w:t>
            </w:r>
            <w:r w:rsidRPr="00774395">
              <w:rPr>
                <w:sz w:val="20"/>
                <w:szCs w:val="20"/>
              </w:rPr>
              <w:t>]</w:t>
            </w:r>
          </w:p>
        </w:tc>
        <w:tc>
          <w:tcPr>
            <w:tcW w:w="1815" w:type="dxa"/>
            <w:tcBorders>
              <w:top w:val="single" w:sz="4" w:space="0" w:color="auto"/>
            </w:tcBorders>
          </w:tcPr>
          <w:p w14:paraId="4CFA29B2" w14:textId="77777777" w:rsidR="00D304E5" w:rsidRPr="00774395" w:rsidRDefault="00D304E5" w:rsidP="00B7447B">
            <w:pPr>
              <w:pStyle w:val="Nessunaspaziatura"/>
              <w:spacing w:line="276" w:lineRule="auto"/>
              <w:rPr>
                <w:sz w:val="20"/>
                <w:szCs w:val="20"/>
              </w:rPr>
            </w:pPr>
            <w:r w:rsidRPr="00774395">
              <w:rPr>
                <w:sz w:val="20"/>
                <w:szCs w:val="20"/>
              </w:rPr>
              <w:t>&lt; 10</w:t>
            </w:r>
          </w:p>
        </w:tc>
        <w:tc>
          <w:tcPr>
            <w:tcW w:w="4298" w:type="dxa"/>
            <w:tcBorders>
              <w:top w:val="single" w:sz="4" w:space="0" w:color="auto"/>
            </w:tcBorders>
          </w:tcPr>
          <w:p w14:paraId="341E814F" w14:textId="77777777" w:rsidR="00D304E5" w:rsidRPr="00774395" w:rsidRDefault="00D304E5" w:rsidP="00B7447B">
            <w:pPr>
              <w:pStyle w:val="Nessunaspaziatura"/>
              <w:spacing w:line="276" w:lineRule="auto"/>
              <w:rPr>
                <w:sz w:val="20"/>
                <w:szCs w:val="20"/>
              </w:rPr>
            </w:pPr>
            <w:r w:rsidRPr="00774395">
              <w:rPr>
                <w:sz w:val="20"/>
                <w:szCs w:val="20"/>
              </w:rPr>
              <w:t>surface area &lt; 10 m</w:t>
            </w:r>
            <w:r w:rsidRPr="00774395">
              <w:rPr>
                <w:sz w:val="20"/>
                <w:szCs w:val="20"/>
                <w:vertAlign w:val="superscript"/>
              </w:rPr>
              <w:t>2</w:t>
            </w:r>
            <w:r w:rsidRPr="00774395">
              <w:rPr>
                <w:sz w:val="20"/>
                <w:szCs w:val="20"/>
              </w:rPr>
              <w:t xml:space="preserve"> g</w:t>
            </w:r>
            <w:r w:rsidRPr="00774395">
              <w:rPr>
                <w:sz w:val="20"/>
                <w:szCs w:val="20"/>
                <w:vertAlign w:val="superscript"/>
              </w:rPr>
              <w:t>-1</w:t>
            </w:r>
          </w:p>
        </w:tc>
        <w:tc>
          <w:tcPr>
            <w:tcW w:w="1398" w:type="dxa"/>
            <w:tcBorders>
              <w:top w:val="single" w:sz="4" w:space="0" w:color="auto"/>
            </w:tcBorders>
          </w:tcPr>
          <w:p w14:paraId="11537FE8" w14:textId="1E65D930" w:rsidR="00D304E5" w:rsidRPr="00774395" w:rsidRDefault="00D304E5" w:rsidP="00B7447B">
            <w:pPr>
              <w:pStyle w:val="Nessunaspaziatura"/>
              <w:spacing w:line="276" w:lineRule="auto"/>
              <w:rPr>
                <w:sz w:val="20"/>
                <w:szCs w:val="20"/>
              </w:rPr>
            </w:pPr>
            <w:r w:rsidRPr="00774395">
              <w:rPr>
                <w:sz w:val="20"/>
                <w:szCs w:val="20"/>
              </w:rPr>
              <w:t>12.8% (56)</w:t>
            </w:r>
          </w:p>
        </w:tc>
      </w:tr>
      <w:tr w:rsidR="00D304E5" w:rsidRPr="00774395" w14:paraId="3FED5E9C" w14:textId="77777777" w:rsidTr="00B7447B">
        <w:trPr>
          <w:trHeight w:val="227"/>
        </w:trPr>
        <w:tc>
          <w:tcPr>
            <w:tcW w:w="2127" w:type="dxa"/>
            <w:vMerge/>
          </w:tcPr>
          <w:p w14:paraId="05D44821" w14:textId="77777777" w:rsidR="00D304E5" w:rsidRPr="00774395" w:rsidRDefault="00D304E5" w:rsidP="00B7447B">
            <w:pPr>
              <w:pStyle w:val="Nessunaspaziatura"/>
              <w:spacing w:line="276" w:lineRule="auto"/>
              <w:rPr>
                <w:sz w:val="20"/>
                <w:szCs w:val="20"/>
              </w:rPr>
            </w:pPr>
          </w:p>
        </w:tc>
        <w:tc>
          <w:tcPr>
            <w:tcW w:w="1815" w:type="dxa"/>
          </w:tcPr>
          <w:p w14:paraId="3BDFCA64" w14:textId="77777777" w:rsidR="00D304E5" w:rsidRPr="00774395" w:rsidRDefault="00D304E5" w:rsidP="00B7447B">
            <w:pPr>
              <w:pStyle w:val="Nessunaspaziatura"/>
              <w:spacing w:line="276" w:lineRule="auto"/>
              <w:rPr>
                <w:sz w:val="20"/>
                <w:szCs w:val="20"/>
              </w:rPr>
            </w:pPr>
            <w:r w:rsidRPr="00774395">
              <w:rPr>
                <w:sz w:val="20"/>
                <w:szCs w:val="20"/>
              </w:rPr>
              <w:t>10-20</w:t>
            </w:r>
          </w:p>
        </w:tc>
        <w:tc>
          <w:tcPr>
            <w:tcW w:w="4298" w:type="dxa"/>
          </w:tcPr>
          <w:p w14:paraId="13644535" w14:textId="77777777" w:rsidR="00D304E5" w:rsidRPr="00774395" w:rsidRDefault="00D304E5" w:rsidP="00B7447B">
            <w:pPr>
              <w:pStyle w:val="Nessunaspaziatura"/>
              <w:spacing w:line="276" w:lineRule="auto"/>
              <w:rPr>
                <w:sz w:val="20"/>
                <w:szCs w:val="20"/>
              </w:rPr>
            </w:pPr>
            <w:r w:rsidRPr="00774395">
              <w:rPr>
                <w:sz w:val="20"/>
                <w:szCs w:val="20"/>
              </w:rPr>
              <w:t>10 m</w:t>
            </w:r>
            <w:r w:rsidRPr="00774395">
              <w:rPr>
                <w:sz w:val="20"/>
                <w:szCs w:val="20"/>
                <w:vertAlign w:val="superscript"/>
              </w:rPr>
              <w:t>2</w:t>
            </w:r>
            <w:r w:rsidRPr="00774395">
              <w:rPr>
                <w:sz w:val="20"/>
                <w:szCs w:val="20"/>
              </w:rPr>
              <w:t xml:space="preserve"> g</w:t>
            </w:r>
            <w:r w:rsidRPr="00774395">
              <w:rPr>
                <w:sz w:val="20"/>
                <w:szCs w:val="20"/>
                <w:vertAlign w:val="superscript"/>
              </w:rPr>
              <w:t>-1</w:t>
            </w:r>
            <w:r w:rsidRPr="00774395">
              <w:rPr>
                <w:sz w:val="20"/>
                <w:szCs w:val="20"/>
              </w:rPr>
              <w:t xml:space="preserve"> ≤ surface area &lt; 20 m</w:t>
            </w:r>
            <w:r w:rsidRPr="00774395">
              <w:rPr>
                <w:sz w:val="20"/>
                <w:szCs w:val="20"/>
                <w:vertAlign w:val="superscript"/>
              </w:rPr>
              <w:t>2</w:t>
            </w:r>
            <w:r w:rsidRPr="00774395">
              <w:rPr>
                <w:sz w:val="20"/>
                <w:szCs w:val="20"/>
              </w:rPr>
              <w:t xml:space="preserve"> g</w:t>
            </w:r>
            <w:r w:rsidRPr="00774395">
              <w:rPr>
                <w:sz w:val="20"/>
                <w:szCs w:val="20"/>
                <w:vertAlign w:val="superscript"/>
              </w:rPr>
              <w:t>-1</w:t>
            </w:r>
          </w:p>
        </w:tc>
        <w:tc>
          <w:tcPr>
            <w:tcW w:w="1398" w:type="dxa"/>
          </w:tcPr>
          <w:p w14:paraId="08BFC4CB" w14:textId="4449CCCC" w:rsidR="00D304E5" w:rsidRPr="00774395" w:rsidRDefault="00D304E5" w:rsidP="00B7447B">
            <w:pPr>
              <w:pStyle w:val="Nessunaspaziatura"/>
              <w:spacing w:line="276" w:lineRule="auto"/>
              <w:rPr>
                <w:sz w:val="20"/>
                <w:szCs w:val="20"/>
              </w:rPr>
            </w:pPr>
            <w:r w:rsidRPr="00774395">
              <w:rPr>
                <w:sz w:val="20"/>
                <w:szCs w:val="20"/>
              </w:rPr>
              <w:t>16.7% (73)</w:t>
            </w:r>
          </w:p>
        </w:tc>
      </w:tr>
      <w:tr w:rsidR="00D304E5" w:rsidRPr="00774395" w14:paraId="5BA5968D" w14:textId="77777777" w:rsidTr="00B7447B">
        <w:trPr>
          <w:trHeight w:val="227"/>
        </w:trPr>
        <w:tc>
          <w:tcPr>
            <w:tcW w:w="2127" w:type="dxa"/>
            <w:vMerge/>
          </w:tcPr>
          <w:p w14:paraId="10536FB9" w14:textId="77777777" w:rsidR="00D304E5" w:rsidRPr="00774395" w:rsidRDefault="00D304E5" w:rsidP="00B7447B">
            <w:pPr>
              <w:pStyle w:val="Nessunaspaziatura"/>
              <w:spacing w:line="276" w:lineRule="auto"/>
              <w:rPr>
                <w:sz w:val="20"/>
                <w:szCs w:val="20"/>
              </w:rPr>
            </w:pPr>
          </w:p>
        </w:tc>
        <w:tc>
          <w:tcPr>
            <w:tcW w:w="1815" w:type="dxa"/>
          </w:tcPr>
          <w:p w14:paraId="6BF1D902" w14:textId="77777777" w:rsidR="00D304E5" w:rsidRPr="00774395" w:rsidRDefault="00D304E5" w:rsidP="00B7447B">
            <w:pPr>
              <w:pStyle w:val="Nessunaspaziatura"/>
              <w:spacing w:line="276" w:lineRule="auto"/>
              <w:rPr>
                <w:sz w:val="20"/>
                <w:szCs w:val="20"/>
              </w:rPr>
            </w:pPr>
            <w:r w:rsidRPr="00774395">
              <w:rPr>
                <w:sz w:val="20"/>
                <w:szCs w:val="20"/>
              </w:rPr>
              <w:t>20-100</w:t>
            </w:r>
          </w:p>
        </w:tc>
        <w:tc>
          <w:tcPr>
            <w:tcW w:w="4298" w:type="dxa"/>
          </w:tcPr>
          <w:p w14:paraId="381F0289" w14:textId="77777777" w:rsidR="00D304E5" w:rsidRPr="00774395" w:rsidRDefault="00D304E5" w:rsidP="00B7447B">
            <w:pPr>
              <w:pStyle w:val="Nessunaspaziatura"/>
              <w:spacing w:line="276" w:lineRule="auto"/>
              <w:rPr>
                <w:sz w:val="20"/>
                <w:szCs w:val="20"/>
              </w:rPr>
            </w:pPr>
            <w:r w:rsidRPr="00774395">
              <w:rPr>
                <w:sz w:val="20"/>
                <w:szCs w:val="20"/>
              </w:rPr>
              <w:t>20 m</w:t>
            </w:r>
            <w:r w:rsidRPr="00774395">
              <w:rPr>
                <w:sz w:val="20"/>
                <w:szCs w:val="20"/>
                <w:vertAlign w:val="superscript"/>
              </w:rPr>
              <w:t>2</w:t>
            </w:r>
            <w:r w:rsidRPr="00774395">
              <w:rPr>
                <w:sz w:val="20"/>
                <w:szCs w:val="20"/>
              </w:rPr>
              <w:t xml:space="preserve"> g</w:t>
            </w:r>
            <w:r w:rsidRPr="00774395">
              <w:rPr>
                <w:sz w:val="20"/>
                <w:szCs w:val="20"/>
                <w:vertAlign w:val="superscript"/>
              </w:rPr>
              <w:t>-1</w:t>
            </w:r>
            <w:r w:rsidRPr="00774395">
              <w:rPr>
                <w:sz w:val="20"/>
                <w:szCs w:val="20"/>
              </w:rPr>
              <w:t xml:space="preserve"> ≤ surface area &lt; 100 m</w:t>
            </w:r>
            <w:r w:rsidRPr="00774395">
              <w:rPr>
                <w:sz w:val="20"/>
                <w:szCs w:val="20"/>
                <w:vertAlign w:val="superscript"/>
              </w:rPr>
              <w:t>2</w:t>
            </w:r>
            <w:r w:rsidRPr="00774395">
              <w:rPr>
                <w:sz w:val="20"/>
                <w:szCs w:val="20"/>
              </w:rPr>
              <w:t xml:space="preserve"> g</w:t>
            </w:r>
            <w:r w:rsidRPr="00774395">
              <w:rPr>
                <w:sz w:val="20"/>
                <w:szCs w:val="20"/>
                <w:vertAlign w:val="superscript"/>
              </w:rPr>
              <w:t>-1</w:t>
            </w:r>
          </w:p>
        </w:tc>
        <w:tc>
          <w:tcPr>
            <w:tcW w:w="1398" w:type="dxa"/>
          </w:tcPr>
          <w:p w14:paraId="18B10F53" w14:textId="5E427717" w:rsidR="00D304E5" w:rsidRPr="00774395" w:rsidRDefault="00D304E5" w:rsidP="00B7447B">
            <w:pPr>
              <w:pStyle w:val="Nessunaspaziatura"/>
              <w:spacing w:line="276" w:lineRule="auto"/>
              <w:rPr>
                <w:sz w:val="20"/>
                <w:szCs w:val="20"/>
              </w:rPr>
            </w:pPr>
            <w:r w:rsidRPr="00774395">
              <w:rPr>
                <w:sz w:val="20"/>
                <w:szCs w:val="20"/>
              </w:rPr>
              <w:t>21.2% (93)</w:t>
            </w:r>
          </w:p>
        </w:tc>
      </w:tr>
      <w:tr w:rsidR="00D304E5" w:rsidRPr="00774395" w14:paraId="4A4E6126" w14:textId="77777777" w:rsidTr="00B7447B">
        <w:trPr>
          <w:trHeight w:val="227"/>
        </w:trPr>
        <w:tc>
          <w:tcPr>
            <w:tcW w:w="2127" w:type="dxa"/>
            <w:vMerge/>
            <w:tcBorders>
              <w:bottom w:val="single" w:sz="4" w:space="0" w:color="auto"/>
            </w:tcBorders>
          </w:tcPr>
          <w:p w14:paraId="7A8D9049"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23E54465" w14:textId="77777777" w:rsidR="00D304E5" w:rsidRPr="00774395" w:rsidRDefault="00D304E5" w:rsidP="00B7447B">
            <w:pPr>
              <w:pStyle w:val="Nessunaspaziatura"/>
              <w:spacing w:line="276" w:lineRule="auto"/>
              <w:rPr>
                <w:sz w:val="20"/>
                <w:szCs w:val="20"/>
              </w:rPr>
            </w:pPr>
            <w:r w:rsidRPr="00774395">
              <w:rPr>
                <w:sz w:val="20"/>
                <w:szCs w:val="20"/>
              </w:rPr>
              <w:t>≥ 100</w:t>
            </w:r>
          </w:p>
        </w:tc>
        <w:tc>
          <w:tcPr>
            <w:tcW w:w="4298" w:type="dxa"/>
            <w:tcBorders>
              <w:bottom w:val="single" w:sz="4" w:space="0" w:color="auto"/>
            </w:tcBorders>
          </w:tcPr>
          <w:p w14:paraId="2D7DA48B" w14:textId="77777777" w:rsidR="00D304E5" w:rsidRPr="00774395" w:rsidRDefault="00D304E5" w:rsidP="00B7447B">
            <w:pPr>
              <w:pStyle w:val="Nessunaspaziatura"/>
              <w:spacing w:line="276" w:lineRule="auto"/>
              <w:rPr>
                <w:sz w:val="20"/>
                <w:szCs w:val="20"/>
              </w:rPr>
            </w:pPr>
            <w:r w:rsidRPr="00774395">
              <w:rPr>
                <w:sz w:val="20"/>
                <w:szCs w:val="20"/>
              </w:rPr>
              <w:t>surface area ≥ 100 m</w:t>
            </w:r>
            <w:r w:rsidRPr="00774395">
              <w:rPr>
                <w:sz w:val="20"/>
                <w:szCs w:val="20"/>
                <w:vertAlign w:val="superscript"/>
              </w:rPr>
              <w:t>2</w:t>
            </w:r>
            <w:r w:rsidRPr="00774395">
              <w:rPr>
                <w:sz w:val="20"/>
                <w:szCs w:val="20"/>
              </w:rPr>
              <w:t xml:space="preserve"> g</w:t>
            </w:r>
            <w:r w:rsidRPr="00774395">
              <w:rPr>
                <w:sz w:val="20"/>
                <w:szCs w:val="20"/>
                <w:vertAlign w:val="superscript"/>
              </w:rPr>
              <w:t>-1</w:t>
            </w:r>
          </w:p>
        </w:tc>
        <w:tc>
          <w:tcPr>
            <w:tcW w:w="1398" w:type="dxa"/>
            <w:tcBorders>
              <w:bottom w:val="single" w:sz="4" w:space="0" w:color="auto"/>
            </w:tcBorders>
          </w:tcPr>
          <w:p w14:paraId="481E37C5" w14:textId="36DF840C" w:rsidR="00D304E5" w:rsidRPr="00774395" w:rsidRDefault="00D304E5" w:rsidP="00B7447B">
            <w:pPr>
              <w:pStyle w:val="Nessunaspaziatura"/>
              <w:spacing w:line="276" w:lineRule="auto"/>
              <w:rPr>
                <w:sz w:val="20"/>
                <w:szCs w:val="20"/>
              </w:rPr>
            </w:pPr>
            <w:r w:rsidRPr="00774395">
              <w:rPr>
                <w:sz w:val="20"/>
                <w:szCs w:val="20"/>
              </w:rPr>
              <w:t>49.3% (216)</w:t>
            </w:r>
          </w:p>
        </w:tc>
      </w:tr>
      <w:tr w:rsidR="00D304E5" w:rsidRPr="00774395" w14:paraId="00ED8CDF" w14:textId="77777777" w:rsidTr="00B7447B">
        <w:trPr>
          <w:trHeight w:val="227"/>
        </w:trPr>
        <w:tc>
          <w:tcPr>
            <w:tcW w:w="2127" w:type="dxa"/>
            <w:tcBorders>
              <w:top w:val="single" w:sz="4" w:space="0" w:color="auto"/>
            </w:tcBorders>
          </w:tcPr>
          <w:p w14:paraId="3BF1CDD0" w14:textId="77777777" w:rsidR="00D304E5" w:rsidRPr="00774395" w:rsidRDefault="00D304E5" w:rsidP="00B7447B">
            <w:pPr>
              <w:pStyle w:val="Nessunaspaziatura"/>
              <w:spacing w:line="276" w:lineRule="auto"/>
              <w:rPr>
                <w:sz w:val="20"/>
                <w:szCs w:val="20"/>
              </w:rPr>
            </w:pPr>
            <w:r w:rsidRPr="00774395">
              <w:rPr>
                <w:sz w:val="20"/>
                <w:szCs w:val="20"/>
              </w:rPr>
              <w:t>pH [-]</w:t>
            </w:r>
          </w:p>
        </w:tc>
        <w:tc>
          <w:tcPr>
            <w:tcW w:w="1815" w:type="dxa"/>
            <w:tcBorders>
              <w:top w:val="single" w:sz="4" w:space="0" w:color="auto"/>
            </w:tcBorders>
          </w:tcPr>
          <w:p w14:paraId="46718AB1" w14:textId="77777777" w:rsidR="00D304E5" w:rsidRPr="00774395" w:rsidRDefault="00D304E5" w:rsidP="00B7447B">
            <w:pPr>
              <w:pStyle w:val="Nessunaspaziatura"/>
              <w:spacing w:line="276" w:lineRule="auto"/>
              <w:rPr>
                <w:sz w:val="20"/>
                <w:szCs w:val="20"/>
              </w:rPr>
            </w:pPr>
            <w:r w:rsidRPr="00774395">
              <w:rPr>
                <w:sz w:val="20"/>
                <w:szCs w:val="20"/>
              </w:rPr>
              <w:t>&lt; 7</w:t>
            </w:r>
          </w:p>
        </w:tc>
        <w:tc>
          <w:tcPr>
            <w:tcW w:w="4298" w:type="dxa"/>
            <w:tcBorders>
              <w:top w:val="single" w:sz="4" w:space="0" w:color="auto"/>
            </w:tcBorders>
          </w:tcPr>
          <w:p w14:paraId="0CE271E2" w14:textId="77777777" w:rsidR="00D304E5" w:rsidRPr="00774395" w:rsidRDefault="00D304E5" w:rsidP="00B7447B">
            <w:pPr>
              <w:pStyle w:val="Nessunaspaziatura"/>
              <w:spacing w:line="276" w:lineRule="auto"/>
              <w:rPr>
                <w:sz w:val="20"/>
                <w:szCs w:val="20"/>
              </w:rPr>
            </w:pPr>
            <w:r w:rsidRPr="00774395">
              <w:rPr>
                <w:sz w:val="20"/>
                <w:szCs w:val="20"/>
              </w:rPr>
              <w:t>pH &lt; 7</w:t>
            </w:r>
          </w:p>
        </w:tc>
        <w:tc>
          <w:tcPr>
            <w:tcW w:w="1398" w:type="dxa"/>
            <w:tcBorders>
              <w:top w:val="single" w:sz="4" w:space="0" w:color="auto"/>
            </w:tcBorders>
          </w:tcPr>
          <w:p w14:paraId="6637ACD0" w14:textId="37D9A045" w:rsidR="00D304E5" w:rsidRPr="00774395" w:rsidRDefault="00D304E5" w:rsidP="00B7447B">
            <w:pPr>
              <w:pStyle w:val="Nessunaspaziatura"/>
              <w:spacing w:line="276" w:lineRule="auto"/>
              <w:rPr>
                <w:sz w:val="20"/>
                <w:szCs w:val="20"/>
              </w:rPr>
            </w:pPr>
            <w:r w:rsidRPr="00774395">
              <w:rPr>
                <w:sz w:val="20"/>
                <w:szCs w:val="20"/>
              </w:rPr>
              <w:t>12.9% (48)</w:t>
            </w:r>
          </w:p>
        </w:tc>
      </w:tr>
      <w:tr w:rsidR="00D304E5" w:rsidRPr="00774395" w14:paraId="239E5033" w14:textId="77777777" w:rsidTr="00B7447B">
        <w:trPr>
          <w:trHeight w:val="227"/>
        </w:trPr>
        <w:tc>
          <w:tcPr>
            <w:tcW w:w="2127" w:type="dxa"/>
          </w:tcPr>
          <w:p w14:paraId="3441EA4E" w14:textId="77777777" w:rsidR="00D304E5" w:rsidRPr="00774395" w:rsidRDefault="00D304E5" w:rsidP="00B7447B">
            <w:pPr>
              <w:pStyle w:val="Nessunaspaziatura"/>
              <w:spacing w:line="276" w:lineRule="auto"/>
              <w:rPr>
                <w:sz w:val="20"/>
                <w:szCs w:val="20"/>
              </w:rPr>
            </w:pPr>
          </w:p>
        </w:tc>
        <w:tc>
          <w:tcPr>
            <w:tcW w:w="1815" w:type="dxa"/>
          </w:tcPr>
          <w:p w14:paraId="5FC67B04" w14:textId="77777777" w:rsidR="00D304E5" w:rsidRPr="00774395" w:rsidRDefault="00D304E5" w:rsidP="00B7447B">
            <w:pPr>
              <w:pStyle w:val="Nessunaspaziatura"/>
              <w:spacing w:line="276" w:lineRule="auto"/>
              <w:rPr>
                <w:sz w:val="20"/>
                <w:szCs w:val="20"/>
              </w:rPr>
            </w:pPr>
            <w:r w:rsidRPr="00774395">
              <w:rPr>
                <w:sz w:val="20"/>
                <w:szCs w:val="20"/>
              </w:rPr>
              <w:t>7-8</w:t>
            </w:r>
          </w:p>
        </w:tc>
        <w:tc>
          <w:tcPr>
            <w:tcW w:w="4298" w:type="dxa"/>
          </w:tcPr>
          <w:p w14:paraId="5C6A3523" w14:textId="77777777" w:rsidR="00D304E5" w:rsidRPr="00774395" w:rsidRDefault="00D304E5" w:rsidP="00B7447B">
            <w:pPr>
              <w:pStyle w:val="Nessunaspaziatura"/>
              <w:spacing w:line="276" w:lineRule="auto"/>
              <w:rPr>
                <w:sz w:val="20"/>
                <w:szCs w:val="20"/>
              </w:rPr>
            </w:pPr>
            <w:r w:rsidRPr="00774395">
              <w:rPr>
                <w:sz w:val="20"/>
                <w:szCs w:val="20"/>
              </w:rPr>
              <w:t>7 ≤ pH &lt; 8</w:t>
            </w:r>
          </w:p>
        </w:tc>
        <w:tc>
          <w:tcPr>
            <w:tcW w:w="1398" w:type="dxa"/>
          </w:tcPr>
          <w:p w14:paraId="7185586D" w14:textId="32E63DBA" w:rsidR="00D304E5" w:rsidRPr="00774395" w:rsidRDefault="00D304E5" w:rsidP="00B7447B">
            <w:pPr>
              <w:pStyle w:val="Nessunaspaziatura"/>
              <w:spacing w:line="276" w:lineRule="auto"/>
              <w:rPr>
                <w:sz w:val="20"/>
                <w:szCs w:val="20"/>
              </w:rPr>
            </w:pPr>
            <w:r w:rsidRPr="00774395">
              <w:rPr>
                <w:sz w:val="20"/>
                <w:szCs w:val="20"/>
              </w:rPr>
              <w:t>11.8% (44)</w:t>
            </w:r>
          </w:p>
        </w:tc>
      </w:tr>
      <w:tr w:rsidR="00D304E5" w:rsidRPr="00774395" w14:paraId="19CBD32C" w14:textId="77777777" w:rsidTr="00B7447B">
        <w:trPr>
          <w:trHeight w:val="227"/>
        </w:trPr>
        <w:tc>
          <w:tcPr>
            <w:tcW w:w="2127" w:type="dxa"/>
          </w:tcPr>
          <w:p w14:paraId="0B777F16" w14:textId="77777777" w:rsidR="00D304E5" w:rsidRPr="00774395" w:rsidRDefault="00D304E5" w:rsidP="00B7447B">
            <w:pPr>
              <w:pStyle w:val="Nessunaspaziatura"/>
              <w:spacing w:line="276" w:lineRule="auto"/>
              <w:rPr>
                <w:sz w:val="20"/>
                <w:szCs w:val="20"/>
              </w:rPr>
            </w:pPr>
          </w:p>
        </w:tc>
        <w:tc>
          <w:tcPr>
            <w:tcW w:w="1815" w:type="dxa"/>
          </w:tcPr>
          <w:p w14:paraId="02531835" w14:textId="77777777" w:rsidR="00D304E5" w:rsidRPr="00774395" w:rsidRDefault="00D304E5" w:rsidP="00B7447B">
            <w:pPr>
              <w:pStyle w:val="Nessunaspaziatura"/>
              <w:spacing w:line="276" w:lineRule="auto"/>
              <w:rPr>
                <w:sz w:val="20"/>
                <w:szCs w:val="20"/>
              </w:rPr>
            </w:pPr>
            <w:r w:rsidRPr="00774395">
              <w:rPr>
                <w:sz w:val="20"/>
                <w:szCs w:val="20"/>
              </w:rPr>
              <w:t>8-9</w:t>
            </w:r>
          </w:p>
        </w:tc>
        <w:tc>
          <w:tcPr>
            <w:tcW w:w="4298" w:type="dxa"/>
          </w:tcPr>
          <w:p w14:paraId="48D458FC" w14:textId="77777777" w:rsidR="00D304E5" w:rsidRPr="00774395" w:rsidRDefault="00D304E5" w:rsidP="00B7447B">
            <w:pPr>
              <w:pStyle w:val="Nessunaspaziatura"/>
              <w:spacing w:line="276" w:lineRule="auto"/>
              <w:rPr>
                <w:sz w:val="20"/>
                <w:szCs w:val="20"/>
              </w:rPr>
            </w:pPr>
            <w:r w:rsidRPr="00774395">
              <w:rPr>
                <w:sz w:val="20"/>
                <w:szCs w:val="20"/>
              </w:rPr>
              <w:t>8 ≤ pH &lt; 9</w:t>
            </w:r>
          </w:p>
        </w:tc>
        <w:tc>
          <w:tcPr>
            <w:tcW w:w="1398" w:type="dxa"/>
          </w:tcPr>
          <w:p w14:paraId="15668A14" w14:textId="45DAC70F" w:rsidR="00D304E5" w:rsidRPr="00774395" w:rsidRDefault="00D304E5" w:rsidP="00B7447B">
            <w:pPr>
              <w:pStyle w:val="Nessunaspaziatura"/>
              <w:spacing w:line="276" w:lineRule="auto"/>
              <w:rPr>
                <w:sz w:val="20"/>
                <w:szCs w:val="20"/>
              </w:rPr>
            </w:pPr>
            <w:r w:rsidRPr="00774395">
              <w:rPr>
                <w:sz w:val="20"/>
                <w:szCs w:val="20"/>
              </w:rPr>
              <w:t>23.9% (89)</w:t>
            </w:r>
          </w:p>
        </w:tc>
      </w:tr>
      <w:tr w:rsidR="00D304E5" w:rsidRPr="00774395" w14:paraId="560ED3BD" w14:textId="77777777" w:rsidTr="00B7447B">
        <w:trPr>
          <w:trHeight w:val="227"/>
        </w:trPr>
        <w:tc>
          <w:tcPr>
            <w:tcW w:w="2127" w:type="dxa"/>
          </w:tcPr>
          <w:p w14:paraId="3B70F169" w14:textId="77777777" w:rsidR="00D304E5" w:rsidRPr="00774395" w:rsidRDefault="00D304E5" w:rsidP="00B7447B">
            <w:pPr>
              <w:pStyle w:val="Nessunaspaziatura"/>
              <w:spacing w:line="276" w:lineRule="auto"/>
              <w:rPr>
                <w:sz w:val="20"/>
                <w:szCs w:val="20"/>
              </w:rPr>
            </w:pPr>
          </w:p>
        </w:tc>
        <w:tc>
          <w:tcPr>
            <w:tcW w:w="1815" w:type="dxa"/>
          </w:tcPr>
          <w:p w14:paraId="76EA2C59" w14:textId="77777777" w:rsidR="00D304E5" w:rsidRPr="00774395" w:rsidRDefault="00D304E5" w:rsidP="00B7447B">
            <w:pPr>
              <w:pStyle w:val="Nessunaspaziatura"/>
              <w:spacing w:line="276" w:lineRule="auto"/>
              <w:rPr>
                <w:sz w:val="20"/>
                <w:szCs w:val="20"/>
              </w:rPr>
            </w:pPr>
            <w:r w:rsidRPr="00774395">
              <w:rPr>
                <w:sz w:val="20"/>
                <w:szCs w:val="20"/>
              </w:rPr>
              <w:t>9-10</w:t>
            </w:r>
          </w:p>
        </w:tc>
        <w:tc>
          <w:tcPr>
            <w:tcW w:w="4298" w:type="dxa"/>
          </w:tcPr>
          <w:p w14:paraId="10B43F0E" w14:textId="77777777" w:rsidR="00D304E5" w:rsidRPr="00774395" w:rsidRDefault="00D304E5" w:rsidP="00B7447B">
            <w:pPr>
              <w:pStyle w:val="Nessunaspaziatura"/>
              <w:spacing w:line="276" w:lineRule="auto"/>
              <w:rPr>
                <w:sz w:val="20"/>
                <w:szCs w:val="20"/>
              </w:rPr>
            </w:pPr>
            <w:r w:rsidRPr="00774395">
              <w:rPr>
                <w:sz w:val="20"/>
                <w:szCs w:val="20"/>
              </w:rPr>
              <w:t>9 ≤ pH &lt; 10</w:t>
            </w:r>
          </w:p>
        </w:tc>
        <w:tc>
          <w:tcPr>
            <w:tcW w:w="1398" w:type="dxa"/>
          </w:tcPr>
          <w:p w14:paraId="6DE3C523" w14:textId="75137704" w:rsidR="00D304E5" w:rsidRPr="00774395" w:rsidRDefault="00D304E5" w:rsidP="00B7447B">
            <w:pPr>
              <w:pStyle w:val="Nessunaspaziatura"/>
              <w:spacing w:line="276" w:lineRule="auto"/>
              <w:rPr>
                <w:sz w:val="20"/>
                <w:szCs w:val="20"/>
              </w:rPr>
            </w:pPr>
            <w:r w:rsidRPr="00774395">
              <w:rPr>
                <w:sz w:val="20"/>
                <w:szCs w:val="20"/>
              </w:rPr>
              <w:t>34.3% (128)</w:t>
            </w:r>
          </w:p>
        </w:tc>
      </w:tr>
      <w:tr w:rsidR="00D304E5" w:rsidRPr="00774395" w14:paraId="601E0887" w14:textId="77777777" w:rsidTr="00B7447B">
        <w:trPr>
          <w:trHeight w:val="227"/>
        </w:trPr>
        <w:tc>
          <w:tcPr>
            <w:tcW w:w="2127" w:type="dxa"/>
            <w:tcBorders>
              <w:bottom w:val="single" w:sz="4" w:space="0" w:color="auto"/>
            </w:tcBorders>
          </w:tcPr>
          <w:p w14:paraId="11DDD59A"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0658238E" w14:textId="77777777" w:rsidR="00D304E5" w:rsidRPr="00774395" w:rsidRDefault="00D304E5" w:rsidP="00B7447B">
            <w:pPr>
              <w:pStyle w:val="Nessunaspaziatura"/>
              <w:spacing w:line="276" w:lineRule="auto"/>
              <w:rPr>
                <w:sz w:val="20"/>
                <w:szCs w:val="20"/>
              </w:rPr>
            </w:pPr>
            <w:r w:rsidRPr="00774395">
              <w:rPr>
                <w:sz w:val="20"/>
                <w:szCs w:val="20"/>
              </w:rPr>
              <w:t>≥ 10</w:t>
            </w:r>
          </w:p>
        </w:tc>
        <w:tc>
          <w:tcPr>
            <w:tcW w:w="4298" w:type="dxa"/>
            <w:tcBorders>
              <w:bottom w:val="single" w:sz="4" w:space="0" w:color="auto"/>
            </w:tcBorders>
          </w:tcPr>
          <w:p w14:paraId="7E58B14F" w14:textId="77777777" w:rsidR="00D304E5" w:rsidRPr="00774395" w:rsidRDefault="00D304E5" w:rsidP="00B7447B">
            <w:pPr>
              <w:pStyle w:val="Nessunaspaziatura"/>
              <w:spacing w:line="276" w:lineRule="auto"/>
              <w:rPr>
                <w:sz w:val="20"/>
                <w:szCs w:val="20"/>
              </w:rPr>
            </w:pPr>
            <w:r w:rsidRPr="00774395">
              <w:rPr>
                <w:sz w:val="20"/>
                <w:szCs w:val="20"/>
              </w:rPr>
              <w:t>pH ≥ 10</w:t>
            </w:r>
          </w:p>
        </w:tc>
        <w:tc>
          <w:tcPr>
            <w:tcW w:w="1398" w:type="dxa"/>
            <w:tcBorders>
              <w:bottom w:val="single" w:sz="4" w:space="0" w:color="auto"/>
            </w:tcBorders>
          </w:tcPr>
          <w:p w14:paraId="2B9722C7" w14:textId="06C9DC3A" w:rsidR="00D304E5" w:rsidRPr="00774395" w:rsidRDefault="00D304E5" w:rsidP="00B7447B">
            <w:pPr>
              <w:pStyle w:val="Nessunaspaziatura"/>
              <w:spacing w:line="276" w:lineRule="auto"/>
              <w:rPr>
                <w:sz w:val="20"/>
                <w:szCs w:val="20"/>
              </w:rPr>
            </w:pPr>
            <w:r w:rsidRPr="00774395">
              <w:rPr>
                <w:sz w:val="20"/>
                <w:szCs w:val="20"/>
              </w:rPr>
              <w:t>17.2% (64)</w:t>
            </w:r>
          </w:p>
        </w:tc>
      </w:tr>
      <w:tr w:rsidR="00D304E5" w:rsidRPr="00774395" w14:paraId="2DD64140" w14:textId="77777777" w:rsidTr="00B7447B">
        <w:trPr>
          <w:trHeight w:val="227"/>
        </w:trPr>
        <w:tc>
          <w:tcPr>
            <w:tcW w:w="2127" w:type="dxa"/>
            <w:tcBorders>
              <w:top w:val="single" w:sz="4" w:space="0" w:color="auto"/>
            </w:tcBorders>
          </w:tcPr>
          <w:p w14:paraId="7B3A13E2" w14:textId="12F1908E" w:rsidR="00D304E5" w:rsidRPr="00774395" w:rsidRDefault="00A16E41" w:rsidP="00B7447B">
            <w:pPr>
              <w:pStyle w:val="Nessunaspaziatura"/>
              <w:spacing w:line="276" w:lineRule="auto"/>
              <w:rPr>
                <w:sz w:val="20"/>
                <w:szCs w:val="20"/>
              </w:rPr>
            </w:pPr>
            <w:r w:rsidRPr="00774395">
              <w:rPr>
                <w:sz w:val="20"/>
                <w:szCs w:val="20"/>
              </w:rPr>
              <w:t>T</w:t>
            </w:r>
            <w:r w:rsidR="00D304E5" w:rsidRPr="00774395">
              <w:rPr>
                <w:sz w:val="20"/>
                <w:szCs w:val="20"/>
              </w:rPr>
              <w:t>otal C [% wt]</w:t>
            </w:r>
          </w:p>
        </w:tc>
        <w:tc>
          <w:tcPr>
            <w:tcW w:w="1815" w:type="dxa"/>
            <w:tcBorders>
              <w:top w:val="single" w:sz="4" w:space="0" w:color="auto"/>
            </w:tcBorders>
          </w:tcPr>
          <w:p w14:paraId="7E19B411" w14:textId="77777777" w:rsidR="00D304E5" w:rsidRPr="00774395" w:rsidRDefault="00D304E5" w:rsidP="00B7447B">
            <w:pPr>
              <w:pStyle w:val="Nessunaspaziatura"/>
              <w:spacing w:line="276" w:lineRule="auto"/>
              <w:rPr>
                <w:sz w:val="20"/>
                <w:szCs w:val="20"/>
              </w:rPr>
            </w:pPr>
            <w:r w:rsidRPr="00774395">
              <w:rPr>
                <w:sz w:val="20"/>
                <w:szCs w:val="20"/>
              </w:rPr>
              <w:t xml:space="preserve">&lt; 50 </w:t>
            </w:r>
          </w:p>
        </w:tc>
        <w:tc>
          <w:tcPr>
            <w:tcW w:w="4298" w:type="dxa"/>
            <w:tcBorders>
              <w:top w:val="single" w:sz="4" w:space="0" w:color="auto"/>
            </w:tcBorders>
          </w:tcPr>
          <w:p w14:paraId="3B1DF0D4" w14:textId="091255A5" w:rsidR="00D304E5" w:rsidRPr="00774395" w:rsidRDefault="00A16E41" w:rsidP="00B7447B">
            <w:pPr>
              <w:pStyle w:val="Nessunaspaziatura"/>
              <w:spacing w:line="276" w:lineRule="auto"/>
              <w:rPr>
                <w:sz w:val="20"/>
                <w:szCs w:val="20"/>
              </w:rPr>
            </w:pPr>
            <w:r w:rsidRPr="00774395">
              <w:rPr>
                <w:sz w:val="20"/>
                <w:szCs w:val="20"/>
              </w:rPr>
              <w:t>T</w:t>
            </w:r>
            <w:r w:rsidR="00D304E5" w:rsidRPr="00774395">
              <w:rPr>
                <w:sz w:val="20"/>
                <w:szCs w:val="20"/>
              </w:rPr>
              <w:t>otal C &lt; 50%</w:t>
            </w:r>
          </w:p>
        </w:tc>
        <w:tc>
          <w:tcPr>
            <w:tcW w:w="1398" w:type="dxa"/>
            <w:tcBorders>
              <w:top w:val="single" w:sz="4" w:space="0" w:color="auto"/>
            </w:tcBorders>
          </w:tcPr>
          <w:p w14:paraId="06ACCA37" w14:textId="1F6C53BD" w:rsidR="00D304E5" w:rsidRPr="00774395" w:rsidRDefault="00D304E5" w:rsidP="00B7447B">
            <w:pPr>
              <w:pStyle w:val="Nessunaspaziatura"/>
              <w:spacing w:line="276" w:lineRule="auto"/>
              <w:rPr>
                <w:sz w:val="20"/>
                <w:szCs w:val="20"/>
              </w:rPr>
            </w:pPr>
            <w:r w:rsidRPr="00774395">
              <w:rPr>
                <w:sz w:val="20"/>
                <w:szCs w:val="20"/>
              </w:rPr>
              <w:t>17.7% (76)</w:t>
            </w:r>
          </w:p>
        </w:tc>
      </w:tr>
      <w:tr w:rsidR="00D304E5" w:rsidRPr="00774395" w14:paraId="678881ED" w14:textId="77777777" w:rsidTr="00B7447B">
        <w:trPr>
          <w:trHeight w:val="227"/>
        </w:trPr>
        <w:tc>
          <w:tcPr>
            <w:tcW w:w="2127" w:type="dxa"/>
          </w:tcPr>
          <w:p w14:paraId="0F92009B" w14:textId="77777777" w:rsidR="00D304E5" w:rsidRPr="00774395" w:rsidRDefault="00D304E5" w:rsidP="00B7447B">
            <w:pPr>
              <w:pStyle w:val="Nessunaspaziatura"/>
              <w:spacing w:line="276" w:lineRule="auto"/>
              <w:rPr>
                <w:sz w:val="20"/>
                <w:szCs w:val="20"/>
              </w:rPr>
            </w:pPr>
          </w:p>
        </w:tc>
        <w:tc>
          <w:tcPr>
            <w:tcW w:w="1815" w:type="dxa"/>
          </w:tcPr>
          <w:p w14:paraId="6F2DF14E" w14:textId="77777777" w:rsidR="00D304E5" w:rsidRPr="00774395" w:rsidRDefault="00D304E5" w:rsidP="00B7447B">
            <w:pPr>
              <w:pStyle w:val="Nessunaspaziatura"/>
              <w:spacing w:line="276" w:lineRule="auto"/>
              <w:rPr>
                <w:sz w:val="20"/>
                <w:szCs w:val="20"/>
              </w:rPr>
            </w:pPr>
            <w:r w:rsidRPr="00774395">
              <w:rPr>
                <w:sz w:val="20"/>
                <w:szCs w:val="20"/>
              </w:rPr>
              <w:t>50-70</w:t>
            </w:r>
          </w:p>
        </w:tc>
        <w:tc>
          <w:tcPr>
            <w:tcW w:w="4298" w:type="dxa"/>
          </w:tcPr>
          <w:p w14:paraId="508F239D" w14:textId="261F7C20" w:rsidR="00D304E5" w:rsidRPr="00774395" w:rsidRDefault="00D304E5" w:rsidP="00B7447B">
            <w:pPr>
              <w:pStyle w:val="Nessunaspaziatura"/>
              <w:spacing w:line="276" w:lineRule="auto"/>
              <w:rPr>
                <w:sz w:val="20"/>
                <w:szCs w:val="20"/>
              </w:rPr>
            </w:pPr>
            <w:r w:rsidRPr="00774395">
              <w:rPr>
                <w:sz w:val="20"/>
                <w:szCs w:val="20"/>
              </w:rPr>
              <w:t>50% ≤ total C &lt; 70%</w:t>
            </w:r>
          </w:p>
        </w:tc>
        <w:tc>
          <w:tcPr>
            <w:tcW w:w="1398" w:type="dxa"/>
          </w:tcPr>
          <w:p w14:paraId="1E5615A1" w14:textId="20E99A17" w:rsidR="00D304E5" w:rsidRPr="00774395" w:rsidRDefault="00D304E5" w:rsidP="00B7447B">
            <w:pPr>
              <w:pStyle w:val="Nessunaspaziatura"/>
              <w:spacing w:line="276" w:lineRule="auto"/>
              <w:rPr>
                <w:sz w:val="20"/>
                <w:szCs w:val="20"/>
              </w:rPr>
            </w:pPr>
            <w:r w:rsidRPr="00774395">
              <w:rPr>
                <w:sz w:val="20"/>
                <w:szCs w:val="20"/>
              </w:rPr>
              <w:t>29.1% (125)</w:t>
            </w:r>
          </w:p>
        </w:tc>
      </w:tr>
      <w:tr w:rsidR="00D304E5" w:rsidRPr="00774395" w14:paraId="6D228C23" w14:textId="77777777" w:rsidTr="00B7447B">
        <w:trPr>
          <w:trHeight w:val="227"/>
        </w:trPr>
        <w:tc>
          <w:tcPr>
            <w:tcW w:w="2127" w:type="dxa"/>
          </w:tcPr>
          <w:p w14:paraId="7AED4307" w14:textId="77777777" w:rsidR="00D304E5" w:rsidRPr="00774395" w:rsidRDefault="00D304E5" w:rsidP="00B7447B">
            <w:pPr>
              <w:pStyle w:val="Nessunaspaziatura"/>
              <w:spacing w:line="276" w:lineRule="auto"/>
              <w:rPr>
                <w:sz w:val="20"/>
                <w:szCs w:val="20"/>
              </w:rPr>
            </w:pPr>
          </w:p>
        </w:tc>
        <w:tc>
          <w:tcPr>
            <w:tcW w:w="1815" w:type="dxa"/>
          </w:tcPr>
          <w:p w14:paraId="7B314CE4" w14:textId="77777777" w:rsidR="00D304E5" w:rsidRPr="00774395" w:rsidRDefault="00D304E5" w:rsidP="00B7447B">
            <w:pPr>
              <w:pStyle w:val="Nessunaspaziatura"/>
              <w:spacing w:line="276" w:lineRule="auto"/>
              <w:rPr>
                <w:sz w:val="20"/>
                <w:szCs w:val="20"/>
              </w:rPr>
            </w:pPr>
            <w:r w:rsidRPr="00774395">
              <w:rPr>
                <w:sz w:val="20"/>
                <w:szCs w:val="20"/>
              </w:rPr>
              <w:t>70-80</w:t>
            </w:r>
          </w:p>
        </w:tc>
        <w:tc>
          <w:tcPr>
            <w:tcW w:w="4298" w:type="dxa"/>
          </w:tcPr>
          <w:p w14:paraId="2D5FAFA7" w14:textId="0A4DB06D" w:rsidR="00D304E5" w:rsidRPr="00774395" w:rsidRDefault="00D304E5" w:rsidP="00B7447B">
            <w:pPr>
              <w:pStyle w:val="Nessunaspaziatura"/>
              <w:spacing w:line="276" w:lineRule="auto"/>
              <w:rPr>
                <w:sz w:val="20"/>
                <w:szCs w:val="20"/>
              </w:rPr>
            </w:pPr>
            <w:r w:rsidRPr="00774395">
              <w:rPr>
                <w:sz w:val="20"/>
                <w:szCs w:val="20"/>
              </w:rPr>
              <w:t>70% ≤ total C &lt; 80%</w:t>
            </w:r>
          </w:p>
        </w:tc>
        <w:tc>
          <w:tcPr>
            <w:tcW w:w="1398" w:type="dxa"/>
          </w:tcPr>
          <w:p w14:paraId="4AE27801" w14:textId="6175EBA9" w:rsidR="00D304E5" w:rsidRPr="00774395" w:rsidRDefault="00D304E5" w:rsidP="00B7447B">
            <w:pPr>
              <w:pStyle w:val="Nessunaspaziatura"/>
              <w:spacing w:line="276" w:lineRule="auto"/>
              <w:rPr>
                <w:sz w:val="20"/>
                <w:szCs w:val="20"/>
              </w:rPr>
            </w:pPr>
            <w:r w:rsidRPr="00774395">
              <w:rPr>
                <w:sz w:val="20"/>
                <w:szCs w:val="20"/>
              </w:rPr>
              <w:t>26.3% (113)</w:t>
            </w:r>
          </w:p>
        </w:tc>
      </w:tr>
      <w:tr w:rsidR="00D304E5" w:rsidRPr="00774395" w14:paraId="707D4969" w14:textId="77777777" w:rsidTr="00B7447B">
        <w:trPr>
          <w:trHeight w:val="227"/>
        </w:trPr>
        <w:tc>
          <w:tcPr>
            <w:tcW w:w="2127" w:type="dxa"/>
            <w:tcBorders>
              <w:bottom w:val="single" w:sz="4" w:space="0" w:color="auto"/>
            </w:tcBorders>
          </w:tcPr>
          <w:p w14:paraId="61670962"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48DFD961" w14:textId="77777777" w:rsidR="00D304E5" w:rsidRPr="00774395" w:rsidRDefault="00D304E5" w:rsidP="00B7447B">
            <w:pPr>
              <w:pStyle w:val="Nessunaspaziatura"/>
              <w:spacing w:line="276" w:lineRule="auto"/>
              <w:rPr>
                <w:sz w:val="20"/>
                <w:szCs w:val="20"/>
              </w:rPr>
            </w:pPr>
            <w:r w:rsidRPr="00774395">
              <w:rPr>
                <w:sz w:val="20"/>
                <w:szCs w:val="20"/>
              </w:rPr>
              <w:t>≥ 80</w:t>
            </w:r>
          </w:p>
        </w:tc>
        <w:tc>
          <w:tcPr>
            <w:tcW w:w="4298" w:type="dxa"/>
            <w:tcBorders>
              <w:bottom w:val="single" w:sz="4" w:space="0" w:color="auto"/>
            </w:tcBorders>
          </w:tcPr>
          <w:p w14:paraId="4EA343D7" w14:textId="03DE96BA" w:rsidR="00D304E5" w:rsidRPr="00774395" w:rsidRDefault="00A16E41" w:rsidP="00B7447B">
            <w:pPr>
              <w:pStyle w:val="Nessunaspaziatura"/>
              <w:spacing w:line="276" w:lineRule="auto"/>
              <w:rPr>
                <w:sz w:val="20"/>
                <w:szCs w:val="20"/>
              </w:rPr>
            </w:pPr>
            <w:r w:rsidRPr="00774395">
              <w:rPr>
                <w:sz w:val="20"/>
                <w:szCs w:val="20"/>
              </w:rPr>
              <w:t>T</w:t>
            </w:r>
            <w:r w:rsidR="00D304E5" w:rsidRPr="00774395">
              <w:rPr>
                <w:sz w:val="20"/>
                <w:szCs w:val="20"/>
              </w:rPr>
              <w:t>otal C ≥ 80%</w:t>
            </w:r>
          </w:p>
        </w:tc>
        <w:tc>
          <w:tcPr>
            <w:tcW w:w="1398" w:type="dxa"/>
            <w:tcBorders>
              <w:bottom w:val="single" w:sz="4" w:space="0" w:color="auto"/>
            </w:tcBorders>
          </w:tcPr>
          <w:p w14:paraId="686E74A2" w14:textId="0D49195E" w:rsidR="00D304E5" w:rsidRPr="00774395" w:rsidRDefault="00D304E5" w:rsidP="00B7447B">
            <w:pPr>
              <w:pStyle w:val="Nessunaspaziatura"/>
              <w:spacing w:line="276" w:lineRule="auto"/>
              <w:rPr>
                <w:sz w:val="20"/>
                <w:szCs w:val="20"/>
              </w:rPr>
            </w:pPr>
            <w:r w:rsidRPr="00774395">
              <w:rPr>
                <w:sz w:val="20"/>
                <w:szCs w:val="20"/>
              </w:rPr>
              <w:t>26.8% (215)</w:t>
            </w:r>
          </w:p>
        </w:tc>
      </w:tr>
      <w:tr w:rsidR="00D304E5" w:rsidRPr="00774395" w14:paraId="758B502C" w14:textId="77777777" w:rsidTr="00B7447B">
        <w:trPr>
          <w:trHeight w:val="227"/>
        </w:trPr>
        <w:tc>
          <w:tcPr>
            <w:tcW w:w="2127" w:type="dxa"/>
            <w:tcBorders>
              <w:top w:val="single" w:sz="4" w:space="0" w:color="auto"/>
            </w:tcBorders>
          </w:tcPr>
          <w:p w14:paraId="117623D4" w14:textId="77777777" w:rsidR="00D304E5" w:rsidRPr="00774395" w:rsidRDefault="00D304E5" w:rsidP="00B7447B">
            <w:pPr>
              <w:pStyle w:val="Nessunaspaziatura"/>
              <w:spacing w:line="276" w:lineRule="auto"/>
              <w:rPr>
                <w:sz w:val="20"/>
                <w:szCs w:val="20"/>
              </w:rPr>
            </w:pPr>
            <w:r w:rsidRPr="00774395">
              <w:rPr>
                <w:sz w:val="20"/>
                <w:szCs w:val="20"/>
              </w:rPr>
              <w:t>H [% wt]</w:t>
            </w:r>
          </w:p>
        </w:tc>
        <w:tc>
          <w:tcPr>
            <w:tcW w:w="1815" w:type="dxa"/>
            <w:tcBorders>
              <w:top w:val="single" w:sz="4" w:space="0" w:color="auto"/>
            </w:tcBorders>
          </w:tcPr>
          <w:p w14:paraId="7C493808" w14:textId="77777777" w:rsidR="00D304E5" w:rsidRPr="00774395" w:rsidRDefault="00D304E5" w:rsidP="00B7447B">
            <w:pPr>
              <w:pStyle w:val="Nessunaspaziatura"/>
              <w:spacing w:line="276" w:lineRule="auto"/>
              <w:rPr>
                <w:sz w:val="20"/>
                <w:szCs w:val="20"/>
              </w:rPr>
            </w:pPr>
            <w:r w:rsidRPr="00774395">
              <w:rPr>
                <w:sz w:val="20"/>
                <w:szCs w:val="20"/>
              </w:rPr>
              <w:t xml:space="preserve">&lt; 1 </w:t>
            </w:r>
          </w:p>
        </w:tc>
        <w:tc>
          <w:tcPr>
            <w:tcW w:w="4298" w:type="dxa"/>
            <w:tcBorders>
              <w:top w:val="single" w:sz="4" w:space="0" w:color="auto"/>
            </w:tcBorders>
          </w:tcPr>
          <w:p w14:paraId="1FF777B4" w14:textId="77777777" w:rsidR="00D304E5" w:rsidRPr="00774395" w:rsidRDefault="00D304E5" w:rsidP="00B7447B">
            <w:pPr>
              <w:pStyle w:val="Nessunaspaziatura"/>
              <w:spacing w:line="276" w:lineRule="auto"/>
              <w:rPr>
                <w:sz w:val="20"/>
                <w:szCs w:val="20"/>
              </w:rPr>
            </w:pPr>
            <w:r w:rsidRPr="00774395">
              <w:rPr>
                <w:sz w:val="20"/>
                <w:szCs w:val="20"/>
              </w:rPr>
              <w:t>H content &lt; 1 %</w:t>
            </w:r>
          </w:p>
        </w:tc>
        <w:tc>
          <w:tcPr>
            <w:tcW w:w="1398" w:type="dxa"/>
            <w:tcBorders>
              <w:top w:val="single" w:sz="4" w:space="0" w:color="auto"/>
            </w:tcBorders>
          </w:tcPr>
          <w:p w14:paraId="73B80456" w14:textId="485EDCAD" w:rsidR="00D304E5" w:rsidRPr="00774395" w:rsidRDefault="00D304E5" w:rsidP="00B7447B">
            <w:pPr>
              <w:pStyle w:val="Nessunaspaziatura"/>
              <w:spacing w:line="276" w:lineRule="auto"/>
              <w:rPr>
                <w:sz w:val="20"/>
                <w:szCs w:val="20"/>
                <w:lang w:val="it-IT"/>
              </w:rPr>
            </w:pPr>
            <w:r w:rsidRPr="00774395">
              <w:rPr>
                <w:sz w:val="20"/>
                <w:szCs w:val="20"/>
              </w:rPr>
              <w:t>23.5% (81)</w:t>
            </w:r>
          </w:p>
        </w:tc>
      </w:tr>
      <w:tr w:rsidR="00D304E5" w:rsidRPr="00774395" w14:paraId="7524B073" w14:textId="77777777" w:rsidTr="00B7447B">
        <w:trPr>
          <w:trHeight w:val="227"/>
        </w:trPr>
        <w:tc>
          <w:tcPr>
            <w:tcW w:w="2127" w:type="dxa"/>
          </w:tcPr>
          <w:p w14:paraId="7C8FAEC7" w14:textId="77777777" w:rsidR="00D304E5" w:rsidRPr="00774395" w:rsidRDefault="00D304E5" w:rsidP="00B7447B">
            <w:pPr>
              <w:pStyle w:val="Nessunaspaziatura"/>
              <w:spacing w:line="276" w:lineRule="auto"/>
              <w:rPr>
                <w:sz w:val="20"/>
                <w:szCs w:val="20"/>
              </w:rPr>
            </w:pPr>
          </w:p>
        </w:tc>
        <w:tc>
          <w:tcPr>
            <w:tcW w:w="1815" w:type="dxa"/>
          </w:tcPr>
          <w:p w14:paraId="2F30FFCE" w14:textId="77777777" w:rsidR="00D304E5" w:rsidRPr="00774395" w:rsidRDefault="00D304E5" w:rsidP="00B7447B">
            <w:pPr>
              <w:pStyle w:val="Nessunaspaziatura"/>
              <w:spacing w:line="276" w:lineRule="auto"/>
              <w:rPr>
                <w:sz w:val="20"/>
                <w:szCs w:val="20"/>
              </w:rPr>
            </w:pPr>
            <w:r w:rsidRPr="00774395">
              <w:rPr>
                <w:sz w:val="20"/>
                <w:szCs w:val="20"/>
              </w:rPr>
              <w:t>1-2</w:t>
            </w:r>
          </w:p>
        </w:tc>
        <w:tc>
          <w:tcPr>
            <w:tcW w:w="4298" w:type="dxa"/>
          </w:tcPr>
          <w:p w14:paraId="05D250E4" w14:textId="38E6B758" w:rsidR="00D304E5" w:rsidRPr="00774395" w:rsidRDefault="00D304E5" w:rsidP="00B7447B">
            <w:pPr>
              <w:pStyle w:val="Nessunaspaziatura"/>
              <w:spacing w:line="276" w:lineRule="auto"/>
              <w:rPr>
                <w:sz w:val="20"/>
                <w:szCs w:val="20"/>
              </w:rPr>
            </w:pPr>
            <w:r w:rsidRPr="00774395">
              <w:rPr>
                <w:sz w:val="20"/>
                <w:szCs w:val="20"/>
              </w:rPr>
              <w:t>1% ≤ H content &lt; 2%</w:t>
            </w:r>
          </w:p>
        </w:tc>
        <w:tc>
          <w:tcPr>
            <w:tcW w:w="1398" w:type="dxa"/>
          </w:tcPr>
          <w:p w14:paraId="7075E024" w14:textId="06146F88" w:rsidR="00D304E5" w:rsidRPr="00774395" w:rsidRDefault="00D304E5" w:rsidP="00B7447B">
            <w:pPr>
              <w:pStyle w:val="Nessunaspaziatura"/>
              <w:spacing w:line="276" w:lineRule="auto"/>
              <w:rPr>
                <w:sz w:val="20"/>
                <w:szCs w:val="20"/>
                <w:lang w:val="it-IT"/>
              </w:rPr>
            </w:pPr>
            <w:r w:rsidRPr="00774395">
              <w:rPr>
                <w:sz w:val="20"/>
                <w:szCs w:val="20"/>
              </w:rPr>
              <w:t>21.2% (73)</w:t>
            </w:r>
          </w:p>
        </w:tc>
      </w:tr>
      <w:tr w:rsidR="00D304E5" w:rsidRPr="00774395" w14:paraId="1B17F83F" w14:textId="77777777" w:rsidTr="00B7447B">
        <w:trPr>
          <w:trHeight w:val="227"/>
        </w:trPr>
        <w:tc>
          <w:tcPr>
            <w:tcW w:w="2127" w:type="dxa"/>
          </w:tcPr>
          <w:p w14:paraId="1B9210DC" w14:textId="77777777" w:rsidR="00D304E5" w:rsidRPr="00774395" w:rsidRDefault="00D304E5" w:rsidP="00B7447B">
            <w:pPr>
              <w:pStyle w:val="Nessunaspaziatura"/>
              <w:spacing w:line="276" w:lineRule="auto"/>
              <w:rPr>
                <w:sz w:val="20"/>
                <w:szCs w:val="20"/>
              </w:rPr>
            </w:pPr>
          </w:p>
        </w:tc>
        <w:tc>
          <w:tcPr>
            <w:tcW w:w="1815" w:type="dxa"/>
          </w:tcPr>
          <w:p w14:paraId="4D9D7CBF" w14:textId="77777777" w:rsidR="00D304E5" w:rsidRPr="00774395" w:rsidRDefault="00D304E5" w:rsidP="00B7447B">
            <w:pPr>
              <w:pStyle w:val="Nessunaspaziatura"/>
              <w:spacing w:line="276" w:lineRule="auto"/>
              <w:rPr>
                <w:sz w:val="20"/>
                <w:szCs w:val="20"/>
              </w:rPr>
            </w:pPr>
            <w:r w:rsidRPr="00774395">
              <w:rPr>
                <w:sz w:val="20"/>
                <w:szCs w:val="20"/>
              </w:rPr>
              <w:t>2-3</w:t>
            </w:r>
          </w:p>
        </w:tc>
        <w:tc>
          <w:tcPr>
            <w:tcW w:w="4298" w:type="dxa"/>
          </w:tcPr>
          <w:p w14:paraId="2DC78766" w14:textId="0D512D75" w:rsidR="00D304E5" w:rsidRPr="00774395" w:rsidRDefault="00D304E5" w:rsidP="00B7447B">
            <w:pPr>
              <w:pStyle w:val="Nessunaspaziatura"/>
              <w:spacing w:line="276" w:lineRule="auto"/>
              <w:rPr>
                <w:sz w:val="20"/>
                <w:szCs w:val="20"/>
              </w:rPr>
            </w:pPr>
            <w:r w:rsidRPr="00774395">
              <w:rPr>
                <w:sz w:val="20"/>
                <w:szCs w:val="20"/>
              </w:rPr>
              <w:t>2% ≤ H content &lt; 3%</w:t>
            </w:r>
          </w:p>
        </w:tc>
        <w:tc>
          <w:tcPr>
            <w:tcW w:w="1398" w:type="dxa"/>
          </w:tcPr>
          <w:p w14:paraId="5AA22FFE" w14:textId="7E49920E" w:rsidR="00D304E5" w:rsidRPr="00774395" w:rsidRDefault="00D304E5" w:rsidP="00B7447B">
            <w:pPr>
              <w:pStyle w:val="Nessunaspaziatura"/>
              <w:spacing w:line="276" w:lineRule="auto"/>
              <w:rPr>
                <w:sz w:val="20"/>
                <w:szCs w:val="20"/>
                <w:lang w:val="it-IT"/>
              </w:rPr>
            </w:pPr>
            <w:r w:rsidRPr="00774395">
              <w:rPr>
                <w:sz w:val="20"/>
                <w:szCs w:val="20"/>
              </w:rPr>
              <w:t>20.3% (70)</w:t>
            </w:r>
          </w:p>
        </w:tc>
      </w:tr>
      <w:tr w:rsidR="00D304E5" w:rsidRPr="00774395" w14:paraId="16E96426" w14:textId="77777777" w:rsidTr="00B7447B">
        <w:trPr>
          <w:trHeight w:val="227"/>
        </w:trPr>
        <w:tc>
          <w:tcPr>
            <w:tcW w:w="2127" w:type="dxa"/>
          </w:tcPr>
          <w:p w14:paraId="019B3B9E" w14:textId="77777777" w:rsidR="00D304E5" w:rsidRPr="00774395" w:rsidRDefault="00D304E5" w:rsidP="00B7447B">
            <w:pPr>
              <w:pStyle w:val="Nessunaspaziatura"/>
              <w:spacing w:line="276" w:lineRule="auto"/>
              <w:rPr>
                <w:sz w:val="20"/>
                <w:szCs w:val="20"/>
              </w:rPr>
            </w:pPr>
          </w:p>
        </w:tc>
        <w:tc>
          <w:tcPr>
            <w:tcW w:w="1815" w:type="dxa"/>
          </w:tcPr>
          <w:p w14:paraId="3B4ACEC0" w14:textId="77777777" w:rsidR="00D304E5" w:rsidRPr="00774395" w:rsidRDefault="00D304E5" w:rsidP="00B7447B">
            <w:pPr>
              <w:pStyle w:val="Nessunaspaziatura"/>
              <w:spacing w:line="276" w:lineRule="auto"/>
              <w:rPr>
                <w:sz w:val="20"/>
                <w:szCs w:val="20"/>
              </w:rPr>
            </w:pPr>
            <w:r w:rsidRPr="00774395">
              <w:rPr>
                <w:sz w:val="20"/>
                <w:szCs w:val="20"/>
              </w:rPr>
              <w:t>3-4</w:t>
            </w:r>
          </w:p>
        </w:tc>
        <w:tc>
          <w:tcPr>
            <w:tcW w:w="4298" w:type="dxa"/>
          </w:tcPr>
          <w:p w14:paraId="3FEA77FD" w14:textId="1222B34A" w:rsidR="00D304E5" w:rsidRPr="00774395" w:rsidRDefault="00D304E5" w:rsidP="00B7447B">
            <w:pPr>
              <w:pStyle w:val="Nessunaspaziatura"/>
              <w:spacing w:line="276" w:lineRule="auto"/>
              <w:rPr>
                <w:sz w:val="20"/>
                <w:szCs w:val="20"/>
              </w:rPr>
            </w:pPr>
            <w:r w:rsidRPr="00774395">
              <w:rPr>
                <w:sz w:val="20"/>
                <w:szCs w:val="20"/>
              </w:rPr>
              <w:t>3% ≤ H content &lt; 4%</w:t>
            </w:r>
          </w:p>
        </w:tc>
        <w:tc>
          <w:tcPr>
            <w:tcW w:w="1398" w:type="dxa"/>
          </w:tcPr>
          <w:p w14:paraId="2109FADB" w14:textId="5844E477" w:rsidR="00D304E5" w:rsidRPr="00774395" w:rsidRDefault="00D304E5" w:rsidP="00B7447B">
            <w:pPr>
              <w:pStyle w:val="Nessunaspaziatura"/>
              <w:spacing w:line="276" w:lineRule="auto"/>
              <w:rPr>
                <w:sz w:val="20"/>
                <w:szCs w:val="20"/>
                <w:lang w:val="it-IT"/>
              </w:rPr>
            </w:pPr>
            <w:r w:rsidRPr="00774395">
              <w:rPr>
                <w:sz w:val="20"/>
                <w:szCs w:val="20"/>
              </w:rPr>
              <w:t>13.9% (48)</w:t>
            </w:r>
          </w:p>
        </w:tc>
      </w:tr>
      <w:tr w:rsidR="00D304E5" w:rsidRPr="00774395" w14:paraId="5E51E11D" w14:textId="77777777" w:rsidTr="00B7447B">
        <w:trPr>
          <w:trHeight w:val="227"/>
        </w:trPr>
        <w:tc>
          <w:tcPr>
            <w:tcW w:w="2127" w:type="dxa"/>
            <w:tcBorders>
              <w:bottom w:val="single" w:sz="4" w:space="0" w:color="auto"/>
            </w:tcBorders>
          </w:tcPr>
          <w:p w14:paraId="12B3CF50"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1724EACF" w14:textId="77777777" w:rsidR="00D304E5" w:rsidRPr="00774395" w:rsidRDefault="00D304E5" w:rsidP="00B7447B">
            <w:pPr>
              <w:pStyle w:val="Nessunaspaziatura"/>
              <w:spacing w:line="276" w:lineRule="auto"/>
              <w:rPr>
                <w:sz w:val="20"/>
                <w:szCs w:val="20"/>
              </w:rPr>
            </w:pPr>
            <w:r w:rsidRPr="00774395">
              <w:rPr>
                <w:sz w:val="20"/>
                <w:szCs w:val="20"/>
              </w:rPr>
              <w:t>≥ 4</w:t>
            </w:r>
          </w:p>
        </w:tc>
        <w:tc>
          <w:tcPr>
            <w:tcW w:w="4298" w:type="dxa"/>
            <w:tcBorders>
              <w:bottom w:val="single" w:sz="4" w:space="0" w:color="auto"/>
            </w:tcBorders>
          </w:tcPr>
          <w:p w14:paraId="7E50CA42" w14:textId="65FD871D" w:rsidR="00D304E5" w:rsidRPr="00774395" w:rsidRDefault="00D304E5" w:rsidP="00B7447B">
            <w:pPr>
              <w:pStyle w:val="Nessunaspaziatura"/>
              <w:spacing w:line="276" w:lineRule="auto"/>
              <w:rPr>
                <w:sz w:val="20"/>
                <w:szCs w:val="20"/>
              </w:rPr>
            </w:pPr>
            <w:r w:rsidRPr="00774395">
              <w:rPr>
                <w:sz w:val="20"/>
                <w:szCs w:val="20"/>
              </w:rPr>
              <w:t>H content ≥ 4%</w:t>
            </w:r>
          </w:p>
        </w:tc>
        <w:tc>
          <w:tcPr>
            <w:tcW w:w="1398" w:type="dxa"/>
            <w:tcBorders>
              <w:bottom w:val="single" w:sz="4" w:space="0" w:color="auto"/>
            </w:tcBorders>
          </w:tcPr>
          <w:p w14:paraId="7C6C359E" w14:textId="4A35543A" w:rsidR="00D304E5" w:rsidRPr="00774395" w:rsidRDefault="00D304E5" w:rsidP="00B7447B">
            <w:pPr>
              <w:pStyle w:val="Nessunaspaziatura"/>
              <w:spacing w:line="276" w:lineRule="auto"/>
              <w:rPr>
                <w:sz w:val="20"/>
                <w:szCs w:val="20"/>
                <w:lang w:val="it-IT"/>
              </w:rPr>
            </w:pPr>
            <w:r w:rsidRPr="00774395">
              <w:rPr>
                <w:sz w:val="20"/>
                <w:szCs w:val="20"/>
              </w:rPr>
              <w:t>21.2% (73)</w:t>
            </w:r>
          </w:p>
        </w:tc>
      </w:tr>
      <w:tr w:rsidR="00D304E5" w:rsidRPr="00774395" w14:paraId="3FD4BDC9" w14:textId="77777777" w:rsidTr="00B7447B">
        <w:trPr>
          <w:trHeight w:val="227"/>
        </w:trPr>
        <w:tc>
          <w:tcPr>
            <w:tcW w:w="2127" w:type="dxa"/>
            <w:tcBorders>
              <w:top w:val="single" w:sz="4" w:space="0" w:color="auto"/>
            </w:tcBorders>
          </w:tcPr>
          <w:p w14:paraId="0635F2F9" w14:textId="77777777" w:rsidR="00D304E5" w:rsidRPr="00774395" w:rsidRDefault="00D304E5" w:rsidP="00B7447B">
            <w:pPr>
              <w:pStyle w:val="Nessunaspaziatura"/>
              <w:spacing w:line="276" w:lineRule="auto"/>
              <w:rPr>
                <w:sz w:val="20"/>
                <w:szCs w:val="20"/>
              </w:rPr>
            </w:pPr>
            <w:r w:rsidRPr="00774395">
              <w:rPr>
                <w:sz w:val="20"/>
                <w:szCs w:val="20"/>
              </w:rPr>
              <w:t>O [% wt]</w:t>
            </w:r>
          </w:p>
        </w:tc>
        <w:tc>
          <w:tcPr>
            <w:tcW w:w="1815" w:type="dxa"/>
            <w:tcBorders>
              <w:top w:val="single" w:sz="4" w:space="0" w:color="auto"/>
            </w:tcBorders>
          </w:tcPr>
          <w:p w14:paraId="5EB70156" w14:textId="77777777" w:rsidR="00D304E5" w:rsidRPr="00774395" w:rsidRDefault="00D304E5" w:rsidP="00B7447B">
            <w:pPr>
              <w:pStyle w:val="Nessunaspaziatura"/>
              <w:spacing w:line="276" w:lineRule="auto"/>
              <w:rPr>
                <w:sz w:val="20"/>
                <w:szCs w:val="20"/>
              </w:rPr>
            </w:pPr>
            <w:r w:rsidRPr="00774395">
              <w:rPr>
                <w:sz w:val="20"/>
                <w:szCs w:val="20"/>
              </w:rPr>
              <w:t>&lt; 5</w:t>
            </w:r>
          </w:p>
        </w:tc>
        <w:tc>
          <w:tcPr>
            <w:tcW w:w="4298" w:type="dxa"/>
            <w:tcBorders>
              <w:top w:val="single" w:sz="4" w:space="0" w:color="auto"/>
            </w:tcBorders>
          </w:tcPr>
          <w:p w14:paraId="2DBB3A01" w14:textId="7AED1619" w:rsidR="00D304E5" w:rsidRPr="00774395" w:rsidRDefault="00D304E5" w:rsidP="00B7447B">
            <w:pPr>
              <w:pStyle w:val="Nessunaspaziatura"/>
              <w:spacing w:line="276" w:lineRule="auto"/>
              <w:rPr>
                <w:sz w:val="20"/>
                <w:szCs w:val="20"/>
              </w:rPr>
            </w:pPr>
            <w:r w:rsidRPr="00774395">
              <w:rPr>
                <w:sz w:val="20"/>
                <w:szCs w:val="20"/>
              </w:rPr>
              <w:t>O content &lt; 5%</w:t>
            </w:r>
          </w:p>
        </w:tc>
        <w:tc>
          <w:tcPr>
            <w:tcW w:w="1398" w:type="dxa"/>
            <w:tcBorders>
              <w:top w:val="single" w:sz="4" w:space="0" w:color="auto"/>
            </w:tcBorders>
          </w:tcPr>
          <w:p w14:paraId="02ACF236" w14:textId="7475C5E6" w:rsidR="00D304E5" w:rsidRPr="00774395" w:rsidRDefault="00D304E5" w:rsidP="00B7447B">
            <w:pPr>
              <w:pStyle w:val="Nessunaspaziatura"/>
              <w:spacing w:line="276" w:lineRule="auto"/>
              <w:rPr>
                <w:sz w:val="20"/>
                <w:szCs w:val="20"/>
              </w:rPr>
            </w:pPr>
            <w:r w:rsidRPr="00774395">
              <w:rPr>
                <w:sz w:val="20"/>
                <w:szCs w:val="20"/>
              </w:rPr>
              <w:t>12.0% (42)</w:t>
            </w:r>
          </w:p>
        </w:tc>
      </w:tr>
      <w:tr w:rsidR="00D304E5" w:rsidRPr="00774395" w14:paraId="1B6FBB9F" w14:textId="77777777" w:rsidTr="00B7447B">
        <w:trPr>
          <w:trHeight w:val="227"/>
        </w:trPr>
        <w:tc>
          <w:tcPr>
            <w:tcW w:w="2127" w:type="dxa"/>
          </w:tcPr>
          <w:p w14:paraId="5F819C64" w14:textId="77777777" w:rsidR="00D304E5" w:rsidRPr="00774395" w:rsidRDefault="00D304E5" w:rsidP="00B7447B">
            <w:pPr>
              <w:pStyle w:val="Nessunaspaziatura"/>
              <w:spacing w:line="276" w:lineRule="auto"/>
              <w:rPr>
                <w:sz w:val="20"/>
                <w:szCs w:val="20"/>
              </w:rPr>
            </w:pPr>
          </w:p>
        </w:tc>
        <w:tc>
          <w:tcPr>
            <w:tcW w:w="1815" w:type="dxa"/>
          </w:tcPr>
          <w:p w14:paraId="0A59870B" w14:textId="77777777" w:rsidR="00D304E5" w:rsidRPr="00774395" w:rsidRDefault="00D304E5" w:rsidP="00B7447B">
            <w:pPr>
              <w:pStyle w:val="Nessunaspaziatura"/>
              <w:spacing w:line="276" w:lineRule="auto"/>
              <w:rPr>
                <w:sz w:val="20"/>
                <w:szCs w:val="20"/>
              </w:rPr>
            </w:pPr>
            <w:r w:rsidRPr="00774395">
              <w:rPr>
                <w:sz w:val="20"/>
                <w:szCs w:val="20"/>
              </w:rPr>
              <w:t>5-10</w:t>
            </w:r>
          </w:p>
        </w:tc>
        <w:tc>
          <w:tcPr>
            <w:tcW w:w="4298" w:type="dxa"/>
          </w:tcPr>
          <w:p w14:paraId="279E54E3" w14:textId="6323616E" w:rsidR="00D304E5" w:rsidRPr="00774395" w:rsidRDefault="00D304E5" w:rsidP="00B7447B">
            <w:pPr>
              <w:pStyle w:val="Nessunaspaziatura"/>
              <w:spacing w:line="276" w:lineRule="auto"/>
              <w:rPr>
                <w:sz w:val="20"/>
                <w:szCs w:val="20"/>
              </w:rPr>
            </w:pPr>
            <w:r w:rsidRPr="00774395">
              <w:rPr>
                <w:sz w:val="20"/>
                <w:szCs w:val="20"/>
              </w:rPr>
              <w:t>5% ≤ O content &lt; 10%</w:t>
            </w:r>
          </w:p>
        </w:tc>
        <w:tc>
          <w:tcPr>
            <w:tcW w:w="1398" w:type="dxa"/>
          </w:tcPr>
          <w:p w14:paraId="002B6288" w14:textId="5F5DB0FF" w:rsidR="00D304E5" w:rsidRPr="00774395" w:rsidRDefault="00D304E5" w:rsidP="00B7447B">
            <w:pPr>
              <w:pStyle w:val="Nessunaspaziatura"/>
              <w:spacing w:line="276" w:lineRule="auto"/>
              <w:rPr>
                <w:sz w:val="20"/>
                <w:szCs w:val="20"/>
              </w:rPr>
            </w:pPr>
            <w:r w:rsidRPr="00774395">
              <w:rPr>
                <w:sz w:val="20"/>
                <w:szCs w:val="20"/>
              </w:rPr>
              <w:t>17.7% (62)</w:t>
            </w:r>
          </w:p>
        </w:tc>
      </w:tr>
      <w:tr w:rsidR="00D304E5" w:rsidRPr="00774395" w14:paraId="14F52900" w14:textId="77777777" w:rsidTr="00B7447B">
        <w:trPr>
          <w:trHeight w:val="227"/>
        </w:trPr>
        <w:tc>
          <w:tcPr>
            <w:tcW w:w="2127" w:type="dxa"/>
          </w:tcPr>
          <w:p w14:paraId="287D8FCB" w14:textId="77777777" w:rsidR="00D304E5" w:rsidRPr="00774395" w:rsidRDefault="00D304E5" w:rsidP="00B7447B">
            <w:pPr>
              <w:pStyle w:val="Nessunaspaziatura"/>
              <w:spacing w:line="276" w:lineRule="auto"/>
              <w:rPr>
                <w:sz w:val="20"/>
                <w:szCs w:val="20"/>
              </w:rPr>
            </w:pPr>
          </w:p>
        </w:tc>
        <w:tc>
          <w:tcPr>
            <w:tcW w:w="1815" w:type="dxa"/>
          </w:tcPr>
          <w:p w14:paraId="7402161E" w14:textId="77777777" w:rsidR="00D304E5" w:rsidRPr="00774395" w:rsidRDefault="00D304E5" w:rsidP="00B7447B">
            <w:pPr>
              <w:pStyle w:val="Nessunaspaziatura"/>
              <w:spacing w:line="276" w:lineRule="auto"/>
              <w:rPr>
                <w:sz w:val="20"/>
                <w:szCs w:val="20"/>
              </w:rPr>
            </w:pPr>
            <w:r w:rsidRPr="00774395">
              <w:rPr>
                <w:sz w:val="20"/>
                <w:szCs w:val="20"/>
              </w:rPr>
              <w:t>10-15</w:t>
            </w:r>
          </w:p>
        </w:tc>
        <w:tc>
          <w:tcPr>
            <w:tcW w:w="4298" w:type="dxa"/>
          </w:tcPr>
          <w:p w14:paraId="0F175FA8" w14:textId="6C79DAC4" w:rsidR="00D304E5" w:rsidRPr="00774395" w:rsidRDefault="00D304E5" w:rsidP="00B7447B">
            <w:pPr>
              <w:pStyle w:val="Nessunaspaziatura"/>
              <w:spacing w:line="276" w:lineRule="auto"/>
              <w:rPr>
                <w:sz w:val="20"/>
                <w:szCs w:val="20"/>
              </w:rPr>
            </w:pPr>
            <w:r w:rsidRPr="00774395">
              <w:rPr>
                <w:sz w:val="20"/>
                <w:szCs w:val="20"/>
              </w:rPr>
              <w:t>10% ≤ O content &lt; 15%</w:t>
            </w:r>
          </w:p>
        </w:tc>
        <w:tc>
          <w:tcPr>
            <w:tcW w:w="1398" w:type="dxa"/>
          </w:tcPr>
          <w:p w14:paraId="0EBD7318" w14:textId="19CA8352" w:rsidR="00D304E5" w:rsidRPr="00774395" w:rsidRDefault="00D304E5" w:rsidP="00B7447B">
            <w:pPr>
              <w:pStyle w:val="Nessunaspaziatura"/>
              <w:spacing w:line="276" w:lineRule="auto"/>
              <w:rPr>
                <w:sz w:val="20"/>
                <w:szCs w:val="20"/>
              </w:rPr>
            </w:pPr>
            <w:r w:rsidRPr="00774395">
              <w:rPr>
                <w:sz w:val="20"/>
                <w:szCs w:val="20"/>
              </w:rPr>
              <w:t>25.7% (90)</w:t>
            </w:r>
          </w:p>
        </w:tc>
      </w:tr>
      <w:tr w:rsidR="00D304E5" w:rsidRPr="00774395" w14:paraId="48918011" w14:textId="77777777" w:rsidTr="00B7447B">
        <w:trPr>
          <w:trHeight w:val="227"/>
        </w:trPr>
        <w:tc>
          <w:tcPr>
            <w:tcW w:w="2127" w:type="dxa"/>
          </w:tcPr>
          <w:p w14:paraId="1C32B134" w14:textId="77777777" w:rsidR="00D304E5" w:rsidRPr="00774395" w:rsidRDefault="00D304E5" w:rsidP="00B7447B">
            <w:pPr>
              <w:pStyle w:val="Nessunaspaziatura"/>
              <w:spacing w:line="276" w:lineRule="auto"/>
              <w:rPr>
                <w:sz w:val="20"/>
                <w:szCs w:val="20"/>
              </w:rPr>
            </w:pPr>
          </w:p>
        </w:tc>
        <w:tc>
          <w:tcPr>
            <w:tcW w:w="1815" w:type="dxa"/>
          </w:tcPr>
          <w:p w14:paraId="5FC4E750" w14:textId="77777777" w:rsidR="00D304E5" w:rsidRPr="00774395" w:rsidRDefault="00D304E5" w:rsidP="00B7447B">
            <w:pPr>
              <w:pStyle w:val="Nessunaspaziatura"/>
              <w:spacing w:line="276" w:lineRule="auto"/>
              <w:rPr>
                <w:sz w:val="20"/>
                <w:szCs w:val="20"/>
              </w:rPr>
            </w:pPr>
            <w:r w:rsidRPr="00774395">
              <w:rPr>
                <w:sz w:val="20"/>
                <w:szCs w:val="20"/>
              </w:rPr>
              <w:t>15-20</w:t>
            </w:r>
          </w:p>
        </w:tc>
        <w:tc>
          <w:tcPr>
            <w:tcW w:w="4298" w:type="dxa"/>
          </w:tcPr>
          <w:p w14:paraId="1FEAD696" w14:textId="2C1F9BF5" w:rsidR="00D304E5" w:rsidRPr="00774395" w:rsidRDefault="00D304E5" w:rsidP="00B7447B">
            <w:pPr>
              <w:pStyle w:val="Nessunaspaziatura"/>
              <w:spacing w:line="276" w:lineRule="auto"/>
              <w:rPr>
                <w:sz w:val="20"/>
                <w:szCs w:val="20"/>
              </w:rPr>
            </w:pPr>
            <w:r w:rsidRPr="00774395">
              <w:rPr>
                <w:sz w:val="20"/>
                <w:szCs w:val="20"/>
              </w:rPr>
              <w:t>15% ≤ O content &lt; 20%</w:t>
            </w:r>
          </w:p>
        </w:tc>
        <w:tc>
          <w:tcPr>
            <w:tcW w:w="1398" w:type="dxa"/>
          </w:tcPr>
          <w:p w14:paraId="0F36E8E6" w14:textId="53AED667" w:rsidR="00D304E5" w:rsidRPr="00774395" w:rsidRDefault="00D304E5" w:rsidP="00B7447B">
            <w:pPr>
              <w:pStyle w:val="Nessunaspaziatura"/>
              <w:spacing w:line="276" w:lineRule="auto"/>
              <w:rPr>
                <w:sz w:val="20"/>
                <w:szCs w:val="20"/>
              </w:rPr>
            </w:pPr>
            <w:r w:rsidRPr="00774395">
              <w:rPr>
                <w:sz w:val="20"/>
                <w:szCs w:val="20"/>
              </w:rPr>
              <w:t>16.6% (58)</w:t>
            </w:r>
          </w:p>
        </w:tc>
      </w:tr>
      <w:tr w:rsidR="00D304E5" w:rsidRPr="00774395" w14:paraId="496ECD22" w14:textId="77777777" w:rsidTr="00B7447B">
        <w:trPr>
          <w:trHeight w:val="227"/>
        </w:trPr>
        <w:tc>
          <w:tcPr>
            <w:tcW w:w="2127" w:type="dxa"/>
            <w:tcBorders>
              <w:bottom w:val="single" w:sz="4" w:space="0" w:color="auto"/>
            </w:tcBorders>
          </w:tcPr>
          <w:p w14:paraId="10EAF514"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20C8BF22" w14:textId="77777777" w:rsidR="00D304E5" w:rsidRPr="00774395" w:rsidRDefault="00D304E5" w:rsidP="00B7447B">
            <w:pPr>
              <w:pStyle w:val="Nessunaspaziatura"/>
              <w:spacing w:line="276" w:lineRule="auto"/>
              <w:rPr>
                <w:sz w:val="20"/>
                <w:szCs w:val="20"/>
              </w:rPr>
            </w:pPr>
            <w:r w:rsidRPr="00774395">
              <w:rPr>
                <w:sz w:val="20"/>
                <w:szCs w:val="20"/>
              </w:rPr>
              <w:t>≥ 20</w:t>
            </w:r>
          </w:p>
        </w:tc>
        <w:tc>
          <w:tcPr>
            <w:tcW w:w="4298" w:type="dxa"/>
            <w:tcBorders>
              <w:bottom w:val="single" w:sz="4" w:space="0" w:color="auto"/>
            </w:tcBorders>
          </w:tcPr>
          <w:p w14:paraId="50593E09" w14:textId="7564036F" w:rsidR="00D304E5" w:rsidRPr="00774395" w:rsidRDefault="00A16E41" w:rsidP="00B7447B">
            <w:pPr>
              <w:pStyle w:val="Nessunaspaziatura"/>
              <w:spacing w:line="276" w:lineRule="auto"/>
              <w:rPr>
                <w:sz w:val="20"/>
                <w:szCs w:val="20"/>
              </w:rPr>
            </w:pPr>
            <w:r w:rsidRPr="00774395">
              <w:rPr>
                <w:sz w:val="20"/>
                <w:szCs w:val="20"/>
              </w:rPr>
              <w:t>O</w:t>
            </w:r>
            <w:r w:rsidR="00D304E5" w:rsidRPr="00774395">
              <w:rPr>
                <w:sz w:val="20"/>
                <w:szCs w:val="20"/>
              </w:rPr>
              <w:t xml:space="preserve"> content ≥ 20%</w:t>
            </w:r>
          </w:p>
        </w:tc>
        <w:tc>
          <w:tcPr>
            <w:tcW w:w="1398" w:type="dxa"/>
            <w:tcBorders>
              <w:bottom w:val="single" w:sz="4" w:space="0" w:color="auto"/>
            </w:tcBorders>
          </w:tcPr>
          <w:p w14:paraId="0AADD270" w14:textId="18E4A73F" w:rsidR="00D304E5" w:rsidRPr="00774395" w:rsidRDefault="00D304E5" w:rsidP="00B7447B">
            <w:pPr>
              <w:pStyle w:val="Nessunaspaziatura"/>
              <w:spacing w:line="276" w:lineRule="auto"/>
              <w:rPr>
                <w:sz w:val="20"/>
                <w:szCs w:val="20"/>
              </w:rPr>
            </w:pPr>
            <w:r w:rsidRPr="00774395">
              <w:rPr>
                <w:sz w:val="20"/>
                <w:szCs w:val="20"/>
              </w:rPr>
              <w:t>28.0% (98)</w:t>
            </w:r>
          </w:p>
        </w:tc>
      </w:tr>
      <w:tr w:rsidR="00D304E5" w:rsidRPr="00774395" w14:paraId="5A229BA6" w14:textId="77777777" w:rsidTr="00B7447B">
        <w:trPr>
          <w:trHeight w:val="227"/>
        </w:trPr>
        <w:tc>
          <w:tcPr>
            <w:tcW w:w="2127" w:type="dxa"/>
            <w:tcBorders>
              <w:top w:val="single" w:sz="4" w:space="0" w:color="auto"/>
            </w:tcBorders>
          </w:tcPr>
          <w:p w14:paraId="3AC05EE7" w14:textId="77777777" w:rsidR="00D304E5" w:rsidRPr="00774395" w:rsidRDefault="00D304E5" w:rsidP="00B7447B">
            <w:pPr>
              <w:pStyle w:val="Nessunaspaziatura"/>
              <w:spacing w:line="276" w:lineRule="auto"/>
              <w:rPr>
                <w:sz w:val="20"/>
                <w:szCs w:val="20"/>
              </w:rPr>
            </w:pPr>
            <w:r w:rsidRPr="00774395">
              <w:rPr>
                <w:sz w:val="20"/>
                <w:szCs w:val="20"/>
              </w:rPr>
              <w:t>N [% wt]</w:t>
            </w:r>
          </w:p>
        </w:tc>
        <w:tc>
          <w:tcPr>
            <w:tcW w:w="1815" w:type="dxa"/>
            <w:tcBorders>
              <w:top w:val="single" w:sz="4" w:space="0" w:color="auto"/>
            </w:tcBorders>
          </w:tcPr>
          <w:p w14:paraId="01059DB0" w14:textId="77777777" w:rsidR="00D304E5" w:rsidRPr="00774395" w:rsidRDefault="00D304E5" w:rsidP="00B7447B">
            <w:pPr>
              <w:pStyle w:val="Nessunaspaziatura"/>
              <w:spacing w:line="276" w:lineRule="auto"/>
              <w:rPr>
                <w:sz w:val="20"/>
                <w:szCs w:val="20"/>
              </w:rPr>
            </w:pPr>
            <w:r w:rsidRPr="00774395">
              <w:rPr>
                <w:sz w:val="20"/>
                <w:szCs w:val="20"/>
              </w:rPr>
              <w:t>&lt; 0.3</w:t>
            </w:r>
          </w:p>
        </w:tc>
        <w:tc>
          <w:tcPr>
            <w:tcW w:w="4298" w:type="dxa"/>
            <w:tcBorders>
              <w:top w:val="single" w:sz="4" w:space="0" w:color="auto"/>
            </w:tcBorders>
          </w:tcPr>
          <w:p w14:paraId="4F7F0D47" w14:textId="16F0E159" w:rsidR="00D304E5" w:rsidRPr="00774395" w:rsidRDefault="00D304E5" w:rsidP="00B7447B">
            <w:pPr>
              <w:pStyle w:val="Nessunaspaziatura"/>
              <w:spacing w:line="276" w:lineRule="auto"/>
              <w:rPr>
                <w:sz w:val="20"/>
                <w:szCs w:val="20"/>
              </w:rPr>
            </w:pPr>
            <w:r w:rsidRPr="00774395">
              <w:rPr>
                <w:sz w:val="20"/>
                <w:szCs w:val="20"/>
              </w:rPr>
              <w:t>N content &lt; 0.3%</w:t>
            </w:r>
          </w:p>
        </w:tc>
        <w:tc>
          <w:tcPr>
            <w:tcW w:w="1398" w:type="dxa"/>
            <w:tcBorders>
              <w:top w:val="single" w:sz="4" w:space="0" w:color="auto"/>
            </w:tcBorders>
          </w:tcPr>
          <w:p w14:paraId="582D3A4E" w14:textId="3201D56C" w:rsidR="00D304E5" w:rsidRPr="00774395" w:rsidRDefault="00D304E5" w:rsidP="00B7447B">
            <w:pPr>
              <w:pStyle w:val="Nessunaspaziatura"/>
              <w:spacing w:line="276" w:lineRule="auto"/>
              <w:rPr>
                <w:sz w:val="20"/>
                <w:szCs w:val="20"/>
              </w:rPr>
            </w:pPr>
            <w:r w:rsidRPr="00774395">
              <w:rPr>
                <w:sz w:val="20"/>
                <w:szCs w:val="20"/>
              </w:rPr>
              <w:t>15.1% (54)</w:t>
            </w:r>
          </w:p>
        </w:tc>
      </w:tr>
      <w:tr w:rsidR="00D304E5" w:rsidRPr="00774395" w14:paraId="2F6E961A" w14:textId="77777777" w:rsidTr="00B7447B">
        <w:trPr>
          <w:trHeight w:val="227"/>
        </w:trPr>
        <w:tc>
          <w:tcPr>
            <w:tcW w:w="2127" w:type="dxa"/>
          </w:tcPr>
          <w:p w14:paraId="7CBA1CEC" w14:textId="77777777" w:rsidR="00D304E5" w:rsidRPr="00774395" w:rsidRDefault="00D304E5" w:rsidP="00B7447B">
            <w:pPr>
              <w:pStyle w:val="Nessunaspaziatura"/>
              <w:spacing w:line="276" w:lineRule="auto"/>
              <w:rPr>
                <w:sz w:val="20"/>
                <w:szCs w:val="20"/>
              </w:rPr>
            </w:pPr>
          </w:p>
        </w:tc>
        <w:tc>
          <w:tcPr>
            <w:tcW w:w="1815" w:type="dxa"/>
          </w:tcPr>
          <w:p w14:paraId="0AF47FFA" w14:textId="77777777" w:rsidR="00D304E5" w:rsidRPr="00774395" w:rsidRDefault="00D304E5" w:rsidP="00B7447B">
            <w:pPr>
              <w:pStyle w:val="Nessunaspaziatura"/>
              <w:spacing w:line="276" w:lineRule="auto"/>
              <w:rPr>
                <w:sz w:val="20"/>
                <w:szCs w:val="20"/>
              </w:rPr>
            </w:pPr>
            <w:r w:rsidRPr="00774395">
              <w:rPr>
                <w:sz w:val="20"/>
                <w:szCs w:val="20"/>
              </w:rPr>
              <w:t>0.3-0.6</w:t>
            </w:r>
          </w:p>
        </w:tc>
        <w:tc>
          <w:tcPr>
            <w:tcW w:w="4298" w:type="dxa"/>
          </w:tcPr>
          <w:p w14:paraId="60DE3F35" w14:textId="48142115" w:rsidR="00D304E5" w:rsidRPr="00774395" w:rsidRDefault="00D304E5" w:rsidP="00B7447B">
            <w:pPr>
              <w:pStyle w:val="Nessunaspaziatura"/>
              <w:spacing w:line="276" w:lineRule="auto"/>
              <w:rPr>
                <w:sz w:val="20"/>
                <w:szCs w:val="20"/>
              </w:rPr>
            </w:pPr>
            <w:r w:rsidRPr="00774395">
              <w:rPr>
                <w:sz w:val="20"/>
                <w:szCs w:val="20"/>
              </w:rPr>
              <w:t>0.3% ≤ N content &lt; 0.6%</w:t>
            </w:r>
          </w:p>
        </w:tc>
        <w:tc>
          <w:tcPr>
            <w:tcW w:w="1398" w:type="dxa"/>
          </w:tcPr>
          <w:p w14:paraId="492BC698" w14:textId="4745ED2F" w:rsidR="00D304E5" w:rsidRPr="00774395" w:rsidRDefault="00D304E5" w:rsidP="00B7447B">
            <w:pPr>
              <w:pStyle w:val="Nessunaspaziatura"/>
              <w:spacing w:line="276" w:lineRule="auto"/>
              <w:rPr>
                <w:sz w:val="20"/>
                <w:szCs w:val="20"/>
              </w:rPr>
            </w:pPr>
            <w:r w:rsidRPr="00774395">
              <w:rPr>
                <w:sz w:val="20"/>
                <w:szCs w:val="20"/>
              </w:rPr>
              <w:t>37.5% (134)</w:t>
            </w:r>
          </w:p>
        </w:tc>
      </w:tr>
      <w:tr w:rsidR="00D304E5" w:rsidRPr="00774395" w14:paraId="1883FB2D" w14:textId="77777777" w:rsidTr="00B7447B">
        <w:trPr>
          <w:trHeight w:val="227"/>
        </w:trPr>
        <w:tc>
          <w:tcPr>
            <w:tcW w:w="2127" w:type="dxa"/>
          </w:tcPr>
          <w:p w14:paraId="408137F7" w14:textId="77777777" w:rsidR="00D304E5" w:rsidRPr="00774395" w:rsidRDefault="00D304E5" w:rsidP="00B7447B">
            <w:pPr>
              <w:pStyle w:val="Nessunaspaziatura"/>
              <w:spacing w:line="276" w:lineRule="auto"/>
              <w:rPr>
                <w:sz w:val="20"/>
                <w:szCs w:val="20"/>
              </w:rPr>
            </w:pPr>
          </w:p>
        </w:tc>
        <w:tc>
          <w:tcPr>
            <w:tcW w:w="1815" w:type="dxa"/>
          </w:tcPr>
          <w:p w14:paraId="384CD460" w14:textId="77777777" w:rsidR="00D304E5" w:rsidRPr="00774395" w:rsidRDefault="00D304E5" w:rsidP="00B7447B">
            <w:pPr>
              <w:pStyle w:val="Nessunaspaziatura"/>
              <w:spacing w:line="276" w:lineRule="auto"/>
              <w:rPr>
                <w:sz w:val="20"/>
                <w:szCs w:val="20"/>
              </w:rPr>
            </w:pPr>
            <w:r w:rsidRPr="00774395">
              <w:rPr>
                <w:sz w:val="20"/>
                <w:szCs w:val="20"/>
              </w:rPr>
              <w:t>0.6-1.2</w:t>
            </w:r>
          </w:p>
        </w:tc>
        <w:tc>
          <w:tcPr>
            <w:tcW w:w="4298" w:type="dxa"/>
          </w:tcPr>
          <w:p w14:paraId="767C31F3" w14:textId="4C97FD66" w:rsidR="00D304E5" w:rsidRPr="00774395" w:rsidRDefault="00D304E5" w:rsidP="00B7447B">
            <w:pPr>
              <w:pStyle w:val="Nessunaspaziatura"/>
              <w:spacing w:line="276" w:lineRule="auto"/>
              <w:rPr>
                <w:sz w:val="20"/>
                <w:szCs w:val="20"/>
              </w:rPr>
            </w:pPr>
            <w:r w:rsidRPr="00774395">
              <w:rPr>
                <w:sz w:val="20"/>
                <w:szCs w:val="20"/>
              </w:rPr>
              <w:t>0.6% ≤ N content &lt; 1.2%</w:t>
            </w:r>
          </w:p>
        </w:tc>
        <w:tc>
          <w:tcPr>
            <w:tcW w:w="1398" w:type="dxa"/>
          </w:tcPr>
          <w:p w14:paraId="159537A2" w14:textId="7DE10093" w:rsidR="00D304E5" w:rsidRPr="00774395" w:rsidRDefault="00D304E5" w:rsidP="00B7447B">
            <w:pPr>
              <w:pStyle w:val="Nessunaspaziatura"/>
              <w:spacing w:line="276" w:lineRule="auto"/>
              <w:rPr>
                <w:sz w:val="20"/>
                <w:szCs w:val="20"/>
              </w:rPr>
            </w:pPr>
            <w:r w:rsidRPr="00774395">
              <w:rPr>
                <w:sz w:val="20"/>
                <w:szCs w:val="20"/>
              </w:rPr>
              <w:t>16.5% (59)</w:t>
            </w:r>
          </w:p>
        </w:tc>
      </w:tr>
      <w:tr w:rsidR="00D304E5" w:rsidRPr="00774395" w14:paraId="19F0267A" w14:textId="77777777" w:rsidTr="00B7447B">
        <w:trPr>
          <w:trHeight w:val="227"/>
        </w:trPr>
        <w:tc>
          <w:tcPr>
            <w:tcW w:w="2127" w:type="dxa"/>
            <w:tcBorders>
              <w:bottom w:val="single" w:sz="4" w:space="0" w:color="auto"/>
            </w:tcBorders>
          </w:tcPr>
          <w:p w14:paraId="1A479F1A"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48AF734C" w14:textId="77777777" w:rsidR="00D304E5" w:rsidRPr="00774395" w:rsidRDefault="00D304E5" w:rsidP="00B7447B">
            <w:pPr>
              <w:pStyle w:val="Nessunaspaziatura"/>
              <w:spacing w:line="276" w:lineRule="auto"/>
              <w:rPr>
                <w:sz w:val="20"/>
                <w:szCs w:val="20"/>
              </w:rPr>
            </w:pPr>
            <w:r w:rsidRPr="00774395">
              <w:rPr>
                <w:sz w:val="20"/>
                <w:szCs w:val="20"/>
              </w:rPr>
              <w:t>≥ 1.2</w:t>
            </w:r>
          </w:p>
        </w:tc>
        <w:tc>
          <w:tcPr>
            <w:tcW w:w="4298" w:type="dxa"/>
            <w:tcBorders>
              <w:bottom w:val="single" w:sz="4" w:space="0" w:color="auto"/>
            </w:tcBorders>
          </w:tcPr>
          <w:p w14:paraId="0DE7160F" w14:textId="3BE01564" w:rsidR="00D304E5" w:rsidRPr="00774395" w:rsidRDefault="00D304E5" w:rsidP="00B7447B">
            <w:pPr>
              <w:pStyle w:val="Nessunaspaziatura"/>
              <w:spacing w:line="276" w:lineRule="auto"/>
              <w:rPr>
                <w:sz w:val="20"/>
                <w:szCs w:val="20"/>
              </w:rPr>
            </w:pPr>
            <w:r w:rsidRPr="00774395">
              <w:rPr>
                <w:sz w:val="20"/>
                <w:szCs w:val="20"/>
              </w:rPr>
              <w:t>N content ≥ 1.2%</w:t>
            </w:r>
          </w:p>
        </w:tc>
        <w:tc>
          <w:tcPr>
            <w:tcW w:w="1398" w:type="dxa"/>
            <w:tcBorders>
              <w:bottom w:val="single" w:sz="4" w:space="0" w:color="auto"/>
            </w:tcBorders>
          </w:tcPr>
          <w:p w14:paraId="7546030E" w14:textId="1EA17F43" w:rsidR="00D304E5" w:rsidRPr="00774395" w:rsidRDefault="00D304E5" w:rsidP="00B7447B">
            <w:pPr>
              <w:pStyle w:val="Nessunaspaziatura"/>
              <w:spacing w:line="276" w:lineRule="auto"/>
              <w:rPr>
                <w:sz w:val="20"/>
                <w:szCs w:val="20"/>
              </w:rPr>
            </w:pPr>
            <w:r w:rsidRPr="00774395">
              <w:rPr>
                <w:sz w:val="20"/>
                <w:szCs w:val="20"/>
              </w:rPr>
              <w:t>30.8% (110)</w:t>
            </w:r>
          </w:p>
        </w:tc>
      </w:tr>
      <w:tr w:rsidR="00D304E5" w:rsidRPr="00774395" w14:paraId="5426C4C5" w14:textId="77777777" w:rsidTr="00B7447B">
        <w:trPr>
          <w:trHeight w:val="227"/>
        </w:trPr>
        <w:tc>
          <w:tcPr>
            <w:tcW w:w="2127" w:type="dxa"/>
            <w:tcBorders>
              <w:top w:val="single" w:sz="4" w:space="0" w:color="auto"/>
            </w:tcBorders>
          </w:tcPr>
          <w:p w14:paraId="2D00C97F" w14:textId="77777777" w:rsidR="00D304E5" w:rsidRPr="00774395" w:rsidRDefault="00D304E5" w:rsidP="00B7447B">
            <w:pPr>
              <w:pStyle w:val="Nessunaspaziatura"/>
              <w:spacing w:line="276" w:lineRule="auto"/>
              <w:rPr>
                <w:sz w:val="20"/>
                <w:szCs w:val="20"/>
              </w:rPr>
            </w:pPr>
            <w:r w:rsidRPr="00774395">
              <w:rPr>
                <w:sz w:val="20"/>
                <w:szCs w:val="20"/>
              </w:rPr>
              <w:t>H/C molar ratio [-]</w:t>
            </w:r>
          </w:p>
        </w:tc>
        <w:tc>
          <w:tcPr>
            <w:tcW w:w="1815" w:type="dxa"/>
            <w:tcBorders>
              <w:top w:val="single" w:sz="4" w:space="0" w:color="auto"/>
            </w:tcBorders>
          </w:tcPr>
          <w:p w14:paraId="123EE94D" w14:textId="77777777" w:rsidR="00D304E5" w:rsidRPr="00774395" w:rsidRDefault="00D304E5" w:rsidP="00B7447B">
            <w:pPr>
              <w:pStyle w:val="Nessunaspaziatura"/>
              <w:spacing w:line="276" w:lineRule="auto"/>
              <w:rPr>
                <w:sz w:val="20"/>
                <w:szCs w:val="20"/>
              </w:rPr>
            </w:pPr>
            <w:r w:rsidRPr="00774395">
              <w:rPr>
                <w:sz w:val="20"/>
                <w:szCs w:val="20"/>
              </w:rPr>
              <w:t>&lt; 0.1</w:t>
            </w:r>
          </w:p>
        </w:tc>
        <w:tc>
          <w:tcPr>
            <w:tcW w:w="4298" w:type="dxa"/>
            <w:tcBorders>
              <w:top w:val="single" w:sz="4" w:space="0" w:color="auto"/>
            </w:tcBorders>
          </w:tcPr>
          <w:p w14:paraId="1288F27C" w14:textId="349BF054" w:rsidR="00D304E5" w:rsidRPr="00774395" w:rsidRDefault="00D304E5" w:rsidP="00B7447B">
            <w:pPr>
              <w:pStyle w:val="Nessunaspaziatura"/>
              <w:spacing w:line="276" w:lineRule="auto"/>
              <w:rPr>
                <w:sz w:val="20"/>
                <w:szCs w:val="20"/>
              </w:rPr>
            </w:pPr>
            <w:r w:rsidRPr="00774395">
              <w:rPr>
                <w:sz w:val="20"/>
                <w:szCs w:val="20"/>
              </w:rPr>
              <w:t>H/C molar ratio &lt; 0.3%</w:t>
            </w:r>
          </w:p>
        </w:tc>
        <w:tc>
          <w:tcPr>
            <w:tcW w:w="1398" w:type="dxa"/>
            <w:tcBorders>
              <w:top w:val="single" w:sz="4" w:space="0" w:color="auto"/>
            </w:tcBorders>
          </w:tcPr>
          <w:p w14:paraId="2ACB4BC6" w14:textId="5D5F88D3" w:rsidR="00D304E5" w:rsidRPr="00774395" w:rsidRDefault="00D304E5" w:rsidP="00B7447B">
            <w:pPr>
              <w:pStyle w:val="Nessunaspaziatura"/>
              <w:spacing w:line="276" w:lineRule="auto"/>
              <w:rPr>
                <w:sz w:val="20"/>
                <w:szCs w:val="20"/>
              </w:rPr>
            </w:pPr>
            <w:r w:rsidRPr="00774395">
              <w:rPr>
                <w:sz w:val="20"/>
                <w:szCs w:val="20"/>
              </w:rPr>
              <w:t>16.7% (56)</w:t>
            </w:r>
          </w:p>
        </w:tc>
      </w:tr>
      <w:tr w:rsidR="00D304E5" w:rsidRPr="00774395" w14:paraId="6EED3546" w14:textId="77777777" w:rsidTr="00B7447B">
        <w:trPr>
          <w:trHeight w:val="227"/>
        </w:trPr>
        <w:tc>
          <w:tcPr>
            <w:tcW w:w="2127" w:type="dxa"/>
          </w:tcPr>
          <w:p w14:paraId="6E578B3C" w14:textId="77777777" w:rsidR="00D304E5" w:rsidRPr="00774395" w:rsidRDefault="00D304E5" w:rsidP="00B7447B">
            <w:pPr>
              <w:pStyle w:val="Nessunaspaziatura"/>
              <w:spacing w:line="276" w:lineRule="auto"/>
              <w:rPr>
                <w:sz w:val="20"/>
                <w:szCs w:val="20"/>
              </w:rPr>
            </w:pPr>
          </w:p>
        </w:tc>
        <w:tc>
          <w:tcPr>
            <w:tcW w:w="1815" w:type="dxa"/>
          </w:tcPr>
          <w:p w14:paraId="2F857C8D" w14:textId="77777777" w:rsidR="00D304E5" w:rsidRPr="00774395" w:rsidRDefault="00D304E5" w:rsidP="00B7447B">
            <w:pPr>
              <w:pStyle w:val="Nessunaspaziatura"/>
              <w:spacing w:line="276" w:lineRule="auto"/>
              <w:rPr>
                <w:sz w:val="20"/>
                <w:szCs w:val="20"/>
              </w:rPr>
            </w:pPr>
            <w:r w:rsidRPr="00774395">
              <w:rPr>
                <w:sz w:val="20"/>
                <w:szCs w:val="20"/>
              </w:rPr>
              <w:t>0.1-0.3</w:t>
            </w:r>
          </w:p>
        </w:tc>
        <w:tc>
          <w:tcPr>
            <w:tcW w:w="4298" w:type="dxa"/>
          </w:tcPr>
          <w:p w14:paraId="2F07FB86" w14:textId="67D3C1A7" w:rsidR="00D304E5" w:rsidRPr="00774395" w:rsidRDefault="00D304E5" w:rsidP="00B7447B">
            <w:pPr>
              <w:pStyle w:val="Nessunaspaziatura"/>
              <w:spacing w:line="276" w:lineRule="auto"/>
              <w:rPr>
                <w:sz w:val="20"/>
                <w:szCs w:val="20"/>
              </w:rPr>
            </w:pPr>
            <w:r w:rsidRPr="00774395">
              <w:rPr>
                <w:sz w:val="20"/>
                <w:szCs w:val="20"/>
              </w:rPr>
              <w:t>0.1% ≤ H/C molar ratio &lt; 0.3%</w:t>
            </w:r>
          </w:p>
        </w:tc>
        <w:tc>
          <w:tcPr>
            <w:tcW w:w="1398" w:type="dxa"/>
          </w:tcPr>
          <w:p w14:paraId="60491666" w14:textId="41B915B6" w:rsidR="00D304E5" w:rsidRPr="00774395" w:rsidRDefault="00D304E5" w:rsidP="00B7447B">
            <w:pPr>
              <w:pStyle w:val="Nessunaspaziatura"/>
              <w:spacing w:line="276" w:lineRule="auto"/>
              <w:rPr>
                <w:sz w:val="20"/>
                <w:szCs w:val="20"/>
              </w:rPr>
            </w:pPr>
            <w:r w:rsidRPr="00774395">
              <w:rPr>
                <w:sz w:val="20"/>
                <w:szCs w:val="20"/>
              </w:rPr>
              <w:t>22.4% (75)</w:t>
            </w:r>
          </w:p>
        </w:tc>
      </w:tr>
      <w:tr w:rsidR="00D304E5" w:rsidRPr="00774395" w14:paraId="26F14BF8" w14:textId="77777777" w:rsidTr="00B7447B">
        <w:trPr>
          <w:trHeight w:val="227"/>
        </w:trPr>
        <w:tc>
          <w:tcPr>
            <w:tcW w:w="2127" w:type="dxa"/>
          </w:tcPr>
          <w:p w14:paraId="1D219FB0" w14:textId="77777777" w:rsidR="00D304E5" w:rsidRPr="00774395" w:rsidRDefault="00D304E5" w:rsidP="00B7447B">
            <w:pPr>
              <w:pStyle w:val="Nessunaspaziatura"/>
              <w:spacing w:line="276" w:lineRule="auto"/>
              <w:rPr>
                <w:sz w:val="20"/>
                <w:szCs w:val="20"/>
              </w:rPr>
            </w:pPr>
          </w:p>
        </w:tc>
        <w:tc>
          <w:tcPr>
            <w:tcW w:w="1815" w:type="dxa"/>
          </w:tcPr>
          <w:p w14:paraId="2DF7F416" w14:textId="77777777" w:rsidR="00D304E5" w:rsidRPr="00774395" w:rsidRDefault="00D304E5" w:rsidP="00B7447B">
            <w:pPr>
              <w:pStyle w:val="Nessunaspaziatura"/>
              <w:spacing w:line="276" w:lineRule="auto"/>
              <w:rPr>
                <w:sz w:val="20"/>
                <w:szCs w:val="20"/>
              </w:rPr>
            </w:pPr>
            <w:r w:rsidRPr="00774395">
              <w:rPr>
                <w:sz w:val="20"/>
                <w:szCs w:val="20"/>
              </w:rPr>
              <w:t>0.3-0.5</w:t>
            </w:r>
          </w:p>
        </w:tc>
        <w:tc>
          <w:tcPr>
            <w:tcW w:w="4298" w:type="dxa"/>
          </w:tcPr>
          <w:p w14:paraId="1C5BBEF8" w14:textId="54122CA1" w:rsidR="00D304E5" w:rsidRPr="00774395" w:rsidRDefault="00D304E5" w:rsidP="00B7447B">
            <w:pPr>
              <w:pStyle w:val="Nessunaspaziatura"/>
              <w:spacing w:line="276" w:lineRule="auto"/>
              <w:rPr>
                <w:sz w:val="20"/>
                <w:szCs w:val="20"/>
              </w:rPr>
            </w:pPr>
            <w:r w:rsidRPr="00774395">
              <w:rPr>
                <w:sz w:val="20"/>
                <w:szCs w:val="20"/>
              </w:rPr>
              <w:t>0.3% ≤ H/C molar ratio &lt; 0.5%</w:t>
            </w:r>
          </w:p>
        </w:tc>
        <w:tc>
          <w:tcPr>
            <w:tcW w:w="1398" w:type="dxa"/>
          </w:tcPr>
          <w:p w14:paraId="06B9F4CF" w14:textId="5846F0A2" w:rsidR="00D304E5" w:rsidRPr="00774395" w:rsidRDefault="00D304E5" w:rsidP="00B7447B">
            <w:pPr>
              <w:pStyle w:val="Nessunaspaziatura"/>
              <w:spacing w:line="276" w:lineRule="auto"/>
              <w:rPr>
                <w:sz w:val="20"/>
                <w:szCs w:val="20"/>
              </w:rPr>
            </w:pPr>
            <w:r w:rsidRPr="00774395">
              <w:rPr>
                <w:sz w:val="20"/>
                <w:szCs w:val="20"/>
              </w:rPr>
              <w:t>24.5% (82)</w:t>
            </w:r>
          </w:p>
        </w:tc>
      </w:tr>
      <w:tr w:rsidR="00D304E5" w:rsidRPr="00774395" w14:paraId="045F8508" w14:textId="77777777" w:rsidTr="00B7447B">
        <w:trPr>
          <w:trHeight w:val="227"/>
        </w:trPr>
        <w:tc>
          <w:tcPr>
            <w:tcW w:w="2127" w:type="dxa"/>
          </w:tcPr>
          <w:p w14:paraId="11FC275D" w14:textId="77777777" w:rsidR="00D304E5" w:rsidRPr="00774395" w:rsidRDefault="00D304E5" w:rsidP="00B7447B">
            <w:pPr>
              <w:pStyle w:val="Nessunaspaziatura"/>
              <w:spacing w:line="276" w:lineRule="auto"/>
              <w:rPr>
                <w:sz w:val="20"/>
                <w:szCs w:val="20"/>
              </w:rPr>
            </w:pPr>
          </w:p>
        </w:tc>
        <w:tc>
          <w:tcPr>
            <w:tcW w:w="1815" w:type="dxa"/>
          </w:tcPr>
          <w:p w14:paraId="117ECC17" w14:textId="77777777" w:rsidR="00D304E5" w:rsidRPr="00774395" w:rsidRDefault="00D304E5" w:rsidP="00B7447B">
            <w:pPr>
              <w:pStyle w:val="Nessunaspaziatura"/>
              <w:spacing w:line="276" w:lineRule="auto"/>
              <w:rPr>
                <w:sz w:val="20"/>
                <w:szCs w:val="20"/>
              </w:rPr>
            </w:pPr>
            <w:r w:rsidRPr="00774395">
              <w:rPr>
                <w:sz w:val="20"/>
                <w:szCs w:val="20"/>
              </w:rPr>
              <w:t>0.5-1.0</w:t>
            </w:r>
          </w:p>
        </w:tc>
        <w:tc>
          <w:tcPr>
            <w:tcW w:w="4298" w:type="dxa"/>
          </w:tcPr>
          <w:p w14:paraId="486855C3" w14:textId="392C8923" w:rsidR="00D304E5" w:rsidRPr="00774395" w:rsidRDefault="00D304E5" w:rsidP="00B7447B">
            <w:pPr>
              <w:pStyle w:val="Nessunaspaziatura"/>
              <w:spacing w:line="276" w:lineRule="auto"/>
              <w:rPr>
                <w:sz w:val="20"/>
                <w:szCs w:val="20"/>
              </w:rPr>
            </w:pPr>
            <w:r w:rsidRPr="00774395">
              <w:rPr>
                <w:sz w:val="20"/>
                <w:szCs w:val="20"/>
              </w:rPr>
              <w:t>0.5% ≤ H/C molar ratio &lt; 1.0%</w:t>
            </w:r>
          </w:p>
        </w:tc>
        <w:tc>
          <w:tcPr>
            <w:tcW w:w="1398" w:type="dxa"/>
          </w:tcPr>
          <w:p w14:paraId="65AEF7A6" w14:textId="7C95DBD4" w:rsidR="00D304E5" w:rsidRPr="00774395" w:rsidRDefault="00D304E5" w:rsidP="00B7447B">
            <w:pPr>
              <w:pStyle w:val="Nessunaspaziatura"/>
              <w:spacing w:line="276" w:lineRule="auto"/>
              <w:rPr>
                <w:sz w:val="20"/>
                <w:szCs w:val="20"/>
              </w:rPr>
            </w:pPr>
            <w:r w:rsidRPr="00774395">
              <w:rPr>
                <w:sz w:val="20"/>
                <w:szCs w:val="20"/>
              </w:rPr>
              <w:t>22.4% (75)</w:t>
            </w:r>
          </w:p>
        </w:tc>
      </w:tr>
      <w:tr w:rsidR="00D304E5" w:rsidRPr="00774395" w14:paraId="7C97FC6C" w14:textId="77777777" w:rsidTr="00B7447B">
        <w:trPr>
          <w:trHeight w:val="227"/>
        </w:trPr>
        <w:tc>
          <w:tcPr>
            <w:tcW w:w="2127" w:type="dxa"/>
            <w:tcBorders>
              <w:bottom w:val="single" w:sz="4" w:space="0" w:color="auto"/>
            </w:tcBorders>
          </w:tcPr>
          <w:p w14:paraId="5F7F42B2"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302E88BF" w14:textId="77777777" w:rsidR="00D304E5" w:rsidRPr="00774395" w:rsidRDefault="00D304E5" w:rsidP="00B7447B">
            <w:pPr>
              <w:pStyle w:val="Nessunaspaziatura"/>
              <w:spacing w:line="276" w:lineRule="auto"/>
              <w:rPr>
                <w:sz w:val="20"/>
                <w:szCs w:val="20"/>
              </w:rPr>
            </w:pPr>
            <w:r w:rsidRPr="00774395">
              <w:rPr>
                <w:sz w:val="20"/>
                <w:szCs w:val="20"/>
              </w:rPr>
              <w:t>≥ 1.0</w:t>
            </w:r>
          </w:p>
        </w:tc>
        <w:tc>
          <w:tcPr>
            <w:tcW w:w="4298" w:type="dxa"/>
            <w:tcBorders>
              <w:bottom w:val="single" w:sz="4" w:space="0" w:color="auto"/>
            </w:tcBorders>
          </w:tcPr>
          <w:p w14:paraId="0440D850" w14:textId="1C1F453C" w:rsidR="00D304E5" w:rsidRPr="00774395" w:rsidRDefault="00D304E5" w:rsidP="00B7447B">
            <w:pPr>
              <w:pStyle w:val="Nessunaspaziatura"/>
              <w:spacing w:line="276" w:lineRule="auto"/>
              <w:rPr>
                <w:sz w:val="20"/>
                <w:szCs w:val="20"/>
              </w:rPr>
            </w:pPr>
            <w:r w:rsidRPr="00774395">
              <w:rPr>
                <w:sz w:val="20"/>
                <w:szCs w:val="20"/>
              </w:rPr>
              <w:t>H/C molar ratio ≥ 1.0%</w:t>
            </w:r>
          </w:p>
        </w:tc>
        <w:tc>
          <w:tcPr>
            <w:tcW w:w="1398" w:type="dxa"/>
            <w:tcBorders>
              <w:bottom w:val="single" w:sz="4" w:space="0" w:color="auto"/>
            </w:tcBorders>
          </w:tcPr>
          <w:p w14:paraId="46B72F22" w14:textId="76AFD3F4" w:rsidR="00D304E5" w:rsidRPr="00774395" w:rsidRDefault="00D304E5" w:rsidP="00B7447B">
            <w:pPr>
              <w:pStyle w:val="Nessunaspaziatura"/>
              <w:spacing w:line="276" w:lineRule="auto"/>
              <w:rPr>
                <w:sz w:val="20"/>
                <w:szCs w:val="20"/>
              </w:rPr>
            </w:pPr>
            <w:r w:rsidRPr="00774395">
              <w:rPr>
                <w:sz w:val="20"/>
                <w:szCs w:val="20"/>
              </w:rPr>
              <w:t>14.0% (47)</w:t>
            </w:r>
          </w:p>
        </w:tc>
      </w:tr>
      <w:tr w:rsidR="00D304E5" w:rsidRPr="00774395" w14:paraId="2D0CE569" w14:textId="77777777" w:rsidTr="00B7447B">
        <w:trPr>
          <w:trHeight w:val="227"/>
        </w:trPr>
        <w:tc>
          <w:tcPr>
            <w:tcW w:w="2127" w:type="dxa"/>
            <w:tcBorders>
              <w:top w:val="single" w:sz="4" w:space="0" w:color="auto"/>
            </w:tcBorders>
          </w:tcPr>
          <w:p w14:paraId="6DBBA99A" w14:textId="77777777" w:rsidR="00D304E5" w:rsidRPr="00774395" w:rsidRDefault="00D304E5" w:rsidP="00B7447B">
            <w:pPr>
              <w:pStyle w:val="Nessunaspaziatura"/>
              <w:spacing w:line="276" w:lineRule="auto"/>
              <w:rPr>
                <w:sz w:val="20"/>
                <w:szCs w:val="20"/>
              </w:rPr>
            </w:pPr>
            <w:r w:rsidRPr="00774395">
              <w:rPr>
                <w:sz w:val="20"/>
                <w:szCs w:val="20"/>
              </w:rPr>
              <w:t>O/C molar ratio [-]</w:t>
            </w:r>
          </w:p>
        </w:tc>
        <w:tc>
          <w:tcPr>
            <w:tcW w:w="1815" w:type="dxa"/>
            <w:tcBorders>
              <w:top w:val="single" w:sz="4" w:space="0" w:color="auto"/>
            </w:tcBorders>
          </w:tcPr>
          <w:p w14:paraId="53666837" w14:textId="77777777" w:rsidR="00D304E5" w:rsidRPr="00774395" w:rsidRDefault="00D304E5" w:rsidP="00B7447B">
            <w:pPr>
              <w:pStyle w:val="Nessunaspaziatura"/>
              <w:spacing w:line="276" w:lineRule="auto"/>
              <w:rPr>
                <w:sz w:val="20"/>
                <w:szCs w:val="20"/>
              </w:rPr>
            </w:pPr>
            <w:r w:rsidRPr="00774395">
              <w:rPr>
                <w:sz w:val="20"/>
                <w:szCs w:val="20"/>
              </w:rPr>
              <w:t>&lt; 0.075</w:t>
            </w:r>
          </w:p>
        </w:tc>
        <w:tc>
          <w:tcPr>
            <w:tcW w:w="4298" w:type="dxa"/>
            <w:tcBorders>
              <w:top w:val="single" w:sz="4" w:space="0" w:color="auto"/>
            </w:tcBorders>
          </w:tcPr>
          <w:p w14:paraId="1AB8D5C8" w14:textId="52632A94" w:rsidR="00D304E5" w:rsidRPr="00774395" w:rsidRDefault="00D304E5" w:rsidP="00B7447B">
            <w:pPr>
              <w:pStyle w:val="Nessunaspaziatura"/>
              <w:spacing w:line="276" w:lineRule="auto"/>
              <w:rPr>
                <w:sz w:val="20"/>
                <w:szCs w:val="20"/>
              </w:rPr>
            </w:pPr>
            <w:r w:rsidRPr="00774395">
              <w:rPr>
                <w:sz w:val="20"/>
                <w:szCs w:val="20"/>
              </w:rPr>
              <w:t>O/C molar ratio &lt; 0.075%</w:t>
            </w:r>
          </w:p>
        </w:tc>
        <w:tc>
          <w:tcPr>
            <w:tcW w:w="1398" w:type="dxa"/>
            <w:tcBorders>
              <w:top w:val="single" w:sz="4" w:space="0" w:color="auto"/>
            </w:tcBorders>
          </w:tcPr>
          <w:p w14:paraId="3FEE1E4A" w14:textId="4165622E" w:rsidR="00D304E5" w:rsidRPr="00774395" w:rsidRDefault="00D304E5" w:rsidP="00B7447B">
            <w:pPr>
              <w:pStyle w:val="Nessunaspaziatura"/>
              <w:spacing w:line="276" w:lineRule="auto"/>
              <w:rPr>
                <w:rFonts w:cs="Times New Roman"/>
                <w:sz w:val="20"/>
                <w:szCs w:val="20"/>
              </w:rPr>
            </w:pPr>
            <w:r w:rsidRPr="00774395">
              <w:rPr>
                <w:rFonts w:cs="Times New Roman"/>
                <w:sz w:val="20"/>
                <w:szCs w:val="20"/>
              </w:rPr>
              <w:t>26.0% (92)</w:t>
            </w:r>
          </w:p>
        </w:tc>
      </w:tr>
      <w:tr w:rsidR="00D304E5" w:rsidRPr="00774395" w14:paraId="58F7D403" w14:textId="77777777" w:rsidTr="00B7447B">
        <w:trPr>
          <w:trHeight w:val="227"/>
        </w:trPr>
        <w:tc>
          <w:tcPr>
            <w:tcW w:w="2127" w:type="dxa"/>
          </w:tcPr>
          <w:p w14:paraId="62C9AF87" w14:textId="77777777" w:rsidR="00D304E5" w:rsidRPr="00774395" w:rsidRDefault="00D304E5" w:rsidP="00B7447B">
            <w:pPr>
              <w:pStyle w:val="Nessunaspaziatura"/>
              <w:spacing w:line="276" w:lineRule="auto"/>
              <w:rPr>
                <w:sz w:val="20"/>
                <w:szCs w:val="20"/>
              </w:rPr>
            </w:pPr>
          </w:p>
        </w:tc>
        <w:tc>
          <w:tcPr>
            <w:tcW w:w="1815" w:type="dxa"/>
          </w:tcPr>
          <w:p w14:paraId="6E5FCBB2" w14:textId="77777777" w:rsidR="00D304E5" w:rsidRPr="00774395" w:rsidRDefault="00D304E5" w:rsidP="00B7447B">
            <w:pPr>
              <w:pStyle w:val="Nessunaspaziatura"/>
              <w:spacing w:line="276" w:lineRule="auto"/>
              <w:rPr>
                <w:sz w:val="20"/>
                <w:szCs w:val="20"/>
              </w:rPr>
            </w:pPr>
            <w:r w:rsidRPr="00774395">
              <w:rPr>
                <w:sz w:val="20"/>
                <w:szCs w:val="20"/>
              </w:rPr>
              <w:t>0.075-0.15</w:t>
            </w:r>
          </w:p>
        </w:tc>
        <w:tc>
          <w:tcPr>
            <w:tcW w:w="4298" w:type="dxa"/>
          </w:tcPr>
          <w:p w14:paraId="6C165CF4" w14:textId="318F72B6" w:rsidR="00D304E5" w:rsidRPr="00774395" w:rsidRDefault="00D304E5" w:rsidP="00B7447B">
            <w:pPr>
              <w:pStyle w:val="Nessunaspaziatura"/>
              <w:spacing w:line="276" w:lineRule="auto"/>
              <w:rPr>
                <w:sz w:val="20"/>
                <w:szCs w:val="20"/>
              </w:rPr>
            </w:pPr>
            <w:r w:rsidRPr="00774395">
              <w:rPr>
                <w:sz w:val="20"/>
                <w:szCs w:val="20"/>
              </w:rPr>
              <w:t>0.075% ≤ O/C molar ratio &lt; 0.15%</w:t>
            </w:r>
          </w:p>
        </w:tc>
        <w:tc>
          <w:tcPr>
            <w:tcW w:w="1398" w:type="dxa"/>
          </w:tcPr>
          <w:p w14:paraId="30F8EF0F" w14:textId="67308622" w:rsidR="00D304E5" w:rsidRPr="00774395" w:rsidRDefault="00D304E5" w:rsidP="00B7447B">
            <w:pPr>
              <w:pStyle w:val="Nessunaspaziatura"/>
              <w:spacing w:line="276" w:lineRule="auto"/>
              <w:rPr>
                <w:rFonts w:cs="Times New Roman"/>
                <w:sz w:val="20"/>
                <w:szCs w:val="20"/>
              </w:rPr>
            </w:pPr>
            <w:r w:rsidRPr="00774395">
              <w:rPr>
                <w:rFonts w:cs="Times New Roman"/>
                <w:sz w:val="20"/>
                <w:szCs w:val="20"/>
              </w:rPr>
              <w:t>29.1</w:t>
            </w:r>
            <w:r w:rsidR="0030602D">
              <w:rPr>
                <w:rFonts w:cs="Times New Roman"/>
                <w:sz w:val="20"/>
                <w:szCs w:val="20"/>
              </w:rPr>
              <w:t xml:space="preserve"> </w:t>
            </w:r>
            <w:r w:rsidRPr="00774395">
              <w:rPr>
                <w:rFonts w:cs="Times New Roman"/>
                <w:sz w:val="20"/>
                <w:szCs w:val="20"/>
              </w:rPr>
              <w:t>(103)</w:t>
            </w:r>
          </w:p>
        </w:tc>
      </w:tr>
      <w:tr w:rsidR="00D304E5" w:rsidRPr="00774395" w14:paraId="0F475FD4" w14:textId="77777777" w:rsidTr="00B7447B">
        <w:trPr>
          <w:trHeight w:val="227"/>
        </w:trPr>
        <w:tc>
          <w:tcPr>
            <w:tcW w:w="2127" w:type="dxa"/>
          </w:tcPr>
          <w:p w14:paraId="368D4E75" w14:textId="77777777" w:rsidR="00D304E5" w:rsidRPr="00774395" w:rsidRDefault="00D304E5" w:rsidP="00B7447B">
            <w:pPr>
              <w:pStyle w:val="Nessunaspaziatura"/>
              <w:spacing w:line="276" w:lineRule="auto"/>
              <w:rPr>
                <w:sz w:val="20"/>
                <w:szCs w:val="20"/>
              </w:rPr>
            </w:pPr>
          </w:p>
        </w:tc>
        <w:tc>
          <w:tcPr>
            <w:tcW w:w="1815" w:type="dxa"/>
          </w:tcPr>
          <w:p w14:paraId="6607B066" w14:textId="77777777" w:rsidR="00D304E5" w:rsidRPr="00774395" w:rsidRDefault="00D304E5" w:rsidP="00B7447B">
            <w:pPr>
              <w:pStyle w:val="Nessunaspaziatura"/>
              <w:spacing w:line="276" w:lineRule="auto"/>
              <w:rPr>
                <w:sz w:val="20"/>
                <w:szCs w:val="20"/>
              </w:rPr>
            </w:pPr>
            <w:r w:rsidRPr="00774395">
              <w:rPr>
                <w:sz w:val="20"/>
                <w:szCs w:val="20"/>
              </w:rPr>
              <w:t>0.15-0.3</w:t>
            </w:r>
          </w:p>
        </w:tc>
        <w:tc>
          <w:tcPr>
            <w:tcW w:w="4298" w:type="dxa"/>
          </w:tcPr>
          <w:p w14:paraId="50072759" w14:textId="6F8EA6D0" w:rsidR="00D304E5" w:rsidRPr="00774395" w:rsidRDefault="00D304E5" w:rsidP="00B7447B">
            <w:pPr>
              <w:pStyle w:val="Nessunaspaziatura"/>
              <w:spacing w:line="276" w:lineRule="auto"/>
              <w:rPr>
                <w:sz w:val="20"/>
                <w:szCs w:val="20"/>
              </w:rPr>
            </w:pPr>
            <w:r w:rsidRPr="00774395">
              <w:rPr>
                <w:sz w:val="20"/>
                <w:szCs w:val="20"/>
              </w:rPr>
              <w:t>0.15% ≤ O/C molar ratio &lt; 0.3%</w:t>
            </w:r>
          </w:p>
        </w:tc>
        <w:tc>
          <w:tcPr>
            <w:tcW w:w="1398" w:type="dxa"/>
          </w:tcPr>
          <w:p w14:paraId="3D7D698F" w14:textId="4EA25B0B" w:rsidR="00D304E5" w:rsidRPr="00774395" w:rsidRDefault="00D304E5" w:rsidP="00B7447B">
            <w:pPr>
              <w:pStyle w:val="Nessunaspaziatura"/>
              <w:spacing w:line="276" w:lineRule="auto"/>
              <w:rPr>
                <w:rFonts w:cs="Times New Roman"/>
                <w:sz w:val="20"/>
                <w:szCs w:val="20"/>
              </w:rPr>
            </w:pPr>
            <w:r w:rsidRPr="00774395">
              <w:rPr>
                <w:rFonts w:cs="Times New Roman"/>
                <w:sz w:val="20"/>
                <w:szCs w:val="20"/>
              </w:rPr>
              <w:t>23.4</w:t>
            </w:r>
            <w:r w:rsidR="0030602D">
              <w:rPr>
                <w:rFonts w:cs="Times New Roman"/>
                <w:sz w:val="20"/>
                <w:szCs w:val="20"/>
              </w:rPr>
              <w:t xml:space="preserve"> </w:t>
            </w:r>
            <w:r w:rsidRPr="00774395">
              <w:rPr>
                <w:rFonts w:cs="Times New Roman"/>
                <w:sz w:val="20"/>
                <w:szCs w:val="20"/>
              </w:rPr>
              <w:t>(83)</w:t>
            </w:r>
          </w:p>
        </w:tc>
      </w:tr>
      <w:tr w:rsidR="00D304E5" w:rsidRPr="00774395" w14:paraId="4490CD33" w14:textId="77777777" w:rsidTr="00B7447B">
        <w:trPr>
          <w:trHeight w:val="227"/>
        </w:trPr>
        <w:tc>
          <w:tcPr>
            <w:tcW w:w="2127" w:type="dxa"/>
            <w:tcBorders>
              <w:bottom w:val="single" w:sz="4" w:space="0" w:color="auto"/>
            </w:tcBorders>
          </w:tcPr>
          <w:p w14:paraId="4034096E" w14:textId="77777777" w:rsidR="00D304E5" w:rsidRPr="00774395" w:rsidRDefault="00D304E5" w:rsidP="00B7447B">
            <w:pPr>
              <w:pStyle w:val="Nessunaspaziatura"/>
              <w:spacing w:line="276" w:lineRule="auto"/>
              <w:rPr>
                <w:sz w:val="20"/>
                <w:szCs w:val="20"/>
              </w:rPr>
            </w:pPr>
          </w:p>
        </w:tc>
        <w:tc>
          <w:tcPr>
            <w:tcW w:w="1815" w:type="dxa"/>
            <w:tcBorders>
              <w:bottom w:val="single" w:sz="4" w:space="0" w:color="auto"/>
            </w:tcBorders>
          </w:tcPr>
          <w:p w14:paraId="275A8A64" w14:textId="77777777" w:rsidR="00D304E5" w:rsidRPr="00774395" w:rsidRDefault="00D304E5" w:rsidP="00B7447B">
            <w:pPr>
              <w:pStyle w:val="Nessunaspaziatura"/>
              <w:spacing w:line="276" w:lineRule="auto"/>
              <w:rPr>
                <w:sz w:val="20"/>
                <w:szCs w:val="20"/>
              </w:rPr>
            </w:pPr>
            <w:r w:rsidRPr="00774395">
              <w:rPr>
                <w:sz w:val="20"/>
                <w:szCs w:val="20"/>
              </w:rPr>
              <w:t>≥ 0.3</w:t>
            </w:r>
          </w:p>
        </w:tc>
        <w:tc>
          <w:tcPr>
            <w:tcW w:w="4298" w:type="dxa"/>
            <w:tcBorders>
              <w:bottom w:val="single" w:sz="4" w:space="0" w:color="auto"/>
            </w:tcBorders>
          </w:tcPr>
          <w:p w14:paraId="577BF877" w14:textId="458B9AF9" w:rsidR="00D304E5" w:rsidRPr="00774395" w:rsidRDefault="00D304E5" w:rsidP="00B7447B">
            <w:pPr>
              <w:pStyle w:val="Nessunaspaziatura"/>
              <w:spacing w:line="276" w:lineRule="auto"/>
              <w:rPr>
                <w:sz w:val="20"/>
                <w:szCs w:val="20"/>
              </w:rPr>
            </w:pPr>
            <w:r w:rsidRPr="00774395">
              <w:rPr>
                <w:sz w:val="20"/>
                <w:szCs w:val="20"/>
              </w:rPr>
              <w:t>O/C molar ratio ≥ 0.3%</w:t>
            </w:r>
          </w:p>
        </w:tc>
        <w:tc>
          <w:tcPr>
            <w:tcW w:w="1398" w:type="dxa"/>
            <w:tcBorders>
              <w:bottom w:val="single" w:sz="4" w:space="0" w:color="auto"/>
            </w:tcBorders>
          </w:tcPr>
          <w:p w14:paraId="49F7DAC6" w14:textId="77777777" w:rsidR="00D304E5" w:rsidRPr="00774395" w:rsidRDefault="00D304E5" w:rsidP="00B7447B">
            <w:pPr>
              <w:pStyle w:val="Nessunaspaziatura"/>
              <w:spacing w:line="276" w:lineRule="auto"/>
              <w:rPr>
                <w:rFonts w:cs="Times New Roman"/>
                <w:sz w:val="20"/>
                <w:szCs w:val="20"/>
              </w:rPr>
            </w:pPr>
            <w:r w:rsidRPr="00774395">
              <w:rPr>
                <w:rFonts w:cs="Times New Roman"/>
                <w:sz w:val="20"/>
                <w:szCs w:val="20"/>
              </w:rPr>
              <w:t>21.5 (76)</w:t>
            </w:r>
          </w:p>
        </w:tc>
      </w:tr>
    </w:tbl>
    <w:p w14:paraId="28020993" w14:textId="77777777" w:rsidR="00D304E5" w:rsidRPr="00774395" w:rsidRDefault="00D304E5" w:rsidP="00265A4E">
      <w:pPr>
        <w:jc w:val="both"/>
      </w:pPr>
    </w:p>
    <w:p w14:paraId="176CA4EE" w14:textId="705AF77F" w:rsidR="002E703A" w:rsidRPr="00774395" w:rsidRDefault="00931735" w:rsidP="00C92CB2">
      <w:pPr>
        <w:pStyle w:val="Titolo2"/>
        <w:rPr>
          <w:b/>
          <w:bCs/>
          <w:sz w:val="24"/>
          <w:szCs w:val="24"/>
        </w:rPr>
      </w:pPr>
      <w:r w:rsidRPr="00774395">
        <w:rPr>
          <w:b/>
          <w:bCs/>
          <w:sz w:val="24"/>
          <w:szCs w:val="24"/>
        </w:rPr>
        <w:t>3</w:t>
      </w:r>
      <w:r w:rsidR="002E703A" w:rsidRPr="00774395">
        <w:rPr>
          <w:b/>
          <w:bCs/>
          <w:sz w:val="24"/>
          <w:szCs w:val="24"/>
        </w:rPr>
        <w:t xml:space="preserve">. </w:t>
      </w:r>
      <w:r w:rsidRPr="00774395">
        <w:rPr>
          <w:b/>
          <w:bCs/>
          <w:sz w:val="24"/>
          <w:szCs w:val="24"/>
        </w:rPr>
        <w:t>Theory and calculations</w:t>
      </w:r>
    </w:p>
    <w:p w14:paraId="61E26855" w14:textId="6A7BE978" w:rsidR="00D304E5" w:rsidRPr="00C40114" w:rsidRDefault="00931735" w:rsidP="002F551A">
      <w:pPr>
        <w:pStyle w:val="Titolo3"/>
        <w:rPr>
          <w:rFonts w:eastAsiaTheme="minorEastAsia"/>
          <w:b/>
          <w:bCs/>
          <w:i w:val="0"/>
          <w:iCs/>
        </w:rPr>
      </w:pPr>
      <w:r w:rsidRPr="00C40114">
        <w:rPr>
          <w:rFonts w:eastAsiaTheme="minorEastAsia"/>
          <w:b/>
          <w:bCs/>
          <w:i w:val="0"/>
          <w:iCs/>
        </w:rPr>
        <w:t>3</w:t>
      </w:r>
      <w:r w:rsidR="00D304E5" w:rsidRPr="00C40114">
        <w:rPr>
          <w:rFonts w:eastAsiaTheme="minorEastAsia"/>
          <w:b/>
          <w:bCs/>
          <w:i w:val="0"/>
          <w:iCs/>
        </w:rPr>
        <w:t>.1</w:t>
      </w:r>
      <w:r w:rsidR="00051146">
        <w:rPr>
          <w:rFonts w:eastAsiaTheme="minorEastAsia"/>
          <w:b/>
          <w:bCs/>
          <w:i w:val="0"/>
          <w:iCs/>
        </w:rPr>
        <w:t>.</w:t>
      </w:r>
      <w:r w:rsidR="00D304E5" w:rsidRPr="00C40114">
        <w:rPr>
          <w:rFonts w:eastAsiaTheme="minorEastAsia"/>
          <w:b/>
          <w:bCs/>
          <w:i w:val="0"/>
          <w:iCs/>
        </w:rPr>
        <w:t xml:space="preserve"> Analysis of variance (ANOVA)</w:t>
      </w:r>
    </w:p>
    <w:p w14:paraId="4D659153" w14:textId="287EDC0D" w:rsidR="001018AA" w:rsidRPr="00774395" w:rsidRDefault="001018AA" w:rsidP="00A320CD">
      <w:pPr>
        <w:jc w:val="both"/>
        <w:rPr>
          <w:rFonts w:eastAsiaTheme="minorEastAsia"/>
        </w:rPr>
      </w:pPr>
      <w:r w:rsidRPr="00774395">
        <w:rPr>
          <w:rFonts w:eastAsiaTheme="minorEastAsia"/>
        </w:rPr>
        <w:t>The influence of feedstocks for BC production and pyrolysis temperature on the physi</w:t>
      </w:r>
      <w:r w:rsidR="00216A35" w:rsidRPr="00774395">
        <w:rPr>
          <w:rFonts w:eastAsiaTheme="minorEastAsia"/>
        </w:rPr>
        <w:t>c</w:t>
      </w:r>
      <w:r w:rsidRPr="00774395">
        <w:rPr>
          <w:rFonts w:eastAsiaTheme="minorEastAsia"/>
        </w:rPr>
        <w:t xml:space="preserve">o-chemical properties of BCs was assessed. All BCs included in the </w:t>
      </w:r>
      <w:r w:rsidR="009301F1" w:rsidRPr="00774395">
        <w:rPr>
          <w:rFonts w:eastAsiaTheme="minorEastAsia"/>
        </w:rPr>
        <w:t>inventory</w:t>
      </w:r>
      <w:r w:rsidRPr="00774395">
        <w:rPr>
          <w:rFonts w:eastAsiaTheme="minorEastAsia"/>
        </w:rPr>
        <w:t xml:space="preserve"> were considered. Feedstocks and pyrolysis </w:t>
      </w:r>
      <w:r w:rsidRPr="00774395">
        <w:rPr>
          <w:rFonts w:eastAsiaTheme="minorEastAsia"/>
        </w:rPr>
        <w:lastRenderedPageBreak/>
        <w:t>temperatures were grouped according to</w:t>
      </w:r>
      <w:r w:rsidR="00D006BD" w:rsidRPr="00774395">
        <w:rPr>
          <w:rFonts w:eastAsiaTheme="minorEastAsia"/>
        </w:rPr>
        <w:t xml:space="preserve"> the criteria described in</w:t>
      </w:r>
      <w:r w:rsidRPr="00774395">
        <w:rPr>
          <w:rFonts w:eastAsiaTheme="minorEastAsia"/>
        </w:rPr>
        <w:t xml:space="preserve"> </w:t>
      </w:r>
      <w:r w:rsidRPr="00774395">
        <w:rPr>
          <w:rFonts w:eastAsiaTheme="minorEastAsia"/>
        </w:rPr>
        <w:fldChar w:fldCharType="begin"/>
      </w:r>
      <w:r w:rsidRPr="00774395">
        <w:rPr>
          <w:rFonts w:eastAsiaTheme="minorEastAsia"/>
        </w:rPr>
        <w:instrText xml:space="preserve"> REF _Ref83145109 \h </w:instrText>
      </w:r>
      <w:r w:rsidR="00A320CD" w:rsidRPr="00774395">
        <w:rPr>
          <w:rFonts w:eastAsiaTheme="minorEastAsia"/>
        </w:rPr>
        <w:instrText xml:space="preserve"> \* MERGEFORMAT </w:instrText>
      </w:r>
      <w:r w:rsidRPr="00774395">
        <w:rPr>
          <w:rFonts w:eastAsiaTheme="minorEastAsia"/>
        </w:rPr>
      </w:r>
      <w:r w:rsidRPr="00774395">
        <w:rPr>
          <w:rFonts w:eastAsiaTheme="minorEastAsia"/>
        </w:rPr>
        <w:fldChar w:fldCharType="separate"/>
      </w:r>
      <w:r w:rsidR="00BE795B" w:rsidRPr="00774395">
        <w:t xml:space="preserve">Table </w:t>
      </w:r>
      <w:r w:rsidR="00BE795B" w:rsidRPr="00774395">
        <w:rPr>
          <w:noProof/>
        </w:rPr>
        <w:t>1</w:t>
      </w:r>
      <w:r w:rsidRPr="00774395">
        <w:rPr>
          <w:rFonts w:eastAsiaTheme="minorEastAsia"/>
        </w:rPr>
        <w:fldChar w:fldCharType="end"/>
      </w:r>
      <w:r w:rsidRPr="00774395">
        <w:rPr>
          <w:rFonts w:eastAsiaTheme="minorEastAsia"/>
        </w:rPr>
        <w:t xml:space="preserve">. One-way analysis of variance (ANOVA) at </w:t>
      </w:r>
      <w:r w:rsidRPr="00774395">
        <w:rPr>
          <w:rFonts w:eastAsiaTheme="minorEastAsia" w:cs="Times New Roman"/>
        </w:rPr>
        <w:t>α</w:t>
      </w:r>
      <w:r w:rsidRPr="00774395">
        <w:rPr>
          <w:rFonts w:eastAsiaTheme="minorEastAsia"/>
        </w:rPr>
        <w:t xml:space="preserve"> = 0.05 was used to compare different feedstocks and temperatures. Then, significant differences between individual subgroups were identified through Tukey’s </w:t>
      </w:r>
      <w:r w:rsidR="00B45FD2" w:rsidRPr="00774395">
        <w:rPr>
          <w:rFonts w:eastAsiaTheme="minorEastAsia"/>
        </w:rPr>
        <w:t>h</w:t>
      </w:r>
      <w:r w:rsidRPr="00774395">
        <w:rPr>
          <w:rFonts w:eastAsiaTheme="minorEastAsia"/>
        </w:rPr>
        <w:t xml:space="preserve">onestly </w:t>
      </w:r>
      <w:r w:rsidR="00B45FD2" w:rsidRPr="00774395">
        <w:rPr>
          <w:rFonts w:eastAsiaTheme="minorEastAsia"/>
        </w:rPr>
        <w:t>s</w:t>
      </w:r>
      <w:r w:rsidRPr="00774395">
        <w:rPr>
          <w:rFonts w:eastAsiaTheme="minorEastAsia"/>
        </w:rPr>
        <w:t xml:space="preserve">ignificant </w:t>
      </w:r>
      <w:r w:rsidR="00B45FD2" w:rsidRPr="00774395">
        <w:rPr>
          <w:rFonts w:eastAsiaTheme="minorEastAsia"/>
        </w:rPr>
        <w:t>d</w:t>
      </w:r>
      <w:r w:rsidRPr="00774395">
        <w:rPr>
          <w:rFonts w:eastAsiaTheme="minorEastAsia"/>
        </w:rPr>
        <w:t>ifference (HSD) post-hoc test (</w:t>
      </w:r>
      <w:r w:rsidRPr="00774395">
        <w:rPr>
          <w:rFonts w:eastAsiaTheme="minorEastAsia" w:cs="Times New Roman"/>
        </w:rPr>
        <w:t>α</w:t>
      </w:r>
      <w:r w:rsidRPr="00774395">
        <w:rPr>
          <w:rFonts w:eastAsiaTheme="minorEastAsia"/>
        </w:rPr>
        <w:t xml:space="preserve"> = 0.05). Boxplot was used to identify the distribution of each BC property. All statistical analyses were conducted using R language </w:t>
      </w:r>
      <w:r w:rsidRPr="00774395">
        <w:rPr>
          <w:rFonts w:eastAsiaTheme="minorEastAsia"/>
        </w:rPr>
        <w:fldChar w:fldCharType="begin" w:fldLock="1"/>
      </w:r>
      <w:r w:rsidR="00520099">
        <w:rPr>
          <w:rFonts w:eastAsiaTheme="minorEastAsia"/>
        </w:rPr>
        <w:instrText>ADDIN CSL_CITATION {"citationItems":[{"id":"ITEM-1","itemData":{"author":[{"dropping-particle":"","family":"R Core Team","given":"","non-dropping-particle":"","parse-names":false,"suffix":""}],"id":"ITEM-1","issued":{"date-parts":[["2021"]]},"publisher":"R Foundation for Statistical Computing","publisher-place":"Vienna, Austria","title":"R: A Language and Environment for Statistical Computing","type":"article"},"uris":["http://www.mendeley.com/documents/?uuid=db69b307-deb0-465a-9cd0-fbba16f7b8ad"]}],"mendeley":{"formattedCitation":"[43]","plainTextFormattedCitation":"[43]","previouslyFormattedCitation":"[43]"},"properties":{"noteIndex":0},"schema":"https://github.com/citation-style-language/schema/raw/master/csl-citation.json"}</w:instrText>
      </w:r>
      <w:r w:rsidRPr="00774395">
        <w:rPr>
          <w:rFonts w:eastAsiaTheme="minorEastAsia"/>
        </w:rPr>
        <w:fldChar w:fldCharType="separate"/>
      </w:r>
      <w:r w:rsidR="00830B48" w:rsidRPr="00830B48">
        <w:rPr>
          <w:rFonts w:eastAsiaTheme="minorEastAsia"/>
          <w:noProof/>
        </w:rPr>
        <w:t>[43]</w:t>
      </w:r>
      <w:r w:rsidRPr="00774395">
        <w:rPr>
          <w:rFonts w:eastAsiaTheme="minorEastAsia"/>
        </w:rPr>
        <w:fldChar w:fldCharType="end"/>
      </w:r>
      <w:r w:rsidRPr="00774395">
        <w:rPr>
          <w:rFonts w:eastAsiaTheme="minorEastAsia"/>
        </w:rPr>
        <w:t>.</w:t>
      </w:r>
    </w:p>
    <w:p w14:paraId="2BA07341" w14:textId="77777777" w:rsidR="009301F1" w:rsidRPr="00774395" w:rsidRDefault="009301F1" w:rsidP="00A320CD">
      <w:pPr>
        <w:jc w:val="both"/>
        <w:rPr>
          <w:rFonts w:eastAsiaTheme="minorEastAsia"/>
        </w:rPr>
      </w:pPr>
    </w:p>
    <w:p w14:paraId="2D7737E7" w14:textId="491BD2ED" w:rsidR="00280AEE" w:rsidRPr="00C40114" w:rsidRDefault="00931735" w:rsidP="00280AEE">
      <w:pPr>
        <w:pStyle w:val="Titolo3"/>
        <w:rPr>
          <w:b/>
          <w:bCs/>
          <w:i w:val="0"/>
          <w:iCs/>
        </w:rPr>
      </w:pPr>
      <w:r w:rsidRPr="00C40114">
        <w:rPr>
          <w:b/>
          <w:bCs/>
          <w:i w:val="0"/>
          <w:iCs/>
        </w:rPr>
        <w:t>3</w:t>
      </w:r>
      <w:r w:rsidR="00280AEE" w:rsidRPr="00C40114">
        <w:rPr>
          <w:b/>
          <w:bCs/>
          <w:i w:val="0"/>
          <w:iCs/>
        </w:rPr>
        <w:t>.</w:t>
      </w:r>
      <w:r w:rsidR="00D304E5" w:rsidRPr="00C40114">
        <w:rPr>
          <w:b/>
          <w:bCs/>
          <w:i w:val="0"/>
          <w:iCs/>
        </w:rPr>
        <w:t>2</w:t>
      </w:r>
      <w:r w:rsidR="00280AEE" w:rsidRPr="00C40114">
        <w:rPr>
          <w:b/>
          <w:bCs/>
          <w:i w:val="0"/>
          <w:iCs/>
        </w:rPr>
        <w:t>. Meta-analysis</w:t>
      </w:r>
    </w:p>
    <w:p w14:paraId="00368435" w14:textId="4B567AEF" w:rsidR="004F1B65" w:rsidRPr="00774395" w:rsidRDefault="00CB6411" w:rsidP="00265A4E">
      <w:pPr>
        <w:jc w:val="both"/>
        <w:rPr>
          <w:rFonts w:eastAsiaTheme="minorEastAsia" w:cs="Times New Roman"/>
        </w:rPr>
      </w:pPr>
      <w:r w:rsidRPr="00774395">
        <w:t xml:space="preserve">Meta-analysis was carried out using </w:t>
      </w:r>
      <w:r w:rsidR="00D006BD" w:rsidRPr="00774395">
        <w:t xml:space="preserve">the </w:t>
      </w:r>
      <w:r w:rsidR="007E550C" w:rsidRPr="00774395">
        <w:t>M</w:t>
      </w:r>
      <w:r w:rsidRPr="00774395">
        <w:t xml:space="preserve">etafor package v. 3.0-2 </w:t>
      </w:r>
      <w:r w:rsidRPr="00774395">
        <w:fldChar w:fldCharType="begin" w:fldLock="1"/>
      </w:r>
      <w:r w:rsidR="00520099">
        <w:instrText>ADDIN CSL_CITATION {"citationItems":[{"id":"ITEM-1","itemData":{"DOI":"10.18637/jss.v036.i03","ISSN":"1548-7660","abstract":"The metafor package provides functions for conducting meta-analyses in R. The package includes functions for fitting the meta-analytic fixed- and random-effects models and allows for the inclusion of moderators variables (study-level covariates) in these models. Meta-regression analyses with continuous and categorical moderators can be conducted in this way. Functions for the Mantel-Haenszel and Peto's one-step method for meta-analyses of 2 x 2 table data are also available. Finally, the package provides various plot functions (for example, for forest, funnel, and radial plots) and functions for assessing the model fit, for obtaining case diagnostics, and for tests of publication bias.","author":[{"dropping-particle":"","family":"Viechtbauer","given":"Wolfgang","non-dropping-particle":"","parse-names":false,"suffix":""}],"container-title":"Journal of Statistical Software","id":"ITEM-1","issue":"3","issued":{"date-parts":[["2010","8","5"]]},"page":"1-48","title":"Conducting Meta-Analyses in R with the metafor Package","type":"article-journal","volume":"36"},"uris":["http://www.mendeley.com/documents/?uuid=69038fff-eb43-37fe-8137-c2f1048cb6d6"]}],"mendeley":{"formattedCitation":"[44]","plainTextFormattedCitation":"[44]","previouslyFormattedCitation":"[44]"},"properties":{"noteIndex":0},"schema":"https://github.com/citation-style-language/schema/raw/master/csl-citation.json"}</w:instrText>
      </w:r>
      <w:r w:rsidRPr="00774395">
        <w:fldChar w:fldCharType="separate"/>
      </w:r>
      <w:r w:rsidR="00830B48" w:rsidRPr="00830B48">
        <w:rPr>
          <w:noProof/>
        </w:rPr>
        <w:t>[44]</w:t>
      </w:r>
      <w:r w:rsidRPr="00774395">
        <w:fldChar w:fldCharType="end"/>
      </w:r>
      <w:r w:rsidRPr="00774395">
        <w:t xml:space="preserve"> in R.</w:t>
      </w:r>
      <w:r w:rsidR="00A006C7" w:rsidRPr="00774395">
        <w:t xml:space="preserve"> </w:t>
      </w:r>
      <w:r w:rsidR="00734635" w:rsidRPr="00774395">
        <w:t>First</w:t>
      </w:r>
      <w:r w:rsidR="00A320CD" w:rsidRPr="00774395">
        <w:t>ly</w:t>
      </w:r>
      <w:r w:rsidR="00734635" w:rsidRPr="00774395">
        <w:t>, data w</w:t>
      </w:r>
      <w:r w:rsidR="00D006BD" w:rsidRPr="00774395">
        <w:t>ere</w:t>
      </w:r>
      <w:r w:rsidR="00734635" w:rsidRPr="00774395">
        <w:t xml:space="preserve"> divided into two subsets </w:t>
      </w:r>
      <w:r w:rsidR="00A320CD" w:rsidRPr="00774395">
        <w:t>(</w:t>
      </w:r>
      <w:r w:rsidR="00734635" w:rsidRPr="00774395">
        <w:t>batch and semi-continuous AD tests</w:t>
      </w:r>
      <w:r w:rsidR="00A320CD" w:rsidRPr="00774395">
        <w:t>)</w:t>
      </w:r>
      <w:r w:rsidR="00734635" w:rsidRPr="00774395">
        <w:t xml:space="preserve">. </w:t>
      </w:r>
      <w:r w:rsidR="00A320CD" w:rsidRPr="00774395">
        <w:t>Then,</w:t>
      </w:r>
      <w:r w:rsidR="00734635" w:rsidRPr="00774395">
        <w:t xml:space="preserve"> three separate meta-analysis were carried out to investigate the effect of BC supplementation on </w:t>
      </w:r>
      <w:r w:rsidR="00BA362C" w:rsidRPr="00774395">
        <w:t>CH</w:t>
      </w:r>
      <w:r w:rsidR="00BA362C" w:rsidRPr="00774395">
        <w:rPr>
          <w:vertAlign w:val="subscript"/>
        </w:rPr>
        <w:t>4</w:t>
      </w:r>
      <w:r w:rsidR="00734635" w:rsidRPr="00774395">
        <w:t xml:space="preserve"> yield, </w:t>
      </w:r>
      <w:r w:rsidR="00BA362C" w:rsidRPr="00774395">
        <w:t>CH</w:t>
      </w:r>
      <w:r w:rsidR="00BA362C" w:rsidRPr="00774395">
        <w:rPr>
          <w:vertAlign w:val="subscript"/>
        </w:rPr>
        <w:t>4</w:t>
      </w:r>
      <w:r w:rsidR="00734635" w:rsidRPr="00774395">
        <w:t xml:space="preserve"> production rate (R</w:t>
      </w:r>
      <w:r w:rsidR="00734635" w:rsidRPr="00774395">
        <w:rPr>
          <w:vertAlign w:val="subscript"/>
        </w:rPr>
        <w:t>max</w:t>
      </w:r>
      <w:r w:rsidR="00734635" w:rsidRPr="00774395">
        <w:t>) and lag-phase (</w:t>
      </w:r>
      <w:r w:rsidR="00734635" w:rsidRPr="00774395">
        <w:rPr>
          <w:rFonts w:cs="Times New Roman"/>
        </w:rPr>
        <w:t>λ</w:t>
      </w:r>
      <w:r w:rsidR="00734635" w:rsidRPr="00774395">
        <w:t xml:space="preserve">) from the </w:t>
      </w:r>
      <w:r w:rsidR="00A320CD" w:rsidRPr="00774395">
        <w:t xml:space="preserve">modified </w:t>
      </w:r>
      <w:r w:rsidR="00734635" w:rsidRPr="00774395">
        <w:t xml:space="preserve">Gompertz model fitting. In case of the semi-continuous subset, an additional meta-analysis was conducted to assess the effect of BC on </w:t>
      </w:r>
      <w:r w:rsidR="00BA362C" w:rsidRPr="00774395">
        <w:t>CH</w:t>
      </w:r>
      <w:r w:rsidR="00BA362C" w:rsidRPr="00774395">
        <w:rPr>
          <w:vertAlign w:val="subscript"/>
        </w:rPr>
        <w:t>4</w:t>
      </w:r>
      <w:r w:rsidR="00734635" w:rsidRPr="00774395">
        <w:t xml:space="preserve"> production rate. In each case, the </w:t>
      </w:r>
      <w:r w:rsidR="000041C6" w:rsidRPr="00774395">
        <w:t xml:space="preserve">paired results of the </w:t>
      </w:r>
      <w:r w:rsidR="00A320CD" w:rsidRPr="00774395">
        <w:t xml:space="preserve">“treatment” </w:t>
      </w:r>
      <w:r w:rsidR="000041C6" w:rsidRPr="00774395">
        <w:t xml:space="preserve">and </w:t>
      </w:r>
      <w:r w:rsidR="00A320CD" w:rsidRPr="00774395">
        <w:t>“</w:t>
      </w:r>
      <w:r w:rsidR="000041C6" w:rsidRPr="00774395">
        <w:t>control</w:t>
      </w:r>
      <w:r w:rsidR="00A320CD" w:rsidRPr="00774395">
        <w:t>”</w:t>
      </w:r>
      <w:r w:rsidR="000041C6" w:rsidRPr="00774395">
        <w:t xml:space="preserve"> groups were computed to obtain the effect size</w:t>
      </w:r>
      <w:r w:rsidR="004C5C08" w:rsidRPr="00774395">
        <w:t xml:space="preserve"> (ES)</w:t>
      </w:r>
      <w:r w:rsidR="000041C6" w:rsidRPr="00774395">
        <w:t xml:space="preserve">, being </w:t>
      </w:r>
      <w:r w:rsidR="00FC4CC5" w:rsidRPr="00774395">
        <w:t xml:space="preserve">the extent </w:t>
      </w:r>
      <w:r w:rsidR="000041C6" w:rsidRPr="00774395">
        <w:t xml:space="preserve">of the treatment effect </w:t>
      </w:r>
      <w:r w:rsidR="00FC4CC5" w:rsidRPr="00774395">
        <w:t>(</w:t>
      </w:r>
      <w:r w:rsidR="00A320CD" w:rsidRPr="00774395">
        <w:t xml:space="preserve">BC </w:t>
      </w:r>
      <w:r w:rsidR="00FC4CC5" w:rsidRPr="00774395">
        <w:t>addition), or</w:t>
      </w:r>
      <w:r w:rsidR="00D006BD" w:rsidRPr="00774395">
        <w:t>,</w:t>
      </w:r>
      <w:r w:rsidR="00FC4CC5" w:rsidRPr="00774395">
        <w:t xml:space="preserve"> in other words</w:t>
      </w:r>
      <w:r w:rsidR="00D006BD" w:rsidRPr="00774395">
        <w:t>,</w:t>
      </w:r>
      <w:r w:rsidR="00FC4CC5" w:rsidRPr="00774395">
        <w:t xml:space="preserve"> the magnitude of the difference between the </w:t>
      </w:r>
      <w:r w:rsidR="00A320CD" w:rsidRPr="00774395">
        <w:t>“</w:t>
      </w:r>
      <w:r w:rsidR="00FC4CC5" w:rsidRPr="00774395">
        <w:t>treatment</w:t>
      </w:r>
      <w:r w:rsidR="00A320CD" w:rsidRPr="00774395">
        <w:t>”</w:t>
      </w:r>
      <w:r w:rsidR="00FC4CC5" w:rsidRPr="00774395">
        <w:t xml:space="preserve"> and the </w:t>
      </w:r>
      <w:r w:rsidR="00A320CD" w:rsidRPr="00774395">
        <w:t>“</w:t>
      </w:r>
      <w:r w:rsidR="00FC4CC5" w:rsidRPr="00774395">
        <w:t>control</w:t>
      </w:r>
      <w:r w:rsidR="00A320CD" w:rsidRPr="00774395">
        <w:t>”</w:t>
      </w:r>
      <w:r w:rsidR="00FC4CC5" w:rsidRPr="00774395">
        <w:t xml:space="preserve"> means </w:t>
      </w:r>
      <w:r w:rsidR="00FC4CC5" w:rsidRPr="00774395">
        <w:fldChar w:fldCharType="begin" w:fldLock="1"/>
      </w:r>
      <w:r w:rsidR="00520099">
        <w:instrText>ADDIN CSL_CITATION {"citationItems":[{"id":"ITEM-1","itemData":{"DOI":"10.1016/j.jclepro.2020.122449","ISSN":"09596526","abstract":"The profitability of biogas industries largely depends on substrate biodegradability. Most of the substrates for sustainable energy recovery via anaerobic digestion like lignocellulosic materials contains complex polymeric substances and requires some enhancements to achieve optimum biodegradability. Previous studies have reported that the use of iron additives improved both degradability of such substrates and biogas yield, but iron-based enhancements have shown variability in the input and yield results. This evidence-based study used meta-analysis in determining the performances of iron-based additives on biogas yield. Previously published articles on the subject were systematically identified and compiled based on set inclusion criteria. The database was used to analyze the influence of iron-based additives on the enhancement of biogas yield during anaerobic digestion of organic wastes. The pooled effect estimates at 95% confidence interval was generated with the use of Random-effects model. The overall result of the meta-analysis performed showed that iron-based additives supplementation significantly enhanced biogas yield at Standard mean difference = 1.451, 95% CI: 1.280–1.622, p &lt; 0.001. Restricted subgroup analysis indicated that all the moderators had a significant influence on biogas yield of iron-based treated anaerobic digestion processes at p &lt; 0.001. Evidence of heterogeneity was observed, while meta-regression analysis indicated that most of the sources of heterogeneity were explained by the additive-types, substrate-types, dosage range and research location at p &lt; 0.05. The result of this study showed the potential of iron-based additives supplementation to improve biogas yield during anaerobic digestion of organic wastes. The information from this study avails important suggestions on policy advancements and sustainable usage of iron-based enhanced anaerobic digestion processes in biogas industries.","author":[{"dropping-particle":"","family":"Ugwu","given":"S. N.","non-dropping-particle":"","parse-names":false,"suffix":""},{"dropping-particle":"","family":"Biscoff","given":"R. K.","non-dropping-particle":"","parse-names":false,"suffix":""},{"dropping-particle":"","family":"Enweremadu","given":"C. C.","non-dropping-particle":"","parse-names":false,"suffix":""}],"container-title":"Journal of Cleaner Production","id":"ITEM-1","issued":{"date-parts":[["2020"]]},"page":"122449","publisher":"Elsevier","title":"A meta-analysis of iron-based additives on enhancements of biogas yields during anaerobic digestion of organic wastes","type":"article-journal","volume":"269"},"uris":["http://www.mendeley.com/documents/?uuid=809e79f9-d5f7-488c-b455-584ddb543cb9"]}],"mendeley":{"formattedCitation":"[45]","plainTextFormattedCitation":"[45]","previouslyFormattedCitation":"[45]"},"properties":{"noteIndex":0},"schema":"https://github.com/citation-style-language/schema/raw/master/csl-citation.json"}</w:instrText>
      </w:r>
      <w:r w:rsidR="00FC4CC5" w:rsidRPr="00774395">
        <w:fldChar w:fldCharType="separate"/>
      </w:r>
      <w:r w:rsidR="00830B48" w:rsidRPr="00830B48">
        <w:rPr>
          <w:noProof/>
        </w:rPr>
        <w:t>[45]</w:t>
      </w:r>
      <w:r w:rsidR="00FC4CC5" w:rsidRPr="00774395">
        <w:fldChar w:fldCharType="end"/>
      </w:r>
      <w:r w:rsidR="000041C6" w:rsidRPr="00774395">
        <w:t xml:space="preserve">. </w:t>
      </w:r>
      <w:r w:rsidR="00A320CD" w:rsidRPr="00774395">
        <w:t>T</w:t>
      </w:r>
      <w:r w:rsidR="00833C77" w:rsidRPr="00774395">
        <w:t xml:space="preserve">he </w:t>
      </w:r>
      <w:r w:rsidR="00FC4CC5" w:rsidRPr="00774395">
        <w:t>Hedges’s standard</w:t>
      </w:r>
      <w:r w:rsidR="00F235DA" w:rsidRPr="00774395">
        <w:t>ized</w:t>
      </w:r>
      <w:r w:rsidR="00FC4CC5" w:rsidRPr="00774395">
        <w:t xml:space="preserve"> mean difference (</w:t>
      </w:r>
      <w:r w:rsidR="00FC4CC5" w:rsidRPr="00774395">
        <w:rPr>
          <w:i/>
          <w:iCs/>
        </w:rPr>
        <w:t>g</w:t>
      </w:r>
      <w:r w:rsidR="00FC4CC5" w:rsidRPr="00774395">
        <w:t xml:space="preserve">) </w:t>
      </w:r>
      <w:r w:rsidR="00FC4CC5" w:rsidRPr="00774395">
        <w:fldChar w:fldCharType="begin" w:fldLock="1"/>
      </w:r>
      <w:r w:rsidR="00520099">
        <w:instrText>ADDIN CSL_CITATION {"citationItems":[{"id":"ITEM-1","itemData":{"ISBN":"978-1-119-55835-4","author":[{"dropping-particle":"","family":"Borenstein","given":"Michael","non-dropping-particle":"","parse-names":false,"suffix":""},{"dropping-particle":"V.","family":"Hedges","given":"Larry","non-dropping-particle":"","parse-names":false,"suffix":""},{"dropping-particle":"","family":"Higgins","given":"Julian P. T.","non-dropping-particle":"","parse-names":false,"suffix":""},{"dropping-particle":"","family":"Rothstein","given":"Hannah R.","non-dropping-particle":"","parse-names":false,"suffix":""}],"edition":"2nd","id":"ITEM-1","issued":{"date-parts":[["2021"]]},"publisher":"Wiley &amp; Sons","title":"Introduction to Meta-Analysis","type":"book"},"uris":["http://www.mendeley.com/documents/?uuid=5ba4c5f1-d6dd-3209-adba-6a3700476344"]}],"mendeley":{"formattedCitation":"[46]","plainTextFormattedCitation":"[46]","previouslyFormattedCitation":"[46]"},"properties":{"noteIndex":0},"schema":"https://github.com/citation-style-language/schema/raw/master/csl-citation.json"}</w:instrText>
      </w:r>
      <w:r w:rsidR="00FC4CC5" w:rsidRPr="00774395">
        <w:fldChar w:fldCharType="separate"/>
      </w:r>
      <w:r w:rsidR="00830B48" w:rsidRPr="00830B48">
        <w:rPr>
          <w:noProof/>
        </w:rPr>
        <w:t>[46]</w:t>
      </w:r>
      <w:r w:rsidR="00FC4CC5" w:rsidRPr="00774395">
        <w:fldChar w:fldCharType="end"/>
      </w:r>
      <w:r w:rsidR="00FC4CC5" w:rsidRPr="00774395">
        <w:t xml:space="preserve"> was adopted as </w:t>
      </w:r>
      <w:r w:rsidR="004C5C08" w:rsidRPr="00774395">
        <w:t>ES</w:t>
      </w:r>
      <w:r w:rsidR="00FC4CC5" w:rsidRPr="00774395">
        <w:t xml:space="preserve"> index, </w:t>
      </w:r>
      <w:r w:rsidR="00DD2BE8" w:rsidRPr="00774395">
        <w:t xml:space="preserve">suitable for small sample sizes (2 or 3 replicates in most studies) and </w:t>
      </w:r>
      <w:r w:rsidR="008D75F7" w:rsidRPr="00774395">
        <w:t>for</w:t>
      </w:r>
      <w:r w:rsidR="00DD2BE8" w:rsidRPr="00774395">
        <w:t xml:space="preserve"> compar</w:t>
      </w:r>
      <w:r w:rsidR="008D75F7" w:rsidRPr="00774395">
        <w:t>ing</w:t>
      </w:r>
      <w:r w:rsidR="00DD2BE8" w:rsidRPr="00774395">
        <w:t xml:space="preserve"> means with different units of measure across studies (see </w:t>
      </w:r>
      <w:r w:rsidR="00B07244" w:rsidRPr="00774395">
        <w:t xml:space="preserve">Table </w:t>
      </w:r>
      <w:r w:rsidR="00A320CD" w:rsidRPr="00774395">
        <w:t>B1,</w:t>
      </w:r>
      <w:r w:rsidR="00B07244" w:rsidRPr="00774395">
        <w:t xml:space="preserve"> </w:t>
      </w:r>
      <w:r w:rsidR="0013319C" w:rsidRPr="00774395">
        <w:t xml:space="preserve">Appendix </w:t>
      </w:r>
      <w:r w:rsidR="00A320CD" w:rsidRPr="00774395">
        <w:t>B</w:t>
      </w:r>
      <w:r w:rsidR="00DD2BE8" w:rsidRPr="00774395">
        <w:t>).</w:t>
      </w:r>
      <w:r w:rsidR="00CD7F99" w:rsidRPr="00774395">
        <w:rPr>
          <w:rFonts w:eastAsiaTheme="minorEastAsia" w:cs="Times New Roman"/>
        </w:rPr>
        <w:t xml:space="preserve"> Thus, for each variable t</w:t>
      </w:r>
      <w:r w:rsidR="00B52826" w:rsidRPr="00774395">
        <w:t xml:space="preserve">he Hedges’s </w:t>
      </w:r>
      <w:r w:rsidR="00B52826" w:rsidRPr="00774395">
        <w:rPr>
          <w:i/>
          <w:iCs/>
        </w:rPr>
        <w:t>g</w:t>
      </w:r>
      <w:r w:rsidR="00B52826" w:rsidRPr="00774395">
        <w:t xml:space="preserve"> was calculated </w:t>
      </w:r>
      <w:r w:rsidR="00451EBF" w:rsidRPr="00774395">
        <w:t>according to eq. 1</w:t>
      </w:r>
      <w:r w:rsidR="00B52826" w:rsidRPr="00774395">
        <w:t xml:space="preserve">: </w:t>
      </w:r>
    </w:p>
    <w:p w14:paraId="49A1C5C1" w14:textId="0F7C25D9" w:rsidR="000638B9" w:rsidRPr="00774395" w:rsidRDefault="000638B9" w:rsidP="00265A4E">
      <w:pPr>
        <w:jc w:val="both"/>
        <w:rPr>
          <w:rFonts w:eastAsiaTheme="minorEastAsia"/>
        </w:rPr>
      </w:pPr>
      <m:oMath>
        <m:r>
          <w:rPr>
            <w:rFonts w:ascii="Cambria Math" w:hAnsi="Cambria Math" w:cs="Times New Roman"/>
          </w:rPr>
          <m:t>g=J</m:t>
        </m:r>
        <m:f>
          <m:fPr>
            <m:ctrlPr>
              <w:rPr>
                <w:rFonts w:ascii="Cambria Math" w:hAnsi="Cambria Math" w:cs="Times New Roman"/>
                <w:i/>
              </w:rPr>
            </m:ctrlPr>
          </m:fPr>
          <m:num>
            <m:acc>
              <m:accPr>
                <m:chr m:val="̅"/>
                <m:ctrlPr>
                  <w:rPr>
                    <w:rFonts w:ascii="Cambria Math" w:hAnsi="Cambria Math" w:cs="Times New Roman"/>
                    <w:i/>
                  </w:rPr>
                </m:ctrlPr>
              </m:acc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1</m:t>
                    </m:r>
                  </m:sub>
                </m:sSub>
              </m:e>
            </m:acc>
            <m:r>
              <w:rPr>
                <w:rFonts w:ascii="Cambria Math" w:hAnsi="Cambria Math" w:cs="Times New Roman"/>
              </w:rPr>
              <m:t>-</m:t>
            </m:r>
            <m:acc>
              <m:accPr>
                <m:chr m:val="̅"/>
                <m:ctrlPr>
                  <w:rPr>
                    <w:rFonts w:ascii="Cambria Math" w:hAnsi="Cambria Math" w:cs="Times New Roman"/>
                    <w:i/>
                  </w:rPr>
                </m:ctrlPr>
              </m:accPr>
              <m:e>
                <m:sSub>
                  <m:sSubPr>
                    <m:ctrlPr>
                      <w:rPr>
                        <w:rFonts w:ascii="Cambria Math" w:hAnsi="Cambria Math" w:cs="Times New Roman"/>
                        <w:i/>
                      </w:rPr>
                    </m:ctrlPr>
                  </m:sSubPr>
                  <m:e>
                    <m:r>
                      <w:rPr>
                        <w:rFonts w:ascii="Cambria Math" w:hAnsi="Cambria Math" w:cs="Times New Roman"/>
                      </w:rPr>
                      <m:t>X</m:t>
                    </m:r>
                  </m:e>
                  <m:sub>
                    <m:r>
                      <w:rPr>
                        <w:rFonts w:ascii="Cambria Math" w:hAnsi="Cambria Math" w:cs="Times New Roman"/>
                      </w:rPr>
                      <m:t>2</m:t>
                    </m:r>
                  </m:sub>
                </m:sSub>
              </m:e>
            </m:acc>
          </m:num>
          <m:den>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p</m:t>
                </m:r>
              </m:sub>
            </m:sSub>
          </m:den>
        </m:f>
      </m:oMath>
      <w:r w:rsidRPr="00774395">
        <w:rPr>
          <w:rFonts w:eastAsiaTheme="minorEastAsia"/>
        </w:rPr>
        <w:tab/>
      </w:r>
      <w:r w:rsidRPr="00774395">
        <w:rPr>
          <w:rFonts w:eastAsiaTheme="minorEastAsia"/>
        </w:rPr>
        <w:tab/>
      </w:r>
      <w:r w:rsidRPr="00774395">
        <w:rPr>
          <w:rFonts w:eastAsiaTheme="minorEastAsia"/>
        </w:rPr>
        <w:tab/>
      </w:r>
      <w:r w:rsidRPr="00774395">
        <w:rPr>
          <w:rFonts w:eastAsiaTheme="minorEastAsia"/>
        </w:rPr>
        <w:tab/>
      </w:r>
      <w:r w:rsidRPr="00774395">
        <w:rPr>
          <w:rFonts w:eastAsiaTheme="minorEastAsia"/>
        </w:rPr>
        <w:tab/>
      </w:r>
      <w:r w:rsidRPr="00774395">
        <w:rPr>
          <w:rFonts w:eastAsiaTheme="minorEastAsia"/>
        </w:rPr>
        <w:tab/>
      </w:r>
      <w:r w:rsidRPr="00774395">
        <w:rPr>
          <w:rFonts w:eastAsiaTheme="minorEastAsia"/>
        </w:rPr>
        <w:tab/>
      </w:r>
      <w:r w:rsidRPr="00774395">
        <w:rPr>
          <w:rFonts w:eastAsiaTheme="minorEastAsia"/>
        </w:rPr>
        <w:tab/>
      </w:r>
      <w:r w:rsidRPr="00774395">
        <w:rPr>
          <w:rFonts w:eastAsiaTheme="minorEastAsia"/>
        </w:rPr>
        <w:tab/>
      </w:r>
      <w:r w:rsidRPr="00774395">
        <w:rPr>
          <w:rFonts w:eastAsiaTheme="minorEastAsia"/>
        </w:rPr>
        <w:tab/>
      </w:r>
      <w:r w:rsidRPr="00774395">
        <w:rPr>
          <w:rFonts w:eastAsiaTheme="minorEastAsia"/>
        </w:rPr>
        <w:tab/>
      </w:r>
      <w:r w:rsidR="003F47E6" w:rsidRPr="00774395">
        <w:rPr>
          <w:rFonts w:eastAsiaTheme="minorEastAsia"/>
        </w:rPr>
        <w:tab/>
        <w:t>(1)</w:t>
      </w:r>
    </w:p>
    <w:p w14:paraId="28C4C02A" w14:textId="65BD00AE" w:rsidR="00D006BD" w:rsidRPr="00774395" w:rsidRDefault="00D006BD" w:rsidP="00265A4E">
      <w:pPr>
        <w:jc w:val="both"/>
        <w:rPr>
          <w:rFonts w:eastAsiaTheme="minorEastAsia"/>
        </w:rPr>
      </w:pPr>
      <w:r w:rsidRPr="00774395">
        <w:rPr>
          <w:rFonts w:eastAsiaTheme="minorEastAsia"/>
        </w:rPr>
        <w:t>where</w:t>
      </w:r>
    </w:p>
    <w:p w14:paraId="753250E7" w14:textId="7117637A" w:rsidR="00451EBF" w:rsidRPr="00774395" w:rsidRDefault="00000000" w:rsidP="00265A4E">
      <w:pPr>
        <w:jc w:val="both"/>
      </w:pP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p</m:t>
            </m:r>
          </m:sub>
        </m:sSub>
        <m:r>
          <w:rPr>
            <w:rFonts w:ascii="Cambria Math" w:hAnsi="Cambria Math" w:cs="Times New Roman"/>
          </w:rPr>
          <m:t>=</m:t>
        </m:r>
        <m:rad>
          <m:radPr>
            <m:degHide m:val="1"/>
            <m:ctrlPr>
              <w:rPr>
                <w:rFonts w:ascii="Cambria Math" w:hAnsi="Cambria Math" w:cs="Times New Roman"/>
                <w:i/>
              </w:rPr>
            </m:ctrlPr>
          </m:radPr>
          <m:deg/>
          <m:e>
            <m:f>
              <m:fPr>
                <m:ctrlPr>
                  <w:rPr>
                    <w:rFonts w:ascii="Cambria Math" w:hAnsi="Cambria Math" w:cs="Times New Roman"/>
                    <w:i/>
                  </w:rPr>
                </m:ctrlPr>
              </m:fPr>
              <m:num>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1</m:t>
                        </m:r>
                      </m:sub>
                    </m:sSub>
                    <m:r>
                      <w:rPr>
                        <w:rFonts w:ascii="Cambria Math" w:hAnsi="Cambria Math" w:cs="Times New Roman"/>
                      </w:rPr>
                      <m:t>-1</m:t>
                    </m:r>
                  </m:e>
                </m:d>
                <m:sSup>
                  <m:sSupPr>
                    <m:ctrlPr>
                      <w:rPr>
                        <w:rFonts w:ascii="Cambria Math" w:hAnsi="Cambria Math" w:cs="Times New Roman"/>
                        <w:i/>
                      </w:rPr>
                    </m:ctrlPr>
                  </m:sSupPr>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1</m:t>
                        </m:r>
                      </m:sub>
                    </m:sSub>
                  </m:e>
                  <m:sup>
                    <m:r>
                      <w:rPr>
                        <w:rFonts w:ascii="Cambria Math" w:hAnsi="Cambria Math" w:cs="Times New Roman"/>
                      </w:rPr>
                      <m:t>2</m:t>
                    </m:r>
                  </m:sup>
                </m:sSup>
                <m:r>
                  <w:rPr>
                    <w:rFonts w:ascii="Cambria Math" w:hAnsi="Cambria Math" w:cs="Times New Roman"/>
                  </w:rPr>
                  <m:t xml:space="preserve">+ </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2</m:t>
                        </m:r>
                      </m:sub>
                    </m:sSub>
                    <m:r>
                      <w:rPr>
                        <w:rFonts w:ascii="Cambria Math" w:hAnsi="Cambria Math" w:cs="Times New Roman"/>
                      </w:rPr>
                      <m:t>-1</m:t>
                    </m:r>
                  </m:e>
                </m:d>
                <m:sSup>
                  <m:sSupPr>
                    <m:ctrlPr>
                      <w:rPr>
                        <w:rFonts w:ascii="Cambria Math" w:hAnsi="Cambria Math" w:cs="Times New Roman"/>
                        <w:i/>
                      </w:rPr>
                    </m:ctrlPr>
                  </m:sSupPr>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e>
                  <m:sup>
                    <m:r>
                      <w:rPr>
                        <w:rFonts w:ascii="Cambria Math" w:hAnsi="Cambria Math" w:cs="Times New Roman"/>
                      </w:rPr>
                      <m:t>2</m:t>
                    </m:r>
                  </m:sup>
                </m:sSup>
              </m:num>
              <m:den>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1</m:t>
                    </m:r>
                  </m:sub>
                </m:sSub>
                <m:r>
                  <w:rPr>
                    <w:rFonts w:ascii="Cambria Math" w:hAnsi="Cambria Math" w:cs="Times New Roman"/>
                  </w:rPr>
                  <m:t>- 2</m:t>
                </m:r>
              </m:den>
            </m:f>
          </m:e>
        </m:rad>
      </m:oMath>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t>(2)</w:t>
      </w:r>
    </w:p>
    <w:p w14:paraId="0C6C9FDE" w14:textId="44DDA1D3" w:rsidR="000638B9" w:rsidRPr="00774395" w:rsidRDefault="000638B9" w:rsidP="00265A4E">
      <w:pPr>
        <w:jc w:val="both"/>
        <w:rPr>
          <w:rFonts w:eastAsiaTheme="minorEastAsia"/>
        </w:rPr>
      </w:pPr>
      <m:oMath>
        <m:r>
          <w:rPr>
            <w:rFonts w:ascii="Cambria Math" w:hAnsi="Cambria Math" w:cs="Times New Roman"/>
          </w:rPr>
          <m:t>J=1-</m:t>
        </m:r>
        <m:f>
          <m:fPr>
            <m:ctrlPr>
              <w:rPr>
                <w:rFonts w:ascii="Cambria Math" w:hAnsi="Cambria Math" w:cs="Times New Roman"/>
                <w:i/>
              </w:rPr>
            </m:ctrlPr>
          </m:fPr>
          <m:num>
            <m:r>
              <w:rPr>
                <w:rFonts w:ascii="Cambria Math" w:hAnsi="Cambria Math" w:cs="Times New Roman"/>
              </w:rPr>
              <m:t>3</m:t>
            </m:r>
          </m:num>
          <m:den>
            <m:r>
              <w:rPr>
                <w:rFonts w:ascii="Cambria Math" w:hAnsi="Cambria Math" w:cs="Times New Roman"/>
              </w:rPr>
              <m:t>4df-1</m:t>
            </m:r>
          </m:den>
        </m:f>
      </m:oMath>
      <w:r w:rsidR="003F47E6" w:rsidRPr="00774395">
        <w:rPr>
          <w:rFonts w:eastAsiaTheme="minorEastAsia"/>
        </w:rPr>
        <w:tab/>
      </w:r>
      <w:r w:rsidR="003F47E6" w:rsidRPr="00774395">
        <w:rPr>
          <w:rFonts w:eastAsiaTheme="minorEastAsia"/>
        </w:rPr>
        <w:tab/>
      </w:r>
      <w:r w:rsidR="003F47E6" w:rsidRPr="00774395">
        <w:rPr>
          <w:rFonts w:eastAsiaTheme="minorEastAsia"/>
        </w:rPr>
        <w:tab/>
      </w:r>
      <w:r w:rsidR="003F47E6" w:rsidRPr="00774395">
        <w:rPr>
          <w:rFonts w:eastAsiaTheme="minorEastAsia"/>
        </w:rPr>
        <w:tab/>
      </w:r>
      <w:r w:rsidR="003F47E6" w:rsidRPr="00774395">
        <w:rPr>
          <w:rFonts w:eastAsiaTheme="minorEastAsia"/>
        </w:rPr>
        <w:tab/>
      </w:r>
      <w:r w:rsidR="003F47E6" w:rsidRPr="00774395">
        <w:rPr>
          <w:rFonts w:eastAsiaTheme="minorEastAsia"/>
        </w:rPr>
        <w:tab/>
      </w:r>
      <w:r w:rsidR="003F47E6" w:rsidRPr="00774395">
        <w:rPr>
          <w:rFonts w:eastAsiaTheme="minorEastAsia"/>
        </w:rPr>
        <w:tab/>
      </w:r>
      <w:r w:rsidR="003F47E6" w:rsidRPr="00774395">
        <w:rPr>
          <w:rFonts w:eastAsiaTheme="minorEastAsia"/>
        </w:rPr>
        <w:tab/>
      </w:r>
      <w:r w:rsidR="003F47E6" w:rsidRPr="00774395">
        <w:rPr>
          <w:rFonts w:eastAsiaTheme="minorEastAsia"/>
        </w:rPr>
        <w:tab/>
      </w:r>
      <w:r w:rsidR="003F47E6" w:rsidRPr="00774395">
        <w:rPr>
          <w:rFonts w:eastAsiaTheme="minorEastAsia"/>
        </w:rPr>
        <w:tab/>
      </w:r>
      <w:r w:rsidR="003F47E6" w:rsidRPr="00774395">
        <w:rPr>
          <w:rFonts w:eastAsiaTheme="minorEastAsia"/>
        </w:rPr>
        <w:tab/>
      </w:r>
      <w:r w:rsidR="003F47E6" w:rsidRPr="00774395">
        <w:rPr>
          <w:rFonts w:eastAsiaTheme="minorEastAsia"/>
        </w:rPr>
        <w:tab/>
        <w:t>(</w:t>
      </w:r>
      <w:r w:rsidR="00451EBF" w:rsidRPr="00774395">
        <w:rPr>
          <w:rFonts w:eastAsiaTheme="minorEastAsia"/>
        </w:rPr>
        <w:t>3</w:t>
      </w:r>
      <w:r w:rsidR="003F47E6" w:rsidRPr="00774395">
        <w:rPr>
          <w:rFonts w:eastAsiaTheme="minorEastAsia"/>
        </w:rPr>
        <w:t>)</w:t>
      </w:r>
    </w:p>
    <w:p w14:paraId="04434507" w14:textId="5911EB0A" w:rsidR="000638B9" w:rsidRPr="00774395" w:rsidRDefault="000638B9" w:rsidP="00265A4E">
      <w:pPr>
        <w:jc w:val="both"/>
      </w:pPr>
      <w:r w:rsidRPr="00774395">
        <w:t xml:space="preserve">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X</m:t>
                </m:r>
              </m:e>
              <m:sub>
                <m:r>
                  <w:rPr>
                    <w:rFonts w:ascii="Cambria Math" w:hAnsi="Cambria Math"/>
                  </w:rPr>
                  <m:t>i</m:t>
                </m:r>
              </m:sub>
            </m:sSub>
          </m:e>
        </m:acc>
      </m:oMath>
      <w:r w:rsidR="003F47E6" w:rsidRPr="00774395">
        <w:rPr>
          <w:rFonts w:eastAsiaTheme="minorEastAsia"/>
        </w:rPr>
        <w:t xml:space="preserve">, </w:t>
      </w:r>
      <w:r w:rsidR="003F47E6" w:rsidRPr="00774395">
        <w:rPr>
          <w:rFonts w:eastAsiaTheme="minorEastAsia"/>
          <w:i/>
          <w:iCs/>
        </w:rPr>
        <w:t>n</w:t>
      </w:r>
      <w:r w:rsidR="003F47E6" w:rsidRPr="00774395">
        <w:rPr>
          <w:rFonts w:eastAsiaTheme="minorEastAsia"/>
          <w:i/>
          <w:iCs/>
          <w:vertAlign w:val="subscript"/>
        </w:rPr>
        <w:t>i</w:t>
      </w:r>
      <w:r w:rsidR="003F47E6" w:rsidRPr="00774395">
        <w:rPr>
          <w:rFonts w:eastAsiaTheme="minorEastAsia"/>
        </w:rPr>
        <w:t xml:space="preserve">, </w:t>
      </w:r>
      <w:r w:rsidRPr="00774395">
        <w:rPr>
          <w:rFonts w:eastAsiaTheme="minorEastAsia"/>
        </w:rPr>
        <w:t xml:space="preserve">and </w:t>
      </w:r>
      <w:r w:rsidR="003F47E6" w:rsidRPr="00774395">
        <w:rPr>
          <w:rFonts w:eastAsiaTheme="minorEastAsia"/>
          <w:i/>
          <w:iCs/>
        </w:rPr>
        <w:t>S</w:t>
      </w:r>
      <w:r w:rsidR="003F47E6" w:rsidRPr="00774395">
        <w:rPr>
          <w:rFonts w:eastAsiaTheme="minorEastAsia"/>
          <w:i/>
          <w:iCs/>
          <w:vertAlign w:val="subscript"/>
        </w:rPr>
        <w:t>i</w:t>
      </w:r>
      <w:r w:rsidRPr="00774395">
        <w:rPr>
          <w:rFonts w:eastAsiaTheme="minorEastAsia"/>
        </w:rPr>
        <w:t xml:space="preserve"> are the </w:t>
      </w:r>
      <w:r w:rsidR="0099673B" w:rsidRPr="00774395">
        <w:rPr>
          <w:rFonts w:eastAsiaTheme="minorEastAsia"/>
        </w:rPr>
        <w:t xml:space="preserve">variable mean, </w:t>
      </w:r>
      <w:r w:rsidR="00953613" w:rsidRPr="00774395">
        <w:rPr>
          <w:rFonts w:eastAsiaTheme="minorEastAsia"/>
        </w:rPr>
        <w:t xml:space="preserve">the </w:t>
      </w:r>
      <w:r w:rsidR="0099673B" w:rsidRPr="00774395">
        <w:rPr>
          <w:rFonts w:eastAsiaTheme="minorEastAsia"/>
        </w:rPr>
        <w:t xml:space="preserve">standard deviation, </w:t>
      </w:r>
      <w:r w:rsidR="00953613" w:rsidRPr="00774395">
        <w:rPr>
          <w:rFonts w:eastAsiaTheme="minorEastAsia"/>
        </w:rPr>
        <w:t xml:space="preserve">and the </w:t>
      </w:r>
      <w:r w:rsidR="0099673B" w:rsidRPr="00774395">
        <w:rPr>
          <w:rFonts w:eastAsiaTheme="minorEastAsia"/>
        </w:rPr>
        <w:t xml:space="preserve">number of samples of </w:t>
      </w:r>
      <w:r w:rsidRPr="00774395">
        <w:rPr>
          <w:rFonts w:eastAsiaTheme="minorEastAsia"/>
        </w:rPr>
        <w:t xml:space="preserve">the treatment </w:t>
      </w:r>
      <w:r w:rsidR="0099673B" w:rsidRPr="00774395">
        <w:rPr>
          <w:rFonts w:eastAsiaTheme="minorEastAsia"/>
        </w:rPr>
        <w:t xml:space="preserve">(1) </w:t>
      </w:r>
      <w:r w:rsidRPr="00774395">
        <w:rPr>
          <w:rFonts w:eastAsiaTheme="minorEastAsia"/>
        </w:rPr>
        <w:t>and the control groups</w:t>
      </w:r>
      <w:r w:rsidR="0099673B" w:rsidRPr="00774395">
        <w:rPr>
          <w:rFonts w:eastAsiaTheme="minorEastAsia"/>
        </w:rPr>
        <w:t xml:space="preserve"> (2)</w:t>
      </w:r>
      <w:r w:rsidRPr="00774395">
        <w:rPr>
          <w:rFonts w:eastAsiaTheme="minorEastAsia"/>
        </w:rPr>
        <w:t>, respectively</w:t>
      </w:r>
      <w:r w:rsidR="00451EBF" w:rsidRPr="00774395">
        <w:rPr>
          <w:rFonts w:eastAsiaTheme="minorEastAsia"/>
        </w:rPr>
        <w:t>;</w:t>
      </w:r>
      <w:r w:rsidRPr="00774395">
        <w:rPr>
          <w:rFonts w:eastAsiaTheme="minorEastAsia"/>
        </w:rPr>
        <w:t xml:space="preserve"> </w:t>
      </w:r>
      <w:r w:rsidR="003F47E6" w:rsidRPr="00774395">
        <w:rPr>
          <w:rFonts w:eastAsiaTheme="minorEastAsia"/>
          <w:i/>
          <w:iCs/>
        </w:rPr>
        <w:t>S</w:t>
      </w:r>
      <w:r w:rsidR="003F47E6" w:rsidRPr="00774395">
        <w:rPr>
          <w:rFonts w:eastAsiaTheme="minorEastAsia"/>
          <w:i/>
          <w:iCs/>
          <w:vertAlign w:val="subscript"/>
        </w:rPr>
        <w:t>p</w:t>
      </w:r>
      <w:r w:rsidR="003F47E6" w:rsidRPr="00774395">
        <w:rPr>
          <w:rFonts w:eastAsiaTheme="minorEastAsia"/>
        </w:rPr>
        <w:t xml:space="preserve"> is the pooled standard deviation across groups</w:t>
      </w:r>
      <w:r w:rsidR="00451EBF" w:rsidRPr="00774395">
        <w:rPr>
          <w:rFonts w:eastAsiaTheme="minorEastAsia"/>
        </w:rPr>
        <w:t xml:space="preserve"> (eq.2);</w:t>
      </w:r>
      <w:r w:rsidR="003F47E6" w:rsidRPr="00774395">
        <w:rPr>
          <w:rFonts w:eastAsiaTheme="minorEastAsia"/>
          <w:i/>
          <w:iCs/>
        </w:rPr>
        <w:t xml:space="preserve"> </w:t>
      </w:r>
      <w:r w:rsidRPr="00774395">
        <w:rPr>
          <w:rFonts w:eastAsiaTheme="minorEastAsia"/>
          <w:i/>
          <w:iCs/>
        </w:rPr>
        <w:t xml:space="preserve">J </w:t>
      </w:r>
      <w:r w:rsidRPr="00774395">
        <w:rPr>
          <w:rFonts w:eastAsiaTheme="minorEastAsia"/>
        </w:rPr>
        <w:t>is a correction factor accounting for small sample sizes</w:t>
      </w:r>
      <w:r w:rsidR="00451EBF" w:rsidRPr="00774395">
        <w:rPr>
          <w:rFonts w:eastAsiaTheme="minorEastAsia"/>
        </w:rPr>
        <w:t xml:space="preserve"> (eq.3); </w:t>
      </w:r>
      <w:r w:rsidR="00451EBF" w:rsidRPr="00774395">
        <w:rPr>
          <w:rFonts w:eastAsiaTheme="minorEastAsia"/>
          <w:i/>
          <w:iCs/>
        </w:rPr>
        <w:t>df</w:t>
      </w:r>
      <w:r w:rsidR="00451EBF" w:rsidRPr="00774395">
        <w:rPr>
          <w:rFonts w:eastAsiaTheme="minorEastAsia"/>
        </w:rPr>
        <w:t xml:space="preserve"> is the degrees of freedom (</w:t>
      </w:r>
      <w:r w:rsidR="00451EBF" w:rsidRPr="00774395">
        <w:rPr>
          <w:rFonts w:eastAsiaTheme="minorEastAsia"/>
          <w:i/>
          <w:iCs/>
        </w:rPr>
        <w:t>n</w:t>
      </w:r>
      <w:r w:rsidR="00451EBF" w:rsidRPr="00774395">
        <w:rPr>
          <w:rFonts w:eastAsiaTheme="minorEastAsia"/>
          <w:i/>
          <w:iCs/>
          <w:vertAlign w:val="subscript"/>
        </w:rPr>
        <w:t>1</w:t>
      </w:r>
      <w:r w:rsidR="00451EBF" w:rsidRPr="00774395">
        <w:rPr>
          <w:rFonts w:eastAsiaTheme="minorEastAsia"/>
          <w:i/>
          <w:iCs/>
        </w:rPr>
        <w:t xml:space="preserve"> + n</w:t>
      </w:r>
      <w:r w:rsidR="00451EBF" w:rsidRPr="00774395">
        <w:rPr>
          <w:rFonts w:eastAsiaTheme="minorEastAsia"/>
          <w:i/>
          <w:iCs/>
          <w:vertAlign w:val="subscript"/>
        </w:rPr>
        <w:t>2</w:t>
      </w:r>
      <w:r w:rsidR="00451EBF" w:rsidRPr="00774395">
        <w:rPr>
          <w:rFonts w:eastAsiaTheme="minorEastAsia"/>
          <w:i/>
          <w:iCs/>
        </w:rPr>
        <w:t xml:space="preserve"> – 2</w:t>
      </w:r>
      <w:r w:rsidR="00451EBF" w:rsidRPr="00774395">
        <w:rPr>
          <w:rFonts w:eastAsiaTheme="minorEastAsia"/>
        </w:rPr>
        <w:t xml:space="preserve"> for two independent groups).</w:t>
      </w:r>
      <w:r w:rsidRPr="00774395">
        <w:rPr>
          <w:rFonts w:eastAsiaTheme="minorEastAsia"/>
        </w:rPr>
        <w:t xml:space="preserve"> The second term of </w:t>
      </w:r>
      <w:r w:rsidR="003F47E6" w:rsidRPr="00774395">
        <w:rPr>
          <w:rFonts w:eastAsiaTheme="minorEastAsia"/>
        </w:rPr>
        <w:t>eq.1 is the standard</w:t>
      </w:r>
      <w:r w:rsidR="00F235DA" w:rsidRPr="00774395">
        <w:rPr>
          <w:rFonts w:eastAsiaTheme="minorEastAsia"/>
        </w:rPr>
        <w:t>ized</w:t>
      </w:r>
      <w:r w:rsidR="003F47E6" w:rsidRPr="00774395">
        <w:rPr>
          <w:rFonts w:eastAsiaTheme="minorEastAsia"/>
        </w:rPr>
        <w:t xml:space="preserve"> mean difference (SMD).</w:t>
      </w:r>
      <w:r w:rsidR="00451EBF" w:rsidRPr="00774395">
        <w:rPr>
          <w:rFonts w:eastAsiaTheme="minorEastAsia"/>
        </w:rPr>
        <w:t xml:space="preserve"> </w:t>
      </w:r>
      <w:r w:rsidR="000C1F59" w:rsidRPr="00774395">
        <w:rPr>
          <w:rFonts w:eastAsiaTheme="minorEastAsia"/>
        </w:rPr>
        <w:t xml:space="preserve">Thus, considering </w:t>
      </w:r>
      <w:r w:rsidR="00D006BD" w:rsidRPr="00774395">
        <w:rPr>
          <w:rFonts w:eastAsiaTheme="minorEastAsia"/>
        </w:rPr>
        <w:t xml:space="preserve">for example </w:t>
      </w:r>
      <w:r w:rsidR="00D006BD" w:rsidRPr="00774395">
        <w:rPr>
          <w:rFonts w:eastAsiaTheme="minorEastAsia"/>
        </w:rPr>
        <w:lastRenderedPageBreak/>
        <w:t>the</w:t>
      </w:r>
      <w:r w:rsidR="0068709E" w:rsidRPr="00774395">
        <w:rPr>
          <w:rFonts w:eastAsiaTheme="minorEastAsia"/>
        </w:rPr>
        <w:t xml:space="preserve"> </w:t>
      </w:r>
      <w:r w:rsidR="000C1F59" w:rsidRPr="00774395">
        <w:rPr>
          <w:rFonts w:eastAsiaTheme="minorEastAsia"/>
        </w:rPr>
        <w:t>CH</w:t>
      </w:r>
      <w:r w:rsidR="000C1F59" w:rsidRPr="00774395">
        <w:rPr>
          <w:rFonts w:eastAsiaTheme="minorEastAsia"/>
          <w:vertAlign w:val="subscript"/>
        </w:rPr>
        <w:t>4</w:t>
      </w:r>
      <w:r w:rsidR="000C1F59" w:rsidRPr="00774395">
        <w:rPr>
          <w:rFonts w:eastAsiaTheme="minorEastAsia"/>
        </w:rPr>
        <w:t xml:space="preserve"> yield, a positive value of </w:t>
      </w:r>
      <w:r w:rsidR="000C1F59" w:rsidRPr="00774395">
        <w:rPr>
          <w:rFonts w:eastAsiaTheme="minorEastAsia"/>
          <w:i/>
          <w:iCs/>
        </w:rPr>
        <w:t>g</w:t>
      </w:r>
      <w:r w:rsidR="000C1F59" w:rsidRPr="00774395">
        <w:rPr>
          <w:rFonts w:eastAsiaTheme="minorEastAsia"/>
        </w:rPr>
        <w:t xml:space="preserve"> means that BC addition enhances </w:t>
      </w:r>
      <w:r w:rsidR="00BA362C" w:rsidRPr="00774395">
        <w:t>CH</w:t>
      </w:r>
      <w:r w:rsidR="00BA362C" w:rsidRPr="00774395">
        <w:rPr>
          <w:vertAlign w:val="subscript"/>
        </w:rPr>
        <w:t>4</w:t>
      </w:r>
      <w:r w:rsidR="000C1F59" w:rsidRPr="00774395">
        <w:rPr>
          <w:rFonts w:eastAsiaTheme="minorEastAsia"/>
        </w:rPr>
        <w:t xml:space="preserve"> yield compared to the control group. </w:t>
      </w:r>
      <w:r w:rsidR="00451EBF" w:rsidRPr="00774395">
        <w:rPr>
          <w:rFonts w:eastAsiaTheme="minorEastAsia"/>
        </w:rPr>
        <w:t xml:space="preserve">The variance </w:t>
      </w:r>
      <w:r w:rsidR="00451EBF" w:rsidRPr="00774395">
        <w:rPr>
          <w:rFonts w:eastAsiaTheme="minorEastAsia"/>
          <w:i/>
          <w:iCs/>
        </w:rPr>
        <w:t>V</w:t>
      </w:r>
      <w:r w:rsidR="00451EBF" w:rsidRPr="00774395">
        <w:rPr>
          <w:rFonts w:eastAsiaTheme="minorEastAsia"/>
          <w:i/>
          <w:iCs/>
          <w:vertAlign w:val="subscript"/>
        </w:rPr>
        <w:t>g</w:t>
      </w:r>
      <w:r w:rsidR="00451EBF" w:rsidRPr="00774395">
        <w:rPr>
          <w:rFonts w:eastAsiaTheme="minorEastAsia"/>
        </w:rPr>
        <w:t xml:space="preserve"> of </w:t>
      </w:r>
      <w:r w:rsidR="00451EBF" w:rsidRPr="00774395">
        <w:rPr>
          <w:rFonts w:eastAsiaTheme="minorEastAsia"/>
          <w:i/>
          <w:iCs/>
        </w:rPr>
        <w:t>g</w:t>
      </w:r>
      <w:r w:rsidR="00451EBF" w:rsidRPr="00774395">
        <w:rPr>
          <w:rFonts w:eastAsiaTheme="minorEastAsia"/>
        </w:rPr>
        <w:t xml:space="preserve"> </w:t>
      </w:r>
      <w:r w:rsidR="004D473F" w:rsidRPr="00774395">
        <w:rPr>
          <w:rFonts w:eastAsiaTheme="minorEastAsia"/>
        </w:rPr>
        <w:t>was</w:t>
      </w:r>
      <w:r w:rsidR="00451EBF" w:rsidRPr="00774395">
        <w:rPr>
          <w:rFonts w:eastAsiaTheme="minorEastAsia"/>
        </w:rPr>
        <w:t xml:space="preserve"> determined according to eq. 4:</w:t>
      </w:r>
    </w:p>
    <w:p w14:paraId="61086F22" w14:textId="47658D4C" w:rsidR="00451EBF" w:rsidRPr="00774395" w:rsidRDefault="00000000" w:rsidP="00265A4E">
      <w:pPr>
        <w:jc w:val="both"/>
        <w:rPr>
          <w:rFonts w:eastAsiaTheme="minorEastAsia"/>
        </w:rPr>
      </w:pPr>
      <m:oMath>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g</m:t>
            </m:r>
          </m:sub>
        </m:sSub>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J</m:t>
            </m:r>
          </m:e>
          <m:sup>
            <m:r>
              <w:rPr>
                <w:rFonts w:ascii="Cambria Math" w:hAnsi="Cambria Math" w:cs="Times New Roman"/>
              </w:rPr>
              <m:t>2</m:t>
            </m:r>
          </m:sup>
        </m:sSup>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2</m:t>
                </m:r>
              </m:sub>
            </m:sSub>
          </m:num>
          <m:den>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1</m:t>
                </m:r>
              </m:sub>
            </m:sSub>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2</m:t>
                </m:r>
              </m:sub>
            </m:sSub>
          </m:den>
        </m:f>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g</m:t>
                </m:r>
              </m:e>
              <m:sup>
                <m:r>
                  <w:rPr>
                    <w:rFonts w:ascii="Cambria Math" w:hAnsi="Cambria Math" w:cs="Times New Roman"/>
                  </w:rPr>
                  <m:t>2</m:t>
                </m:r>
              </m:sup>
            </m:sSup>
          </m:num>
          <m:den>
            <m:r>
              <w:rPr>
                <w:rFonts w:ascii="Cambria Math" w:hAnsi="Cambria Math" w:cs="Times New Roman"/>
              </w:rPr>
              <m:t>2</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2</m:t>
                    </m:r>
                  </m:sub>
                </m:sSub>
              </m:e>
            </m:d>
          </m:den>
        </m:f>
      </m:oMath>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r>
      <w:r w:rsidR="00451EBF" w:rsidRPr="00774395">
        <w:rPr>
          <w:rFonts w:eastAsiaTheme="minorEastAsia"/>
        </w:rPr>
        <w:tab/>
        <w:t>(4)</w:t>
      </w:r>
    </w:p>
    <w:p w14:paraId="5AFD345F" w14:textId="12C09C4E" w:rsidR="00E93BD9" w:rsidRPr="00774395" w:rsidRDefault="0068709E" w:rsidP="00265A4E">
      <w:pPr>
        <w:jc w:val="both"/>
        <w:rPr>
          <w:rFonts w:eastAsiaTheme="minorEastAsia"/>
        </w:rPr>
      </w:pPr>
      <w:r w:rsidRPr="00774395">
        <w:rPr>
          <w:rFonts w:eastAsiaTheme="minorEastAsia"/>
        </w:rPr>
        <w:t xml:space="preserve">Once determined </w:t>
      </w:r>
      <w:r w:rsidR="00454FE2" w:rsidRPr="00774395">
        <w:rPr>
          <w:rFonts w:eastAsiaTheme="minorEastAsia"/>
        </w:rPr>
        <w:t xml:space="preserve">the </w:t>
      </w:r>
      <w:r w:rsidR="004C5C08" w:rsidRPr="00774395">
        <w:rPr>
          <w:rFonts w:eastAsiaTheme="minorEastAsia"/>
        </w:rPr>
        <w:t>ES</w:t>
      </w:r>
      <w:r w:rsidRPr="00774395">
        <w:rPr>
          <w:rFonts w:eastAsiaTheme="minorEastAsia"/>
        </w:rPr>
        <w:t>s and associated variance</w:t>
      </w:r>
      <w:r w:rsidR="00BB78BF" w:rsidRPr="00774395">
        <w:rPr>
          <w:rFonts w:eastAsiaTheme="minorEastAsia"/>
        </w:rPr>
        <w:t>s</w:t>
      </w:r>
      <w:r w:rsidRPr="00774395">
        <w:rPr>
          <w:rFonts w:eastAsiaTheme="minorEastAsia"/>
        </w:rPr>
        <w:t xml:space="preserve"> for the individual measures, </w:t>
      </w:r>
      <w:r w:rsidR="00454FE2" w:rsidRPr="00774395">
        <w:rPr>
          <w:rFonts w:eastAsiaTheme="minorEastAsia"/>
        </w:rPr>
        <w:t>the summary effect</w:t>
      </w:r>
      <w:r w:rsidR="00C458B7" w:rsidRPr="00774395">
        <w:rPr>
          <w:rFonts w:eastAsiaTheme="minorEastAsia"/>
        </w:rPr>
        <w:t>s</w:t>
      </w:r>
      <w:r w:rsidR="00BB78BF" w:rsidRPr="00774395">
        <w:rPr>
          <w:rFonts w:eastAsiaTheme="minorEastAsia"/>
        </w:rPr>
        <w:t xml:space="preserve"> of BC addition on CH</w:t>
      </w:r>
      <w:r w:rsidR="00BB78BF" w:rsidRPr="00774395">
        <w:rPr>
          <w:rFonts w:eastAsiaTheme="minorEastAsia"/>
          <w:vertAlign w:val="subscript"/>
        </w:rPr>
        <w:t>4</w:t>
      </w:r>
      <w:r w:rsidR="00BB78BF" w:rsidRPr="00774395">
        <w:rPr>
          <w:rFonts w:eastAsiaTheme="minorEastAsia"/>
        </w:rPr>
        <w:t xml:space="preserve"> yield, R</w:t>
      </w:r>
      <w:r w:rsidR="00BB78BF" w:rsidRPr="00774395">
        <w:rPr>
          <w:rFonts w:eastAsiaTheme="minorEastAsia"/>
          <w:vertAlign w:val="subscript"/>
        </w:rPr>
        <w:t>max</w:t>
      </w:r>
      <w:r w:rsidR="00BB78BF" w:rsidRPr="00774395">
        <w:rPr>
          <w:rFonts w:eastAsiaTheme="minorEastAsia"/>
        </w:rPr>
        <w:t xml:space="preserve">, </w:t>
      </w:r>
      <w:r w:rsidR="00BB78BF" w:rsidRPr="00774395">
        <w:rPr>
          <w:rFonts w:eastAsiaTheme="minorEastAsia" w:cs="Times New Roman"/>
        </w:rPr>
        <w:t>λ</w:t>
      </w:r>
      <w:r w:rsidR="00BB78BF" w:rsidRPr="00774395">
        <w:rPr>
          <w:rFonts w:eastAsiaTheme="minorEastAsia"/>
        </w:rPr>
        <w:t>, and CH</w:t>
      </w:r>
      <w:r w:rsidR="00BB78BF" w:rsidRPr="00774395">
        <w:rPr>
          <w:rFonts w:eastAsiaTheme="minorEastAsia"/>
          <w:vertAlign w:val="subscript"/>
        </w:rPr>
        <w:t>4</w:t>
      </w:r>
      <w:r w:rsidR="00BB78BF" w:rsidRPr="00774395">
        <w:rPr>
          <w:rFonts w:eastAsiaTheme="minorEastAsia"/>
        </w:rPr>
        <w:t xml:space="preserve"> production rate w</w:t>
      </w:r>
      <w:r w:rsidR="00C458B7" w:rsidRPr="00774395">
        <w:rPr>
          <w:rFonts w:eastAsiaTheme="minorEastAsia"/>
        </w:rPr>
        <w:t>ere</w:t>
      </w:r>
      <w:r w:rsidR="00BB78BF" w:rsidRPr="00774395">
        <w:rPr>
          <w:rFonts w:eastAsiaTheme="minorEastAsia"/>
        </w:rPr>
        <w:t xml:space="preserve"> determined.</w:t>
      </w:r>
      <w:r w:rsidR="00CA191F" w:rsidRPr="00774395">
        <w:rPr>
          <w:rFonts w:eastAsiaTheme="minorEastAsia"/>
        </w:rPr>
        <w:t xml:space="preserve"> </w:t>
      </w:r>
      <w:r w:rsidR="003314C0" w:rsidRPr="00774395">
        <w:rPr>
          <w:rFonts w:eastAsiaTheme="minorEastAsia"/>
        </w:rPr>
        <w:t>The summary effect was estimated using a random-effect</w:t>
      </w:r>
      <w:r w:rsidR="003032C1" w:rsidRPr="00774395">
        <w:rPr>
          <w:rFonts w:eastAsiaTheme="minorEastAsia"/>
        </w:rPr>
        <w:t>s</w:t>
      </w:r>
      <w:r w:rsidR="003314C0" w:rsidRPr="00774395">
        <w:rPr>
          <w:rFonts w:eastAsiaTheme="minorEastAsia"/>
        </w:rPr>
        <w:t xml:space="preserve"> model instead of a fixed-effect</w:t>
      </w:r>
      <w:r w:rsidR="00E83A9B" w:rsidRPr="00774395">
        <w:rPr>
          <w:rFonts w:eastAsiaTheme="minorEastAsia"/>
        </w:rPr>
        <w:t>s</w:t>
      </w:r>
      <w:r w:rsidR="003314C0" w:rsidRPr="00774395">
        <w:rPr>
          <w:rFonts w:eastAsiaTheme="minorEastAsia"/>
        </w:rPr>
        <w:t xml:space="preserve"> model, which assumes a common or fixed effect for all the tests, s</w:t>
      </w:r>
      <w:r w:rsidR="00CA191F" w:rsidRPr="00774395">
        <w:rPr>
          <w:rFonts w:eastAsiaTheme="minorEastAsia"/>
        </w:rPr>
        <w:t xml:space="preserve">ince the true effects </w:t>
      </w:r>
      <w:r w:rsidR="003314C0" w:rsidRPr="00774395">
        <w:rPr>
          <w:rFonts w:eastAsiaTheme="minorEastAsia"/>
        </w:rPr>
        <w:t>likely varied</w:t>
      </w:r>
      <w:r w:rsidR="00CA191F" w:rsidRPr="00774395">
        <w:rPr>
          <w:rFonts w:eastAsiaTheme="minorEastAsia"/>
        </w:rPr>
        <w:t xml:space="preserve"> across studies due to the different experimental conditions </w:t>
      </w:r>
      <w:r w:rsidR="00454FE2" w:rsidRPr="00774395">
        <w:rPr>
          <w:rFonts w:eastAsiaTheme="minorEastAsia"/>
        </w:rPr>
        <w:fldChar w:fldCharType="begin" w:fldLock="1"/>
      </w:r>
      <w:r w:rsidR="00520099">
        <w:rPr>
          <w:rFonts w:eastAsiaTheme="minorEastAsia"/>
        </w:rPr>
        <w:instrText>ADDIN CSL_CITATION {"citationItems":[{"id":"ITEM-1","itemData":{"DOI":"10.1016/j.scitotenv.2019.133984","ISSN":"0048-9697","abstract":"Nitrogen (N) cycling by soil microbes can be estimated by quantifying the abundance of microbial functional genes (MFG) involved in N-transformation processes. In agro-ecosystems, biochars are regularly applied for increasing soil fertility and stability. In turn, it has been shown that biochar amendment can alter soil N cycling by altering MFG abundance and richness. However, the general patterns and mechanisms of how biochar amendment modifies N-cycling gene abundance have not been synthesized to date. Here, we addressed this knowledge gap by performing a meta-analysis of existing literatures up to 2019. We included five main marker genes involved in N cycling: nifH, amoA, nirK, nirS and nosZ. We found that biochar addition significantly increased the abundance of ammonia-oxidizing archaea (AOA), nirK, nirS and nosZ by an average of 25.3%, 32.0%, 14.6% and 17.0%, respectively. Particularly, biochar amendment increased the abundances of most N-cycling genes when soil pH changed from very acidic (pH &lt; 5) to acidic (pH: 5.5–6.5). Experimental conditions, cover plants, biochar pyrolysis temperature and fertilizer application were also important factors regulating the response of most N-cycling genes to biochar amendment. Moreover, soil pH significantly correlated with ammonia-oxidizing bacteria (AOB) abundance, while we found that most genes involved in nitrification and denitrification were not significantly correlated with each other across studies. Our results contribute to developing quantitative models of microbially-mediated N-transforming processes in response to biochar addition, and stimulate research on how to use biochar amendment for reducing reactive N gas emissions and enhancing N bioavailability to crop plants in agro-ecosystems.","author":[{"dropping-particle":"","family":"Xiao","given":"Zhenggao","non-dropping-particle":"","parse-names":false,"suffix":""},{"dropping-particle":"","family":"Rasmann","given":"Sergio","non-dropping-particle":"","parse-names":false,"suffix":""},{"dropping-particle":"","family":"Yue","given":"Le","non-dropping-particle":"","parse-names":false,"suffix":""},{"dropping-particle":"","family":"Lian","given":"Fei","non-dropping-particle":"","parse-names":false,"suffix":""},{"dropping-particle":"","family":"Zou","given":"Hua","non-dropping-particle":"","parse-names":false,"suffix":""},{"dropping-particle":"","family":"Wang","given":"Zhenyu","non-dropping-particle":"","parse-names":false,"suffix":""}],"container-title":"Science of The Total Environment","id":"ITEM-1","issued":{"date-parts":[["2019","12","15"]]},"page":"133984","publisher":"Elsevier","title":"The effect of biochar amendment on N-cycling genes in soils: A meta-analysis","type":"article-journal","volume":"696"},"uris":["http://www.mendeley.com/documents/?uuid=2e0fbf1b-8cf7-3d1d-8086-b68b38c42251"]}],"mendeley":{"formattedCitation":"[47]","plainTextFormattedCitation":"[47]","previouslyFormattedCitation":"[47]"},"properties":{"noteIndex":0},"schema":"https://github.com/citation-style-language/schema/raw/master/csl-citation.json"}</w:instrText>
      </w:r>
      <w:r w:rsidR="00454FE2" w:rsidRPr="00774395">
        <w:rPr>
          <w:rFonts w:eastAsiaTheme="minorEastAsia"/>
        </w:rPr>
        <w:fldChar w:fldCharType="separate"/>
      </w:r>
      <w:r w:rsidR="00830B48" w:rsidRPr="00830B48">
        <w:rPr>
          <w:rFonts w:eastAsiaTheme="minorEastAsia"/>
          <w:noProof/>
        </w:rPr>
        <w:t>[47]</w:t>
      </w:r>
      <w:r w:rsidR="00454FE2" w:rsidRPr="00774395">
        <w:rPr>
          <w:rFonts w:eastAsiaTheme="minorEastAsia"/>
        </w:rPr>
        <w:fldChar w:fldCharType="end"/>
      </w:r>
      <w:r w:rsidR="00CA191F" w:rsidRPr="00774395">
        <w:rPr>
          <w:rFonts w:eastAsiaTheme="minorEastAsia"/>
        </w:rPr>
        <w:t>.</w:t>
      </w:r>
      <w:r w:rsidR="00D96B71" w:rsidRPr="00774395">
        <w:rPr>
          <w:rFonts w:eastAsiaTheme="minorEastAsia"/>
        </w:rPr>
        <w:t xml:space="preserve"> </w:t>
      </w:r>
      <w:r w:rsidR="000D7981" w:rsidRPr="00774395">
        <w:rPr>
          <w:rFonts w:eastAsiaTheme="minorEastAsia"/>
        </w:rPr>
        <w:t>DerSimonian and Laird method was used to estimate the between-studies variance</w:t>
      </w:r>
      <w:r w:rsidR="002A6515" w:rsidRPr="00774395">
        <w:rPr>
          <w:rFonts w:eastAsiaTheme="minorEastAsia"/>
        </w:rPr>
        <w:t xml:space="preserve"> (</w:t>
      </w:r>
      <w:r w:rsidR="002A6515" w:rsidRPr="00774395">
        <w:rPr>
          <w:rFonts w:eastAsiaTheme="minorEastAsia"/>
          <w:i/>
          <w:iCs/>
        </w:rPr>
        <w:t>T</w:t>
      </w:r>
      <w:r w:rsidR="002A6515" w:rsidRPr="00774395">
        <w:rPr>
          <w:rFonts w:eastAsiaTheme="minorEastAsia"/>
          <w:i/>
          <w:iCs/>
          <w:vertAlign w:val="superscript"/>
        </w:rPr>
        <w:t>2</w:t>
      </w:r>
      <w:r w:rsidR="002A6515" w:rsidRPr="00774395">
        <w:rPr>
          <w:rFonts w:eastAsiaTheme="minorEastAsia"/>
        </w:rPr>
        <w:t>)</w:t>
      </w:r>
      <w:r w:rsidR="006943DF" w:rsidRPr="00774395">
        <w:rPr>
          <w:rFonts w:eastAsiaTheme="minorEastAsia"/>
        </w:rPr>
        <w:t xml:space="preserve"> </w:t>
      </w:r>
      <w:r w:rsidR="006943DF" w:rsidRPr="00774395">
        <w:rPr>
          <w:rFonts w:eastAsiaTheme="minorEastAsia"/>
        </w:rPr>
        <w:fldChar w:fldCharType="begin" w:fldLock="1"/>
      </w:r>
      <w:r w:rsidR="00520099">
        <w:rPr>
          <w:rFonts w:eastAsiaTheme="minorEastAsia"/>
        </w:rPr>
        <w:instrText>ADDIN CSL_CITATION {"citationItems":[{"id":"ITEM-1","itemData":{"DOI":"10.1016/j.cct.2006.04.004","ISSN":"1551-7144","abstract":"The random-effects model is often used for meta-analysis of clinical studies. The method explicitly accounts for the heterogeneity of studies through a statistical parameter representing the inter-study variation. We discuss several iterative and non-iterative alternative methods for estimating the inter-study variance and hence the overall population treatment effect. We show that the leading methods for estimating the inter-study variance are special cases of a general method-of-moments estimate of the inter-study variance. The general method suggests two new two-step methods. The iterative estimate is statistically optimal and it can be easily calculated on a spreadsheet program, such as Microsoft Excel, available on the desktop of most researchers. The two-step methods approximate the optimal iterative method better than the earlier one-step non-iterative methods. © 2006 Elsevier Inc. All rights reserved.","author":[{"dropping-particle":"","family":"DerSimonian","given":"Rebecca","non-dropping-particle":"","parse-names":false,"suffix":""},{"dropping-particle":"","family":"Kacker","given":"Raghu","non-dropping-particle":"","parse-names":false,"suffix":""}],"container-title":"Contemporary Clinical Trials","id":"ITEM-1","issue":"2","issued":{"date-parts":[["2007","2","1"]]},"page":"105-114","publisher":"Elsevier","title":"Random-effects model for meta-analysis of clinical trials: An update","type":"article-journal","volume":"28"},"uris":["http://www.mendeley.com/documents/?uuid=d2968f23-e910-31a6-8b3d-9f4f261d2fe5"]}],"mendeley":{"formattedCitation":"[48]","plainTextFormattedCitation":"[48]","previouslyFormattedCitation":"[48]"},"properties":{"noteIndex":0},"schema":"https://github.com/citation-style-language/schema/raw/master/csl-citation.json"}</w:instrText>
      </w:r>
      <w:r w:rsidR="006943DF" w:rsidRPr="00774395">
        <w:rPr>
          <w:rFonts w:eastAsiaTheme="minorEastAsia"/>
        </w:rPr>
        <w:fldChar w:fldCharType="separate"/>
      </w:r>
      <w:r w:rsidR="00830B48" w:rsidRPr="00830B48">
        <w:rPr>
          <w:rFonts w:eastAsiaTheme="minorEastAsia"/>
          <w:noProof/>
        </w:rPr>
        <w:t>[48]</w:t>
      </w:r>
      <w:r w:rsidR="006943DF" w:rsidRPr="00774395">
        <w:rPr>
          <w:rFonts w:eastAsiaTheme="minorEastAsia"/>
        </w:rPr>
        <w:fldChar w:fldCharType="end"/>
      </w:r>
      <w:r w:rsidR="000D7981" w:rsidRPr="00774395">
        <w:rPr>
          <w:rFonts w:eastAsiaTheme="minorEastAsia"/>
        </w:rPr>
        <w:t xml:space="preserve">. </w:t>
      </w:r>
      <w:r w:rsidR="00EA247B" w:rsidRPr="00774395">
        <w:rPr>
          <w:rFonts w:eastAsiaTheme="minorEastAsia"/>
        </w:rPr>
        <w:t>The confidence intervals (CI</w:t>
      </w:r>
      <w:r w:rsidR="00F235DA" w:rsidRPr="00774395">
        <w:rPr>
          <w:rFonts w:eastAsiaTheme="minorEastAsia"/>
        </w:rPr>
        <w:t>s</w:t>
      </w:r>
      <w:r w:rsidR="00EA247B" w:rsidRPr="00774395">
        <w:rPr>
          <w:rFonts w:eastAsiaTheme="minorEastAsia"/>
        </w:rPr>
        <w:t xml:space="preserve">) for the summary effect were </w:t>
      </w:r>
      <w:r w:rsidR="00605537" w:rsidRPr="00774395">
        <w:rPr>
          <w:rFonts w:eastAsiaTheme="minorEastAsia"/>
        </w:rPr>
        <w:t>determined</w:t>
      </w:r>
      <w:r w:rsidR="00EA247B" w:rsidRPr="00774395">
        <w:rPr>
          <w:rFonts w:eastAsiaTheme="minorEastAsia"/>
        </w:rPr>
        <w:t xml:space="preserve"> by </w:t>
      </w:r>
      <w:r w:rsidR="00605537" w:rsidRPr="00774395">
        <w:rPr>
          <w:rFonts w:eastAsiaTheme="minorEastAsia"/>
        </w:rPr>
        <w:t xml:space="preserve">using the </w:t>
      </w:r>
      <w:r w:rsidR="006943DF" w:rsidRPr="00774395">
        <w:rPr>
          <w:rFonts w:eastAsiaTheme="minorEastAsia"/>
        </w:rPr>
        <w:t xml:space="preserve">Knapp-Hartung </w:t>
      </w:r>
      <w:r w:rsidR="00605537" w:rsidRPr="00774395">
        <w:rPr>
          <w:rFonts w:eastAsiaTheme="minorEastAsia"/>
        </w:rPr>
        <w:t>adjustment</w:t>
      </w:r>
      <w:r w:rsidR="006943DF" w:rsidRPr="00774395">
        <w:rPr>
          <w:rFonts w:eastAsiaTheme="minorEastAsia"/>
        </w:rPr>
        <w:t xml:space="preserve"> </w:t>
      </w:r>
      <w:r w:rsidR="006943DF" w:rsidRPr="00774395">
        <w:rPr>
          <w:rFonts w:eastAsiaTheme="minorEastAsia"/>
        </w:rPr>
        <w:fldChar w:fldCharType="begin" w:fldLock="1"/>
      </w:r>
      <w:r w:rsidR="00520099">
        <w:rPr>
          <w:rFonts w:eastAsiaTheme="minorEastAsia"/>
        </w:rPr>
        <w:instrText>ADDIN CSL_CITATION {"citationItems":[{"id":"ITEM-1","itemData":{"DOI":"10.1002/sim.1482","ISSN":"1097-0258","abstract":"The explanation of heterogeneity plays an important role in meta-analysis. The random effects metaregression model allows the inclusion of trial-specific covariates which may explain a part of the heterogeneity. We examine the commonly used tests on the parameters in the random effects metaregression with one covariate and propose some new test statistics based on an improved estimator of the variance of the parameter estimates. The approximation of the distribution of the newly proposed tests is based on some theoretical considerations. Moreover, the newly proposed tests can easily be extended to the case of more than one covariate. In a simulation study, we compare the tests with regard to their actual significance level and we consider the log relative risk as the parameter of interest. Our simulation study reflects the meta-analysis of the efficacy of a vaccine for the prevention of tuberculosis originally discussed in Berkey et al. The simulation study shows that the newly proposed tests are superior to the commonly used test in holding the nominal significance level. Copyright © 2003 John Wiley &amp; Sons, Ltd.","author":[{"dropping-particle":"","family":"Knapp","given":"Guido","non-dropping-particle":"","parse-names":false,"suffix":""},{"dropping-particle":"","family":"Hartung","given":"Joachim","non-dropping-particle":"","parse-names":false,"suffix":""}],"container-title":"Statistics in Medicine","id":"ITEM-1","issue":"17","issued":{"date-parts":[["2003","9","15"]]},"page":"2693-2710","publisher":"John Wiley &amp; Sons, Ltd","title":"Improved tests for a random effects meta-regression with a single covariate","type":"article-journal","volume":"22"},"uris":["http://www.mendeley.com/documents/?uuid=0054cecf-8241-3229-a937-fb2109b649b4"]}],"mendeley":{"formattedCitation":"[49]","plainTextFormattedCitation":"[49]","previouslyFormattedCitation":"[49]"},"properties":{"noteIndex":0},"schema":"https://github.com/citation-style-language/schema/raw/master/csl-citation.json"}</w:instrText>
      </w:r>
      <w:r w:rsidR="006943DF" w:rsidRPr="00774395">
        <w:rPr>
          <w:rFonts w:eastAsiaTheme="minorEastAsia"/>
        </w:rPr>
        <w:fldChar w:fldCharType="separate"/>
      </w:r>
      <w:r w:rsidR="00830B48" w:rsidRPr="00830B48">
        <w:rPr>
          <w:rFonts w:eastAsiaTheme="minorEastAsia"/>
          <w:noProof/>
        </w:rPr>
        <w:t>[49]</w:t>
      </w:r>
      <w:r w:rsidR="006943DF" w:rsidRPr="00774395">
        <w:rPr>
          <w:rFonts w:eastAsiaTheme="minorEastAsia"/>
        </w:rPr>
        <w:fldChar w:fldCharType="end"/>
      </w:r>
      <w:r w:rsidR="00EA247B" w:rsidRPr="00774395">
        <w:rPr>
          <w:rFonts w:eastAsiaTheme="minorEastAsia"/>
        </w:rPr>
        <w:t xml:space="preserve">. </w:t>
      </w:r>
      <w:r w:rsidR="003E5C11" w:rsidRPr="00774395">
        <w:rPr>
          <w:rFonts w:eastAsiaTheme="minorEastAsia"/>
        </w:rPr>
        <w:t xml:space="preserve">Therefore, </w:t>
      </w:r>
      <w:r w:rsidR="00F235DA" w:rsidRPr="00774395">
        <w:rPr>
          <w:rFonts w:eastAsiaTheme="minorEastAsia"/>
        </w:rPr>
        <w:t xml:space="preserve">the summary </w:t>
      </w:r>
      <w:r w:rsidR="004C5C08" w:rsidRPr="00774395">
        <w:rPr>
          <w:rFonts w:eastAsiaTheme="minorEastAsia"/>
        </w:rPr>
        <w:t>ES</w:t>
      </w:r>
      <w:r w:rsidR="00F235DA" w:rsidRPr="00774395">
        <w:rPr>
          <w:rFonts w:eastAsiaTheme="minorEastAsia"/>
        </w:rPr>
        <w:t xml:space="preserve"> was considered significantly different from zero whether the 95% CIs did not overlap zero, </w:t>
      </w:r>
      <w:r w:rsidR="00A320CD" w:rsidRPr="00774395">
        <w:rPr>
          <w:rFonts w:eastAsiaTheme="minorEastAsia"/>
        </w:rPr>
        <w:t>i.e.,</w:t>
      </w:r>
      <w:r w:rsidR="00F235DA" w:rsidRPr="00774395">
        <w:rPr>
          <w:rFonts w:eastAsiaTheme="minorEastAsia"/>
        </w:rPr>
        <w:t xml:space="preserve"> supplementation </w:t>
      </w:r>
      <w:r w:rsidR="009B5561" w:rsidRPr="00774395">
        <w:rPr>
          <w:rFonts w:eastAsiaTheme="minorEastAsia"/>
        </w:rPr>
        <w:t xml:space="preserve">of BC </w:t>
      </w:r>
      <w:r w:rsidR="00F235DA" w:rsidRPr="00774395">
        <w:rPr>
          <w:rFonts w:eastAsiaTheme="minorEastAsia"/>
        </w:rPr>
        <w:t xml:space="preserve">had a significant impact. </w:t>
      </w:r>
      <w:r w:rsidR="00C00FB0" w:rsidRPr="00774395">
        <w:rPr>
          <w:rFonts w:eastAsiaTheme="minorEastAsia"/>
        </w:rPr>
        <w:t>Significance of heterogeneity in true effects was tested by Q-value, degrees of freedom (</w:t>
      </w:r>
      <w:r w:rsidR="00C00FB0" w:rsidRPr="00774395">
        <w:rPr>
          <w:rFonts w:eastAsiaTheme="minorEastAsia"/>
          <w:i/>
          <w:iCs/>
        </w:rPr>
        <w:t>df</w:t>
      </w:r>
      <w:r w:rsidR="00C00FB0" w:rsidRPr="00774395">
        <w:rPr>
          <w:rFonts w:eastAsiaTheme="minorEastAsia"/>
        </w:rPr>
        <w:t>) and corresponding p-value</w:t>
      </w:r>
      <w:r w:rsidR="00EF5431" w:rsidRPr="00774395">
        <w:rPr>
          <w:rFonts w:eastAsiaTheme="minorEastAsia"/>
        </w:rPr>
        <w:t>.</w:t>
      </w:r>
      <w:r w:rsidR="006277A8" w:rsidRPr="00774395">
        <w:rPr>
          <w:rFonts w:eastAsiaTheme="minorEastAsia"/>
        </w:rPr>
        <w:t xml:space="preserve"> </w:t>
      </w:r>
      <w:r w:rsidR="002A6515" w:rsidRPr="00774395">
        <w:rPr>
          <w:rFonts w:eastAsiaTheme="minorEastAsia"/>
          <w:i/>
          <w:iCs/>
        </w:rPr>
        <w:t>I</w:t>
      </w:r>
      <w:r w:rsidR="002A6515" w:rsidRPr="00774395">
        <w:rPr>
          <w:rFonts w:eastAsiaTheme="minorEastAsia"/>
          <w:i/>
          <w:iCs/>
          <w:vertAlign w:val="superscript"/>
        </w:rPr>
        <w:t>2</w:t>
      </w:r>
      <w:r w:rsidR="002A6515" w:rsidRPr="00774395">
        <w:rPr>
          <w:rFonts w:eastAsiaTheme="minorEastAsia"/>
        </w:rPr>
        <w:t xml:space="preserve"> statistic (%)</w:t>
      </w:r>
      <w:r w:rsidR="006277A8" w:rsidRPr="00774395">
        <w:rPr>
          <w:rFonts w:eastAsiaTheme="minorEastAsia"/>
        </w:rPr>
        <w:t xml:space="preserve"> was also reported to express the fraction of observed variance due to heterogeneity rather than random error </w:t>
      </w:r>
      <w:r w:rsidR="006277A8" w:rsidRPr="00774395">
        <w:rPr>
          <w:rFonts w:eastAsiaTheme="minorEastAsia"/>
        </w:rPr>
        <w:fldChar w:fldCharType="begin" w:fldLock="1"/>
      </w:r>
      <w:r w:rsidR="00520099">
        <w:rPr>
          <w:rFonts w:eastAsiaTheme="minorEastAsia"/>
        </w:rPr>
        <w:instrText>ADDIN CSL_CITATION {"citationItems":[{"id":"ITEM-1","itemData":{"ISBN":"978-1-119-55835-4","author":[{"dropping-particle":"","family":"Borenstein","given":"Michael","non-dropping-particle":"","parse-names":false,"suffix":""},{"dropping-particle":"V.","family":"Hedges","given":"Larry","non-dropping-particle":"","parse-names":false,"suffix":""},{"dropping-particle":"","family":"Higgins","given":"Julian P. T.","non-dropping-particle":"","parse-names":false,"suffix":""},{"dropping-particle":"","family":"Rothstein","given":"Hannah R.","non-dropping-particle":"","parse-names":false,"suffix":""}],"edition":"2nd","id":"ITEM-1","issued":{"date-parts":[["2021"]]},"publisher":"Wiley &amp; Sons","title":"Introduction to Meta-Analysis","type":"book"},"uris":["http://www.mendeley.com/documents/?uuid=5ba4c5f1-d6dd-3209-adba-6a3700476344"]}],"mendeley":{"formattedCitation":"[46]","plainTextFormattedCitation":"[46]","previouslyFormattedCitation":"[46]"},"properties":{"noteIndex":0},"schema":"https://github.com/citation-style-language/schema/raw/master/csl-citation.json"}</w:instrText>
      </w:r>
      <w:r w:rsidR="006277A8" w:rsidRPr="00774395">
        <w:rPr>
          <w:rFonts w:eastAsiaTheme="minorEastAsia"/>
        </w:rPr>
        <w:fldChar w:fldCharType="separate"/>
      </w:r>
      <w:r w:rsidR="00830B48" w:rsidRPr="00830B48">
        <w:rPr>
          <w:rFonts w:eastAsiaTheme="minorEastAsia"/>
          <w:noProof/>
        </w:rPr>
        <w:t>[46]</w:t>
      </w:r>
      <w:r w:rsidR="006277A8" w:rsidRPr="00774395">
        <w:rPr>
          <w:rFonts w:eastAsiaTheme="minorEastAsia"/>
        </w:rPr>
        <w:fldChar w:fldCharType="end"/>
      </w:r>
      <w:r w:rsidR="002A6515" w:rsidRPr="00774395">
        <w:rPr>
          <w:rFonts w:eastAsiaTheme="minorEastAsia"/>
        </w:rPr>
        <w:t xml:space="preserve">. </w:t>
      </w:r>
    </w:p>
    <w:p w14:paraId="7D5E0CB3" w14:textId="0EA70BC6" w:rsidR="00E047A6" w:rsidRPr="00774395" w:rsidRDefault="00B8183A" w:rsidP="00265A4E">
      <w:pPr>
        <w:jc w:val="both"/>
        <w:rPr>
          <w:rFonts w:eastAsiaTheme="minorEastAsia"/>
        </w:rPr>
      </w:pPr>
      <w:r w:rsidRPr="00774395">
        <w:rPr>
          <w:rFonts w:eastAsiaTheme="minorEastAsia"/>
        </w:rPr>
        <w:t>Subgroup analys</w:t>
      </w:r>
      <w:r w:rsidR="003C6861" w:rsidRPr="00774395">
        <w:rPr>
          <w:rFonts w:eastAsiaTheme="minorEastAsia"/>
        </w:rPr>
        <w:t>e</w:t>
      </w:r>
      <w:r w:rsidRPr="00774395">
        <w:rPr>
          <w:rFonts w:eastAsiaTheme="minorEastAsia"/>
        </w:rPr>
        <w:t>s w</w:t>
      </w:r>
      <w:r w:rsidR="003C6861" w:rsidRPr="00774395">
        <w:rPr>
          <w:rFonts w:eastAsiaTheme="minorEastAsia"/>
        </w:rPr>
        <w:t>ere</w:t>
      </w:r>
      <w:r w:rsidRPr="00774395">
        <w:rPr>
          <w:rFonts w:eastAsiaTheme="minorEastAsia"/>
        </w:rPr>
        <w:t xml:space="preserve"> carried out to investigate how different variables could influence the effects of BC supplementation on CH</w:t>
      </w:r>
      <w:r w:rsidRPr="00774395">
        <w:rPr>
          <w:rFonts w:eastAsiaTheme="minorEastAsia"/>
          <w:vertAlign w:val="subscript"/>
        </w:rPr>
        <w:t>4</w:t>
      </w:r>
      <w:r w:rsidRPr="00774395">
        <w:rPr>
          <w:rFonts w:eastAsiaTheme="minorEastAsia"/>
        </w:rPr>
        <w:t xml:space="preserve"> yield, R</w:t>
      </w:r>
      <w:r w:rsidRPr="00774395">
        <w:rPr>
          <w:rFonts w:eastAsiaTheme="minorEastAsia"/>
          <w:vertAlign w:val="subscript"/>
        </w:rPr>
        <w:t>max</w:t>
      </w:r>
      <w:r w:rsidRPr="00774395">
        <w:rPr>
          <w:rFonts w:eastAsiaTheme="minorEastAsia"/>
        </w:rPr>
        <w:t xml:space="preserve">, and </w:t>
      </w:r>
      <w:r w:rsidRPr="00774395">
        <w:rPr>
          <w:rFonts w:eastAsiaTheme="minorEastAsia" w:cs="Times New Roman"/>
        </w:rPr>
        <w:t>λ</w:t>
      </w:r>
      <w:r w:rsidRPr="00774395">
        <w:rPr>
          <w:rFonts w:eastAsiaTheme="minorEastAsia"/>
        </w:rPr>
        <w:t xml:space="preserve">. </w:t>
      </w:r>
      <w:r w:rsidR="009C105F" w:rsidRPr="00774395">
        <w:rPr>
          <w:rFonts w:eastAsiaTheme="minorEastAsia"/>
        </w:rPr>
        <w:t xml:space="preserve">Each moderator variable was classified </w:t>
      </w:r>
      <w:r w:rsidR="00E83A9B" w:rsidRPr="00774395">
        <w:rPr>
          <w:rFonts w:eastAsiaTheme="minorEastAsia"/>
        </w:rPr>
        <w:t>in two or more subgroups</w:t>
      </w:r>
      <w:r w:rsidR="007379E0" w:rsidRPr="00774395">
        <w:rPr>
          <w:rFonts w:eastAsiaTheme="minorEastAsia"/>
        </w:rPr>
        <w:t>.</w:t>
      </w:r>
      <w:r w:rsidR="00E83A9B" w:rsidRPr="00774395">
        <w:rPr>
          <w:rFonts w:eastAsiaTheme="minorEastAsia"/>
        </w:rPr>
        <w:t xml:space="preserve"> </w:t>
      </w:r>
      <w:r w:rsidR="003C6861" w:rsidRPr="00774395">
        <w:rPr>
          <w:rFonts w:eastAsiaTheme="minorEastAsia"/>
        </w:rPr>
        <w:t>Then, a</w:t>
      </w:r>
      <w:r w:rsidR="00E83A9B" w:rsidRPr="00774395">
        <w:rPr>
          <w:rFonts w:eastAsiaTheme="minorEastAsia"/>
        </w:rPr>
        <w:t xml:space="preserve"> mixed-effects model was used to estimate the effect of each variable, assuming that variation across tests within each subgroup was due to random error, while variation between subgroups was fixed</w:t>
      </w:r>
      <w:r w:rsidR="00CD4A93" w:rsidRPr="00774395">
        <w:rPr>
          <w:rFonts w:eastAsiaTheme="minorEastAsia"/>
        </w:rPr>
        <w:t xml:space="preserve"> </w:t>
      </w:r>
      <w:r w:rsidR="00CD4A93" w:rsidRPr="00774395">
        <w:rPr>
          <w:rFonts w:eastAsiaTheme="minorEastAsia"/>
        </w:rPr>
        <w:fldChar w:fldCharType="begin" w:fldLock="1"/>
      </w:r>
      <w:r w:rsidR="00520099">
        <w:rPr>
          <w:rFonts w:eastAsiaTheme="minorEastAsia"/>
        </w:rPr>
        <w:instrText>ADDIN CSL_CITATION {"citationItems":[{"id":"ITEM-1","itemData":{"DOI":"10.1016/j.scitotenv.2019.133984","ISSN":"0048-9697","abstract":"Nitrogen (N) cycling by soil microbes can be estimated by quantifying the abundance of microbial functional genes (MFG) involved in N-transformation processes. In agro-ecosystems, biochars are regularly applied for increasing soil fertility and stability. In turn, it has been shown that biochar amendment can alter soil N cycling by altering MFG abundance and richness. However, the general patterns and mechanisms of how biochar amendment modifies N-cycling gene abundance have not been synthesized to date. Here, we addressed this knowledge gap by performing a meta-analysis of existing literatures up to 2019. We included five main marker genes involved in N cycling: nifH, amoA, nirK, nirS and nosZ. We found that biochar addition significantly increased the abundance of ammonia-oxidizing archaea (AOA), nirK, nirS and nosZ by an average of 25.3%, 32.0%, 14.6% and 17.0%, respectively. Particularly, biochar amendment increased the abundances of most N-cycling genes when soil pH changed from very acidic (pH &lt; 5) to acidic (pH: 5.5–6.5). Experimental conditions, cover plants, biochar pyrolysis temperature and fertilizer application were also important factors regulating the response of most N-cycling genes to biochar amendment. Moreover, soil pH significantly correlated with ammonia-oxidizing bacteria (AOB) abundance, while we found that most genes involved in nitrification and denitrification were not significantly correlated with each other across studies. Our results contribute to developing quantitative models of microbially-mediated N-transforming processes in response to biochar addition, and stimulate research on how to use biochar amendment for reducing reactive N gas emissions and enhancing N bioavailability to crop plants in agro-ecosystems.","author":[{"dropping-particle":"","family":"Xiao","given":"Zhenggao","non-dropping-particle":"","parse-names":false,"suffix":""},{"dropping-particle":"","family":"Rasmann","given":"Sergio","non-dropping-particle":"","parse-names":false,"suffix":""},{"dropping-particle":"","family":"Yue","given":"Le","non-dropping-particle":"","parse-names":false,"suffix":""},{"dropping-particle":"","family":"Lian","given":"Fei","non-dropping-particle":"","parse-names":false,"suffix":""},{"dropping-particle":"","family":"Zou","given":"Hua","non-dropping-particle":"","parse-names":false,"suffix":""},{"dropping-particle":"","family":"Wang","given":"Zhenyu","non-dropping-particle":"","parse-names":false,"suffix":""}],"container-title":"Science of The Total Environment","id":"ITEM-1","issued":{"date-parts":[["2019","12","15"]]},"page":"133984","publisher":"Elsevier","title":"The effect of biochar amendment on N-cycling genes in soils: A meta-analysis","type":"article-journal","volume":"696"},"uris":["http://www.mendeley.com/documents/?uuid=2e0fbf1b-8cf7-3d1d-8086-b68b38c42251"]}],"mendeley":{"formattedCitation":"[47]","plainTextFormattedCitation":"[47]","previouslyFormattedCitation":"[47]"},"properties":{"noteIndex":0},"schema":"https://github.com/citation-style-language/schema/raw/master/csl-citation.json"}</w:instrText>
      </w:r>
      <w:r w:rsidR="00CD4A93" w:rsidRPr="00774395">
        <w:rPr>
          <w:rFonts w:eastAsiaTheme="minorEastAsia"/>
        </w:rPr>
        <w:fldChar w:fldCharType="separate"/>
      </w:r>
      <w:r w:rsidR="00830B48" w:rsidRPr="00830B48">
        <w:rPr>
          <w:rFonts w:eastAsiaTheme="minorEastAsia"/>
          <w:noProof/>
        </w:rPr>
        <w:t>[47]</w:t>
      </w:r>
      <w:r w:rsidR="00CD4A93" w:rsidRPr="00774395">
        <w:rPr>
          <w:rFonts w:eastAsiaTheme="minorEastAsia"/>
        </w:rPr>
        <w:fldChar w:fldCharType="end"/>
      </w:r>
      <w:r w:rsidR="00E83A9B" w:rsidRPr="00774395">
        <w:rPr>
          <w:rFonts w:eastAsiaTheme="minorEastAsia"/>
        </w:rPr>
        <w:t xml:space="preserve">. </w:t>
      </w:r>
      <w:r w:rsidR="006928B4" w:rsidRPr="00774395">
        <w:rPr>
          <w:rFonts w:eastAsiaTheme="minorEastAsia"/>
        </w:rPr>
        <w:t>T</w:t>
      </w:r>
      <w:r w:rsidR="00CD4A93" w:rsidRPr="00774395">
        <w:rPr>
          <w:rFonts w:eastAsiaTheme="minorEastAsia"/>
        </w:rPr>
        <w:t xml:space="preserve">he summary effect within each subgroup was computed using a random-effect model with a separate </w:t>
      </w:r>
      <w:r w:rsidR="004D0181" w:rsidRPr="00774395">
        <w:rPr>
          <w:rFonts w:eastAsiaTheme="minorEastAsia"/>
        </w:rPr>
        <w:t xml:space="preserve">estimate of </w:t>
      </w:r>
      <w:r w:rsidR="00CD4A93" w:rsidRPr="00774395">
        <w:rPr>
          <w:rFonts w:eastAsiaTheme="minorEastAsia"/>
          <w:i/>
          <w:iCs/>
        </w:rPr>
        <w:t>T</w:t>
      </w:r>
      <w:r w:rsidR="00CD4A93" w:rsidRPr="00774395">
        <w:rPr>
          <w:rFonts w:eastAsiaTheme="minorEastAsia"/>
          <w:i/>
          <w:iCs/>
          <w:vertAlign w:val="superscript"/>
        </w:rPr>
        <w:t>2</w:t>
      </w:r>
      <w:r w:rsidR="00CD4A93" w:rsidRPr="00774395">
        <w:rPr>
          <w:rFonts w:eastAsiaTheme="minorEastAsia"/>
        </w:rPr>
        <w:t xml:space="preserve">, </w:t>
      </w:r>
      <w:r w:rsidR="006928B4" w:rsidRPr="00774395">
        <w:rPr>
          <w:rFonts w:eastAsiaTheme="minorEastAsia"/>
        </w:rPr>
        <w:t xml:space="preserve">whereas </w:t>
      </w:r>
      <w:r w:rsidR="00CD4A93" w:rsidRPr="00774395">
        <w:rPr>
          <w:rFonts w:eastAsiaTheme="minorEastAsia"/>
        </w:rPr>
        <w:t xml:space="preserve">the summary effect across subgroups was </w:t>
      </w:r>
      <w:r w:rsidR="00A26D34" w:rsidRPr="00774395">
        <w:rPr>
          <w:rFonts w:eastAsiaTheme="minorEastAsia"/>
        </w:rPr>
        <w:t>c</w:t>
      </w:r>
      <w:r w:rsidR="00872A14" w:rsidRPr="00774395">
        <w:rPr>
          <w:rFonts w:eastAsiaTheme="minorEastAsia"/>
        </w:rPr>
        <w:t>alculated</w:t>
      </w:r>
      <w:r w:rsidR="00A26D34" w:rsidRPr="00774395">
        <w:rPr>
          <w:rFonts w:eastAsiaTheme="minorEastAsia"/>
        </w:rPr>
        <w:t xml:space="preserve"> with a fixed-effects model. </w:t>
      </w:r>
      <w:r w:rsidR="001B2A74" w:rsidRPr="00774395">
        <w:rPr>
          <w:rFonts w:eastAsiaTheme="minorEastAsia"/>
        </w:rPr>
        <w:t>An omnibus test (</w:t>
      </w:r>
      <w:r w:rsidR="001B2A74" w:rsidRPr="00774395">
        <w:rPr>
          <w:rFonts w:eastAsiaTheme="minorEastAsia"/>
          <w:i/>
          <w:iCs/>
        </w:rPr>
        <w:t>Q</w:t>
      </w:r>
      <w:r w:rsidR="001B2A74" w:rsidRPr="00774395">
        <w:rPr>
          <w:rFonts w:eastAsiaTheme="minorEastAsia"/>
          <w:i/>
          <w:iCs/>
          <w:vertAlign w:val="subscript"/>
        </w:rPr>
        <w:t>M</w:t>
      </w:r>
      <w:r w:rsidR="001B2A74" w:rsidRPr="00774395">
        <w:rPr>
          <w:rFonts w:eastAsiaTheme="minorEastAsia"/>
        </w:rPr>
        <w:t xml:space="preserve">) </w:t>
      </w:r>
      <w:r w:rsidR="001327BD" w:rsidRPr="00774395">
        <w:rPr>
          <w:rFonts w:eastAsiaTheme="minorEastAsia"/>
        </w:rPr>
        <w:t xml:space="preserve">was used for testing the significance of each moderator variable: if a </w:t>
      </w:r>
      <w:r w:rsidR="001327BD" w:rsidRPr="00774395">
        <w:rPr>
          <w:rFonts w:eastAsiaTheme="minorEastAsia"/>
          <w:i/>
          <w:iCs/>
        </w:rPr>
        <w:t>Q</w:t>
      </w:r>
      <w:r w:rsidR="001327BD" w:rsidRPr="00774395">
        <w:rPr>
          <w:rFonts w:eastAsiaTheme="minorEastAsia"/>
          <w:i/>
          <w:iCs/>
          <w:vertAlign w:val="subscript"/>
        </w:rPr>
        <w:t>M</w:t>
      </w:r>
      <w:r w:rsidR="001327BD" w:rsidRPr="00774395">
        <w:rPr>
          <w:rFonts w:eastAsiaTheme="minorEastAsia"/>
        </w:rPr>
        <w:t xml:space="preserve"> was significant</w:t>
      </w:r>
      <w:r w:rsidR="000E74F9" w:rsidRPr="00774395">
        <w:rPr>
          <w:rFonts w:eastAsiaTheme="minorEastAsia"/>
        </w:rPr>
        <w:t xml:space="preserve">, </w:t>
      </w:r>
      <w:r w:rsidR="009A137A" w:rsidRPr="00774395">
        <w:rPr>
          <w:rFonts w:eastAsiaTheme="minorEastAsia"/>
        </w:rPr>
        <w:t xml:space="preserve">this meant that </w:t>
      </w:r>
      <w:r w:rsidR="000E74F9" w:rsidRPr="00774395">
        <w:rPr>
          <w:rFonts w:eastAsiaTheme="minorEastAsia"/>
        </w:rPr>
        <w:t xml:space="preserve">on average </w:t>
      </w:r>
      <w:r w:rsidR="001327BD" w:rsidRPr="00774395">
        <w:rPr>
          <w:rFonts w:eastAsiaTheme="minorEastAsia"/>
        </w:rPr>
        <w:t xml:space="preserve">the </w:t>
      </w:r>
      <w:r w:rsidR="004C5C08" w:rsidRPr="00774395">
        <w:rPr>
          <w:rFonts w:eastAsiaTheme="minorEastAsia"/>
        </w:rPr>
        <w:t>ES</w:t>
      </w:r>
      <w:r w:rsidR="001327BD" w:rsidRPr="00774395">
        <w:rPr>
          <w:rFonts w:eastAsiaTheme="minorEastAsia"/>
        </w:rPr>
        <w:t xml:space="preserve"> differed between subgroups (p-value &lt; 0.05)</w:t>
      </w:r>
      <w:r w:rsidR="000E74F9" w:rsidRPr="00774395">
        <w:rPr>
          <w:rFonts w:eastAsiaTheme="minorEastAsia"/>
        </w:rPr>
        <w:t>;</w:t>
      </w:r>
      <w:r w:rsidR="001327BD" w:rsidRPr="00774395">
        <w:rPr>
          <w:rFonts w:eastAsiaTheme="minorEastAsia"/>
        </w:rPr>
        <w:t xml:space="preserve"> consequently, each pair of effects of moderator subgroups </w:t>
      </w:r>
      <w:r w:rsidR="00416ED6" w:rsidRPr="00774395">
        <w:rPr>
          <w:rFonts w:eastAsiaTheme="minorEastAsia"/>
        </w:rPr>
        <w:t>was</w:t>
      </w:r>
      <w:r w:rsidR="001327BD" w:rsidRPr="00774395">
        <w:rPr>
          <w:rFonts w:eastAsiaTheme="minorEastAsia"/>
        </w:rPr>
        <w:t xml:space="preserve"> considered significantly different if </w:t>
      </w:r>
      <w:r w:rsidR="00416ED6" w:rsidRPr="00774395">
        <w:rPr>
          <w:rFonts w:eastAsiaTheme="minorEastAsia"/>
        </w:rPr>
        <w:t>their</w:t>
      </w:r>
      <w:r w:rsidR="001327BD" w:rsidRPr="00774395">
        <w:rPr>
          <w:rFonts w:eastAsiaTheme="minorEastAsia"/>
        </w:rPr>
        <w:t xml:space="preserve"> </w:t>
      </w:r>
      <w:r w:rsidR="00416ED6" w:rsidRPr="00774395">
        <w:rPr>
          <w:rFonts w:eastAsiaTheme="minorEastAsia"/>
        </w:rPr>
        <w:t>95% CIs did not overlap</w:t>
      </w:r>
      <w:r w:rsidR="00B0505F" w:rsidRPr="00774395">
        <w:rPr>
          <w:rFonts w:eastAsiaTheme="minorEastAsia"/>
        </w:rPr>
        <w:t xml:space="preserve"> </w:t>
      </w:r>
      <w:r w:rsidR="00B0505F" w:rsidRPr="00774395">
        <w:rPr>
          <w:rFonts w:eastAsiaTheme="minorEastAsia"/>
        </w:rPr>
        <w:fldChar w:fldCharType="begin" w:fldLock="1"/>
      </w:r>
      <w:r w:rsidR="00520099">
        <w:rPr>
          <w:rFonts w:eastAsiaTheme="minorEastAsia"/>
        </w:rPr>
        <w:instrText>ADDIN CSL_CITATION {"citationItems":[{"id":"ITEM-1","itemData":{"DOI":"10.1016/j.scitotenv.2019.133984","ISSN":"0048-9697","abstract":"Nitrogen (N) cycling by soil microbes can be estimated by quantifying the abundance of microbial functional genes (MFG) involved in N-transformation processes. In agro-ecosystems, biochars are regularly applied for increasing soil fertility and stability. In turn, it has been shown that biochar amendment can alter soil N cycling by altering MFG abundance and richness. However, the general patterns and mechanisms of how biochar amendment modifies N-cycling gene abundance have not been synthesized to date. Here, we addressed this knowledge gap by performing a meta-analysis of existing literatures up to 2019. We included five main marker genes involved in N cycling: nifH, amoA, nirK, nirS and nosZ. We found that biochar addition significantly increased the abundance of ammonia-oxidizing archaea (AOA), nirK, nirS and nosZ by an average of 25.3%, 32.0%, 14.6% and 17.0%, respectively. Particularly, biochar amendment increased the abundances of most N-cycling genes when soil pH changed from very acidic (pH &lt; 5) to acidic (pH: 5.5–6.5). Experimental conditions, cover plants, biochar pyrolysis temperature and fertilizer application were also important factors regulating the response of most N-cycling genes to biochar amendment. Moreover, soil pH significantly correlated with ammonia-oxidizing bacteria (AOB) abundance, while we found that most genes involved in nitrification and denitrification were not significantly correlated with each other across studies. Our results contribute to developing quantitative models of microbially-mediated N-transforming processes in response to biochar addition, and stimulate research on how to use biochar amendment for reducing reactive N gas emissions and enhancing N bioavailability to crop plants in agro-ecosystems.","author":[{"dropping-particle":"","family":"Xiao","given":"Zhenggao","non-dropping-particle":"","parse-names":false,"suffix":""},{"dropping-particle":"","family":"Rasmann","given":"Sergio","non-dropping-particle":"","parse-names":false,"suffix":""},{"dropping-particle":"","family":"Yue","given":"Le","non-dropping-particle":"","parse-names":false,"suffix":""},{"dropping-particle":"","family":"Lian","given":"Fei","non-dropping-particle":"","parse-names":false,"suffix":""},{"dropping-particle":"","family":"Zou","given":"Hua","non-dropping-particle":"","parse-names":false,"suffix":""},{"dropping-particle":"","family":"Wang","given":"Zhenyu","non-dropping-particle":"","parse-names":false,"suffix":""}],"container-title":"Science of The Total Environment","id":"ITEM-1","issued":{"date-parts":[["2019","12","15"]]},"page":"133984","publisher":"Elsevier","title":"The effect of biochar amendment on N-cycling genes in soils: A meta-analysis","type":"article-journal","volume":"696"},"uris":["http://www.mendeley.com/documents/?uuid=2e0fbf1b-8cf7-3d1d-8086-b68b38c42251"]}],"mendeley":{"formattedCitation":"[47]","plainTextFormattedCitation":"[47]","previouslyFormattedCitation":"[47]"},"properties":{"noteIndex":0},"schema":"https://github.com/citation-style-language/schema/raw/master/csl-citation.json"}</w:instrText>
      </w:r>
      <w:r w:rsidR="00B0505F" w:rsidRPr="00774395">
        <w:rPr>
          <w:rFonts w:eastAsiaTheme="minorEastAsia"/>
        </w:rPr>
        <w:fldChar w:fldCharType="separate"/>
      </w:r>
      <w:r w:rsidR="00830B48" w:rsidRPr="00830B48">
        <w:rPr>
          <w:rFonts w:eastAsiaTheme="minorEastAsia"/>
          <w:noProof/>
        </w:rPr>
        <w:t>[47]</w:t>
      </w:r>
      <w:r w:rsidR="00B0505F" w:rsidRPr="00774395">
        <w:rPr>
          <w:rFonts w:eastAsiaTheme="minorEastAsia"/>
        </w:rPr>
        <w:fldChar w:fldCharType="end"/>
      </w:r>
      <w:r w:rsidR="00416ED6" w:rsidRPr="00774395">
        <w:rPr>
          <w:rFonts w:eastAsiaTheme="minorEastAsia"/>
        </w:rPr>
        <w:t xml:space="preserve">. </w:t>
      </w:r>
    </w:p>
    <w:p w14:paraId="6F25404B" w14:textId="2D42CC60" w:rsidR="00535A93" w:rsidRPr="00774395" w:rsidRDefault="001F3ACB" w:rsidP="00A320CD">
      <w:pPr>
        <w:jc w:val="both"/>
        <w:rPr>
          <w:rFonts w:eastAsiaTheme="minorEastAsia"/>
        </w:rPr>
      </w:pPr>
      <w:r w:rsidRPr="00774395">
        <w:rPr>
          <w:rFonts w:eastAsiaTheme="minorEastAsia"/>
        </w:rPr>
        <w:t xml:space="preserve">All results of meta-analysis were </w:t>
      </w:r>
      <w:r w:rsidR="006408B1" w:rsidRPr="00774395">
        <w:rPr>
          <w:rFonts w:eastAsiaTheme="minorEastAsia"/>
        </w:rPr>
        <w:t>condensed</w:t>
      </w:r>
      <w:r w:rsidRPr="00774395">
        <w:rPr>
          <w:rFonts w:eastAsiaTheme="minorEastAsia"/>
        </w:rPr>
        <w:t xml:space="preserve"> </w:t>
      </w:r>
      <w:r w:rsidR="009A137A" w:rsidRPr="00774395">
        <w:rPr>
          <w:rFonts w:eastAsiaTheme="minorEastAsia"/>
        </w:rPr>
        <w:t>on</w:t>
      </w:r>
      <w:r w:rsidRPr="00774395">
        <w:rPr>
          <w:rFonts w:eastAsiaTheme="minorEastAsia"/>
        </w:rPr>
        <w:t xml:space="preserve"> a forest plot. The vertical axis </w:t>
      </w:r>
      <w:r w:rsidR="006408B1" w:rsidRPr="00774395">
        <w:rPr>
          <w:rFonts w:eastAsiaTheme="minorEastAsia"/>
        </w:rPr>
        <w:t>(</w:t>
      </w:r>
      <w:r w:rsidR="006408B1" w:rsidRPr="00774395">
        <w:rPr>
          <w:rFonts w:eastAsiaTheme="minorEastAsia"/>
          <w:i/>
          <w:iCs/>
        </w:rPr>
        <w:t>g</w:t>
      </w:r>
      <w:r w:rsidR="006408B1" w:rsidRPr="00774395">
        <w:rPr>
          <w:rFonts w:eastAsiaTheme="minorEastAsia"/>
        </w:rPr>
        <w:t xml:space="preserve"> equal to zero) </w:t>
      </w:r>
      <w:r w:rsidR="00A87E23" w:rsidRPr="00774395">
        <w:rPr>
          <w:rFonts w:eastAsiaTheme="minorEastAsia"/>
        </w:rPr>
        <w:t>is</w:t>
      </w:r>
      <w:r w:rsidRPr="00774395">
        <w:rPr>
          <w:rFonts w:eastAsiaTheme="minorEastAsia"/>
        </w:rPr>
        <w:t xml:space="preserve"> </w:t>
      </w:r>
      <w:r w:rsidR="006408B1" w:rsidRPr="00774395">
        <w:rPr>
          <w:rFonts w:eastAsiaTheme="minorEastAsia"/>
        </w:rPr>
        <w:t xml:space="preserve">known as </w:t>
      </w:r>
      <w:r w:rsidRPr="00774395">
        <w:rPr>
          <w:rFonts w:eastAsiaTheme="minorEastAsia"/>
        </w:rPr>
        <w:t>line of no effect</w:t>
      </w:r>
      <w:r w:rsidR="006408B1" w:rsidRPr="00774395">
        <w:rPr>
          <w:rFonts w:eastAsiaTheme="minorEastAsia"/>
        </w:rPr>
        <w:t xml:space="preserve"> </w:t>
      </w:r>
      <w:r w:rsidR="006408B1" w:rsidRPr="00774395">
        <w:rPr>
          <w:rFonts w:eastAsiaTheme="minorEastAsia"/>
        </w:rPr>
        <w:fldChar w:fldCharType="begin" w:fldLock="1"/>
      </w:r>
      <w:r w:rsidR="00520099">
        <w:rPr>
          <w:rFonts w:eastAsiaTheme="minorEastAsia"/>
        </w:rPr>
        <w:instrText>ADDIN CSL_CITATION {"citationItems":[{"id":"ITEM-1","itemData":{"DOI":"10.1016/j.jclepro.2020.122449","ISSN":"09596526","abstract":"The profitability of biogas industries largely depends on substrate biodegradability. Most of the substrates for sustainable energy recovery via anaerobic digestion like lignocellulosic materials contains complex polymeric substances and requires some enhancements to achieve optimum biodegradability. Previous studies have reported that the use of iron additives improved both degradability of such substrates and biogas yield, but iron-based enhancements have shown variability in the input and yield results. This evidence-based study used meta-analysis in determining the performances of iron-based additives on biogas yield. Previously published articles on the subject were systematically identified and compiled based on set inclusion criteria. The database was used to analyze the influence of iron-based additives on the enhancement of biogas yield during anaerobic digestion of organic wastes. The pooled effect estimates at 95% confidence interval was generated with the use of Random-effects model. The overall result of the meta-analysis performed showed that iron-based additives supplementation significantly enhanced biogas yield at Standard mean difference = 1.451, 95% CI: 1.280–1.622, p &lt; 0.001. Restricted subgroup analysis indicated that all the moderators had a significant influence on biogas yield of iron-based treated anaerobic digestion processes at p &lt; 0.001. Evidence of heterogeneity was observed, while meta-regression analysis indicated that most of the sources of heterogeneity were explained by the additive-types, substrate-types, dosage range and research location at p &lt; 0.05. The result of this study showed the potential of iron-based additives supplementation to improve biogas yield during anaerobic digestion of organic wastes. The information from this study avails important suggestions on policy advancements and sustainable usage of iron-based enhanced anaerobic digestion processes in biogas industries.","author":[{"dropping-particle":"","family":"Ugwu","given":"S. N.","non-dropping-particle":"","parse-names":false,"suffix":""},{"dropping-particle":"","family":"Biscoff","given":"R. K.","non-dropping-particle":"","parse-names":false,"suffix":""},{"dropping-particle":"","family":"Enweremadu","given":"C. C.","non-dropping-particle":"","parse-names":false,"suffix":""}],"container-title":"Journal of Cleaner Production","id":"ITEM-1","issued":{"date-parts":[["2020"]]},"page":"122449","publisher":"Elsevier","title":"A meta-analysis of iron-based additives on enhancements of biogas yields during anaerobic digestion of organic wastes","type":"article-journal","volume":"269"},"uris":["http://www.mendeley.com/documents/?uuid=809e79f9-d5f7-488c-b455-584ddb543cb9"]}],"mendeley":{"formattedCitation":"[45]","plainTextFormattedCitation":"[45]","previouslyFormattedCitation":"[45]"},"properties":{"noteIndex":0},"schema":"https://github.com/citation-style-language/schema/raw/master/csl-citation.json"}</w:instrText>
      </w:r>
      <w:r w:rsidR="006408B1" w:rsidRPr="00774395">
        <w:rPr>
          <w:rFonts w:eastAsiaTheme="minorEastAsia"/>
        </w:rPr>
        <w:fldChar w:fldCharType="separate"/>
      </w:r>
      <w:r w:rsidR="00830B48" w:rsidRPr="00830B48">
        <w:rPr>
          <w:rFonts w:eastAsiaTheme="minorEastAsia"/>
          <w:noProof/>
        </w:rPr>
        <w:t>[45]</w:t>
      </w:r>
      <w:r w:rsidR="006408B1" w:rsidRPr="00774395">
        <w:rPr>
          <w:rFonts w:eastAsiaTheme="minorEastAsia"/>
        </w:rPr>
        <w:fldChar w:fldCharType="end"/>
      </w:r>
      <w:r w:rsidR="006408B1" w:rsidRPr="00774395">
        <w:rPr>
          <w:rFonts w:eastAsiaTheme="minorEastAsia"/>
        </w:rPr>
        <w:t>:</w:t>
      </w:r>
      <w:r w:rsidRPr="00774395">
        <w:rPr>
          <w:rFonts w:eastAsiaTheme="minorEastAsia"/>
        </w:rPr>
        <w:t xml:space="preserve"> </w:t>
      </w:r>
      <w:r w:rsidR="006408B1" w:rsidRPr="00774395">
        <w:rPr>
          <w:rFonts w:eastAsiaTheme="minorEastAsia"/>
        </w:rPr>
        <w:t>a</w:t>
      </w:r>
      <w:r w:rsidR="0031413D" w:rsidRPr="00774395">
        <w:rPr>
          <w:rFonts w:eastAsiaTheme="minorEastAsia"/>
        </w:rPr>
        <w:t xml:space="preserve"> p</w:t>
      </w:r>
      <w:r w:rsidRPr="00774395">
        <w:rPr>
          <w:rFonts w:eastAsiaTheme="minorEastAsia"/>
        </w:rPr>
        <w:t xml:space="preserve">ositive </w:t>
      </w:r>
      <w:r w:rsidR="004C5C08" w:rsidRPr="00774395">
        <w:rPr>
          <w:rFonts w:eastAsiaTheme="minorEastAsia"/>
        </w:rPr>
        <w:t>ES</w:t>
      </w:r>
      <w:r w:rsidRPr="00774395">
        <w:rPr>
          <w:rFonts w:eastAsiaTheme="minorEastAsia"/>
        </w:rPr>
        <w:t xml:space="preserve"> on the right </w:t>
      </w:r>
      <w:r w:rsidR="009A137A" w:rsidRPr="00774395">
        <w:rPr>
          <w:rFonts w:eastAsiaTheme="minorEastAsia"/>
        </w:rPr>
        <w:t>constitutes</w:t>
      </w:r>
      <w:r w:rsidRPr="00774395">
        <w:rPr>
          <w:rFonts w:eastAsiaTheme="minorEastAsia"/>
        </w:rPr>
        <w:t xml:space="preserve"> </w:t>
      </w:r>
      <w:r w:rsidR="0031413D" w:rsidRPr="00774395">
        <w:rPr>
          <w:rFonts w:eastAsiaTheme="minorEastAsia"/>
        </w:rPr>
        <w:t>an increase</w:t>
      </w:r>
      <w:r w:rsidRPr="00774395">
        <w:rPr>
          <w:rFonts w:eastAsiaTheme="minorEastAsia"/>
        </w:rPr>
        <w:t xml:space="preserve"> of </w:t>
      </w:r>
      <w:r w:rsidR="0031413D" w:rsidRPr="00774395">
        <w:rPr>
          <w:rFonts w:eastAsiaTheme="minorEastAsia"/>
        </w:rPr>
        <w:t>CH</w:t>
      </w:r>
      <w:r w:rsidR="0031413D" w:rsidRPr="00774395">
        <w:rPr>
          <w:rFonts w:eastAsiaTheme="minorEastAsia"/>
          <w:vertAlign w:val="subscript"/>
        </w:rPr>
        <w:t>4</w:t>
      </w:r>
      <w:r w:rsidR="0031413D" w:rsidRPr="00774395">
        <w:rPr>
          <w:rFonts w:eastAsiaTheme="minorEastAsia"/>
        </w:rPr>
        <w:t xml:space="preserve"> yield, R</w:t>
      </w:r>
      <w:r w:rsidR="0031413D" w:rsidRPr="00774395">
        <w:rPr>
          <w:rFonts w:eastAsiaTheme="minorEastAsia"/>
          <w:vertAlign w:val="subscript"/>
        </w:rPr>
        <w:t>max</w:t>
      </w:r>
      <w:r w:rsidR="0031413D" w:rsidRPr="00774395">
        <w:rPr>
          <w:rFonts w:eastAsiaTheme="minorEastAsia"/>
        </w:rPr>
        <w:t xml:space="preserve">, </w:t>
      </w:r>
      <w:r w:rsidR="0031413D" w:rsidRPr="00774395">
        <w:rPr>
          <w:rFonts w:eastAsiaTheme="minorEastAsia" w:cs="Times New Roman"/>
        </w:rPr>
        <w:t>λ</w:t>
      </w:r>
      <w:r w:rsidR="0031413D" w:rsidRPr="00774395">
        <w:rPr>
          <w:rFonts w:eastAsiaTheme="minorEastAsia"/>
        </w:rPr>
        <w:t>, or CH</w:t>
      </w:r>
      <w:r w:rsidR="0031413D" w:rsidRPr="00774395">
        <w:rPr>
          <w:rFonts w:eastAsiaTheme="minorEastAsia"/>
          <w:vertAlign w:val="subscript"/>
        </w:rPr>
        <w:t>4</w:t>
      </w:r>
      <w:r w:rsidR="0031413D" w:rsidRPr="00774395">
        <w:rPr>
          <w:rFonts w:eastAsiaTheme="minorEastAsia"/>
        </w:rPr>
        <w:t xml:space="preserve"> production rate due to BC supplementation, whereas a negative value on the left </w:t>
      </w:r>
      <w:r w:rsidR="00504AC9" w:rsidRPr="00774395">
        <w:rPr>
          <w:rFonts w:eastAsiaTheme="minorEastAsia"/>
        </w:rPr>
        <w:t>indicates</w:t>
      </w:r>
      <w:r w:rsidR="00986FF2" w:rsidRPr="00774395">
        <w:rPr>
          <w:rFonts w:eastAsiaTheme="minorEastAsia"/>
        </w:rPr>
        <w:t xml:space="preserve"> </w:t>
      </w:r>
      <w:r w:rsidR="0031413D" w:rsidRPr="00774395">
        <w:rPr>
          <w:rFonts w:eastAsiaTheme="minorEastAsia"/>
        </w:rPr>
        <w:t xml:space="preserve">a decrease. </w:t>
      </w:r>
      <w:r w:rsidR="002E4142" w:rsidRPr="00774395">
        <w:rPr>
          <w:rFonts w:eastAsiaTheme="minorEastAsia"/>
        </w:rPr>
        <w:t>A s</w:t>
      </w:r>
      <w:r w:rsidR="00EF3337" w:rsidRPr="00774395">
        <w:rPr>
          <w:rFonts w:eastAsiaTheme="minorEastAsia"/>
        </w:rPr>
        <w:t>quare represent</w:t>
      </w:r>
      <w:r w:rsidR="006408B1" w:rsidRPr="00774395">
        <w:rPr>
          <w:rFonts w:eastAsiaTheme="minorEastAsia"/>
        </w:rPr>
        <w:t>ed</w:t>
      </w:r>
      <w:r w:rsidR="00EF3337" w:rsidRPr="00774395">
        <w:rPr>
          <w:rFonts w:eastAsiaTheme="minorEastAsia"/>
        </w:rPr>
        <w:t xml:space="preserve"> </w:t>
      </w:r>
      <w:r w:rsidR="002E4142" w:rsidRPr="00774395">
        <w:rPr>
          <w:rFonts w:eastAsiaTheme="minorEastAsia"/>
        </w:rPr>
        <w:t xml:space="preserve">the mean </w:t>
      </w:r>
      <w:r w:rsidR="004C5C08" w:rsidRPr="00774395">
        <w:rPr>
          <w:rFonts w:eastAsiaTheme="minorEastAsia"/>
        </w:rPr>
        <w:t>ES</w:t>
      </w:r>
      <w:r w:rsidR="00EF3337" w:rsidRPr="00774395">
        <w:rPr>
          <w:rFonts w:eastAsiaTheme="minorEastAsia"/>
        </w:rPr>
        <w:t xml:space="preserve"> of </w:t>
      </w:r>
      <w:r w:rsidR="002E4142" w:rsidRPr="00774395">
        <w:rPr>
          <w:rFonts w:eastAsiaTheme="minorEastAsia"/>
        </w:rPr>
        <w:t>a</w:t>
      </w:r>
      <w:r w:rsidR="006408B1" w:rsidRPr="00774395">
        <w:rPr>
          <w:rFonts w:eastAsiaTheme="minorEastAsia"/>
        </w:rPr>
        <w:t xml:space="preserve"> given </w:t>
      </w:r>
      <w:r w:rsidR="002E4142" w:rsidRPr="00774395">
        <w:rPr>
          <w:rFonts w:eastAsiaTheme="minorEastAsia"/>
        </w:rPr>
        <w:t>subgroup</w:t>
      </w:r>
      <w:r w:rsidR="00EF3337" w:rsidRPr="00774395">
        <w:rPr>
          <w:rFonts w:eastAsiaTheme="minorEastAsia"/>
        </w:rPr>
        <w:t xml:space="preserve"> </w:t>
      </w:r>
      <w:r w:rsidR="002E4142" w:rsidRPr="00774395">
        <w:rPr>
          <w:rFonts w:eastAsiaTheme="minorEastAsia"/>
        </w:rPr>
        <w:t>together with its</w:t>
      </w:r>
      <w:r w:rsidR="00EF3337" w:rsidRPr="00774395">
        <w:rPr>
          <w:rFonts w:eastAsiaTheme="minorEastAsia"/>
        </w:rPr>
        <w:t xml:space="preserve"> 95% CIs</w:t>
      </w:r>
      <w:r w:rsidR="002E4142" w:rsidRPr="00774395">
        <w:rPr>
          <w:rFonts w:eastAsiaTheme="minorEastAsia"/>
        </w:rPr>
        <w:t>, being significantly different from zero when CIs did not intercept the vertical axis.</w:t>
      </w:r>
      <w:r w:rsidR="00535A93" w:rsidRPr="00774395">
        <w:rPr>
          <w:rFonts w:eastAsiaTheme="minorEastAsia"/>
        </w:rPr>
        <w:t xml:space="preserve"> The summary effect </w:t>
      </w:r>
      <w:r w:rsidR="006408B1" w:rsidRPr="00774395">
        <w:rPr>
          <w:rFonts w:eastAsiaTheme="minorEastAsia"/>
        </w:rPr>
        <w:t>wa</w:t>
      </w:r>
      <w:r w:rsidR="00AD263F" w:rsidRPr="00774395">
        <w:rPr>
          <w:rFonts w:eastAsiaTheme="minorEastAsia"/>
        </w:rPr>
        <w:t xml:space="preserve">s </w:t>
      </w:r>
      <w:r w:rsidR="00535A93" w:rsidRPr="00774395">
        <w:rPr>
          <w:rFonts w:eastAsiaTheme="minorEastAsia"/>
        </w:rPr>
        <w:t xml:space="preserve">represented by a diamond, where its location </w:t>
      </w:r>
      <w:r w:rsidR="00535A93" w:rsidRPr="00774395">
        <w:rPr>
          <w:rFonts w:eastAsiaTheme="minorEastAsia"/>
        </w:rPr>
        <w:lastRenderedPageBreak/>
        <w:t>identifie</w:t>
      </w:r>
      <w:r w:rsidR="006408B1" w:rsidRPr="00774395">
        <w:rPr>
          <w:rFonts w:eastAsiaTheme="minorEastAsia"/>
        </w:rPr>
        <w:t>d</w:t>
      </w:r>
      <w:r w:rsidR="00535A93" w:rsidRPr="00774395">
        <w:rPr>
          <w:rFonts w:eastAsiaTheme="minorEastAsia"/>
        </w:rPr>
        <w:t xml:space="preserve"> the </w:t>
      </w:r>
      <w:r w:rsidR="007E550C" w:rsidRPr="00774395">
        <w:rPr>
          <w:rFonts w:eastAsiaTheme="minorEastAsia"/>
        </w:rPr>
        <w:t>mean,</w:t>
      </w:r>
      <w:r w:rsidR="00535A93" w:rsidRPr="00774395">
        <w:rPr>
          <w:rFonts w:eastAsiaTheme="minorEastAsia"/>
        </w:rPr>
        <w:t xml:space="preserve"> and its vertices </w:t>
      </w:r>
      <w:r w:rsidR="00AD263F" w:rsidRPr="00774395">
        <w:rPr>
          <w:rFonts w:eastAsiaTheme="minorEastAsia"/>
        </w:rPr>
        <w:t>depict</w:t>
      </w:r>
      <w:r w:rsidR="006408B1" w:rsidRPr="00774395">
        <w:rPr>
          <w:rFonts w:eastAsiaTheme="minorEastAsia"/>
        </w:rPr>
        <w:t>ed</w:t>
      </w:r>
      <w:r w:rsidR="00535A93" w:rsidRPr="00774395">
        <w:rPr>
          <w:rFonts w:eastAsiaTheme="minorEastAsia"/>
        </w:rPr>
        <w:t xml:space="preserve"> the lower and upper 95% CIs.</w:t>
      </w:r>
      <w:r w:rsidR="00AD263F" w:rsidRPr="00774395">
        <w:rPr>
          <w:rFonts w:eastAsiaTheme="minorEastAsia"/>
        </w:rPr>
        <w:t xml:space="preserve"> Further, the 95% prediction intervals (PIs) were </w:t>
      </w:r>
      <w:r w:rsidR="006408B1" w:rsidRPr="00774395">
        <w:rPr>
          <w:rFonts w:eastAsiaTheme="minorEastAsia"/>
        </w:rPr>
        <w:t>shown</w:t>
      </w:r>
      <w:r w:rsidR="00AD263F" w:rsidRPr="00774395">
        <w:rPr>
          <w:rFonts w:eastAsiaTheme="minorEastAsia"/>
        </w:rPr>
        <w:t xml:space="preserve"> by a dashed line in case of </w:t>
      </w:r>
      <w:r w:rsidR="006408B1" w:rsidRPr="00774395">
        <w:rPr>
          <w:rFonts w:eastAsiaTheme="minorEastAsia"/>
        </w:rPr>
        <w:t xml:space="preserve">a </w:t>
      </w:r>
      <w:r w:rsidR="00AD263F" w:rsidRPr="00774395">
        <w:rPr>
          <w:rFonts w:eastAsiaTheme="minorEastAsia"/>
        </w:rPr>
        <w:t>random-effects model.</w:t>
      </w:r>
    </w:p>
    <w:p w14:paraId="7F9DEB74" w14:textId="77777777" w:rsidR="00A320CD" w:rsidRPr="00774395" w:rsidRDefault="00A320CD" w:rsidP="00265A4E">
      <w:pPr>
        <w:jc w:val="both"/>
        <w:rPr>
          <w:rFonts w:eastAsiaTheme="minorEastAsia"/>
        </w:rPr>
      </w:pPr>
    </w:p>
    <w:p w14:paraId="6797B685" w14:textId="263445C3" w:rsidR="002E703A" w:rsidRPr="00774395" w:rsidRDefault="00931735" w:rsidP="00C92CB2">
      <w:pPr>
        <w:pStyle w:val="Titolo2"/>
        <w:rPr>
          <w:b/>
          <w:bCs/>
          <w:sz w:val="24"/>
          <w:szCs w:val="24"/>
        </w:rPr>
      </w:pPr>
      <w:r w:rsidRPr="00774395">
        <w:rPr>
          <w:b/>
          <w:bCs/>
          <w:sz w:val="24"/>
          <w:szCs w:val="24"/>
        </w:rPr>
        <w:t>3.3</w:t>
      </w:r>
      <w:r w:rsidR="002E703A" w:rsidRPr="00774395">
        <w:rPr>
          <w:b/>
          <w:bCs/>
          <w:sz w:val="24"/>
          <w:szCs w:val="24"/>
        </w:rPr>
        <w:t xml:space="preserve">. </w:t>
      </w:r>
      <w:r w:rsidR="00643C91" w:rsidRPr="00774395">
        <w:rPr>
          <w:b/>
          <w:bCs/>
          <w:sz w:val="24"/>
          <w:szCs w:val="24"/>
        </w:rPr>
        <w:t>E</w:t>
      </w:r>
      <w:r w:rsidR="002E703A" w:rsidRPr="00774395">
        <w:rPr>
          <w:b/>
          <w:bCs/>
          <w:sz w:val="24"/>
          <w:szCs w:val="24"/>
        </w:rPr>
        <w:t>conomic analysis</w:t>
      </w:r>
    </w:p>
    <w:p w14:paraId="6DB3C3BA" w14:textId="7C53EDE9" w:rsidR="00443B3A" w:rsidRPr="00774395" w:rsidRDefault="00504AC9" w:rsidP="00443B3A">
      <w:pPr>
        <w:jc w:val="both"/>
      </w:pPr>
      <w:bookmarkStart w:id="4" w:name="_Hlk86824601"/>
      <w:r w:rsidRPr="00774395">
        <w:t>T</w:t>
      </w:r>
      <w:r w:rsidR="00905846" w:rsidRPr="00774395">
        <w:t xml:space="preserve">o assess the economic feasibility of BC supplementation to AD </w:t>
      </w:r>
      <w:r w:rsidR="00A320CD" w:rsidRPr="00774395">
        <w:t>at full-scale</w:t>
      </w:r>
      <w:r w:rsidR="00905846" w:rsidRPr="00774395">
        <w:t>, a</w:t>
      </w:r>
      <w:r w:rsidR="00C54EC0" w:rsidRPr="00774395">
        <w:t>n</w:t>
      </w:r>
      <w:r w:rsidR="00905846" w:rsidRPr="00774395">
        <w:t xml:space="preserve"> economic analysis was carried out using </w:t>
      </w:r>
      <w:r w:rsidR="00CB201F" w:rsidRPr="00774395">
        <w:t xml:space="preserve">input </w:t>
      </w:r>
      <w:r w:rsidR="00905846" w:rsidRPr="00774395">
        <w:t xml:space="preserve">data </w:t>
      </w:r>
      <w:r w:rsidR="000522DC" w:rsidRPr="00774395">
        <w:t>of</w:t>
      </w:r>
      <w:r w:rsidR="00905846" w:rsidRPr="00774395">
        <w:t xml:space="preserve"> semi-continuous AD tests </w:t>
      </w:r>
      <w:r w:rsidR="00CB201F" w:rsidRPr="00774395">
        <w:t xml:space="preserve">at lab </w:t>
      </w:r>
      <w:r w:rsidR="000522DC" w:rsidRPr="00774395">
        <w:t>or</w:t>
      </w:r>
      <w:r w:rsidR="00CB201F" w:rsidRPr="00774395">
        <w:t xml:space="preserve"> pilot scale </w:t>
      </w:r>
      <w:r w:rsidR="00905846" w:rsidRPr="00774395">
        <w:t>(</w:t>
      </w:r>
      <w:r w:rsidR="00422350" w:rsidRPr="00774395">
        <w:t xml:space="preserve">Table </w:t>
      </w:r>
      <w:r w:rsidR="00A320CD" w:rsidRPr="00774395">
        <w:t xml:space="preserve">B3 </w:t>
      </w:r>
      <w:r w:rsidR="009301F1" w:rsidRPr="00774395">
        <w:t>in</w:t>
      </w:r>
      <w:r w:rsidR="00D5192B" w:rsidRPr="00774395">
        <w:t xml:space="preserve"> </w:t>
      </w:r>
      <w:r w:rsidR="0013319C" w:rsidRPr="00774395">
        <w:t xml:space="preserve">Appendix </w:t>
      </w:r>
      <w:r w:rsidR="00A320CD" w:rsidRPr="00774395">
        <w:t>B</w:t>
      </w:r>
      <w:r w:rsidR="00905846" w:rsidRPr="00774395">
        <w:t>).</w:t>
      </w:r>
      <w:r w:rsidR="00FD426F" w:rsidRPr="00774395">
        <w:t xml:space="preserve"> </w:t>
      </w:r>
      <w:r w:rsidR="00443B3A" w:rsidRPr="00774395">
        <w:t>Input data (</w:t>
      </w:r>
      <m:oMath>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CH</m:t>
            </m:r>
          </m:e>
          <m:sub>
            <m:r>
              <w:rPr>
                <w:rFonts w:ascii="Cambria Math" w:hAnsi="Cambria Math" w:cs="Times New Roman"/>
              </w:rPr>
              <m:t>4</m:t>
            </m:r>
          </m:sub>
        </m:sSub>
      </m:oMath>
      <w:r w:rsidR="00443B3A" w:rsidRPr="00774395">
        <w:rPr>
          <w:rFonts w:eastAsiaTheme="minorEastAsia"/>
        </w:rPr>
        <w:t xml:space="preserve">, </w:t>
      </w:r>
      <w:r w:rsidR="00443B3A" w:rsidRPr="00774395">
        <w:rPr>
          <w:rFonts w:eastAsiaTheme="minorEastAsia"/>
          <w:i/>
          <w:iCs/>
        </w:rPr>
        <w:t>VS</w:t>
      </w:r>
      <w:r w:rsidR="00443B3A" w:rsidRPr="00774395">
        <w:rPr>
          <w:rFonts w:eastAsiaTheme="minorEastAsia"/>
        </w:rPr>
        <w:t xml:space="preserve">, </w:t>
      </w:r>
      <w:r w:rsidR="00443B3A" w:rsidRPr="00774395">
        <w:rPr>
          <w:rFonts w:eastAsiaTheme="minorEastAsia"/>
          <w:i/>
          <w:iCs/>
        </w:rPr>
        <w:t>d</w:t>
      </w:r>
      <w:r w:rsidR="00443B3A" w:rsidRPr="00774395">
        <w:rPr>
          <w:rFonts w:eastAsiaTheme="minorEastAsia"/>
          <w:i/>
          <w:iCs/>
          <w:vertAlign w:val="subscript"/>
        </w:rPr>
        <w:t>BC</w:t>
      </w:r>
      <w:r w:rsidR="00443B3A" w:rsidRPr="00774395">
        <w:t>) were directly extracted or derived from the available information. Some studies were excluded due to lack of useful data</w:t>
      </w:r>
      <w:r w:rsidR="009301F1" w:rsidRPr="00774395">
        <w:t>, and</w:t>
      </w:r>
      <w:r w:rsidR="00443B3A" w:rsidRPr="00774395">
        <w:t xml:space="preserve"> 14 studies with 57 experimental conditions in semi-continuous mode were included in the economic analysis.</w:t>
      </w:r>
      <w:r w:rsidR="00AD2123" w:rsidRPr="00774395">
        <w:t xml:space="preserve"> </w:t>
      </w:r>
      <w:r w:rsidR="00E24769" w:rsidRPr="00774395">
        <w:t xml:space="preserve">Since </w:t>
      </w:r>
      <w:r w:rsidR="00E117B9" w:rsidRPr="00774395">
        <w:t xml:space="preserve">the </w:t>
      </w:r>
      <w:r w:rsidR="00152C4F" w:rsidRPr="00774395">
        <w:t xml:space="preserve">specific </w:t>
      </w:r>
      <w:r w:rsidR="00E117B9" w:rsidRPr="00774395">
        <w:t xml:space="preserve">objective </w:t>
      </w:r>
      <w:r w:rsidR="00152C4F" w:rsidRPr="00774395">
        <w:t xml:space="preserve">of the analysis </w:t>
      </w:r>
      <w:r w:rsidR="00E117B9" w:rsidRPr="00774395">
        <w:t>was to assess the economic feasibility of biochar addition</w:t>
      </w:r>
      <w:r w:rsidR="00FD3E86" w:rsidRPr="00774395">
        <w:t xml:space="preserve"> </w:t>
      </w:r>
      <w:r w:rsidR="009301F1" w:rsidRPr="00774395">
        <w:t>to AD</w:t>
      </w:r>
      <w:r w:rsidR="00FD3E86" w:rsidRPr="00774395">
        <w:t xml:space="preserve">, the main assumption was to </w:t>
      </w:r>
      <w:r w:rsidR="009301F1" w:rsidRPr="00774395">
        <w:t>consider BC addition</w:t>
      </w:r>
      <w:r w:rsidR="001C576E" w:rsidRPr="00774395">
        <w:t xml:space="preserve"> to an operating full-scale digester</w:t>
      </w:r>
      <w:r w:rsidR="009301F1" w:rsidRPr="00774395">
        <w:t>, compared to AD</w:t>
      </w:r>
      <w:r w:rsidR="001C576E" w:rsidRPr="00774395">
        <w:t xml:space="preserve"> </w:t>
      </w:r>
      <w:r w:rsidR="001C5C54" w:rsidRPr="00774395">
        <w:t xml:space="preserve">without BC </w:t>
      </w:r>
      <w:r w:rsidR="001C576E" w:rsidRPr="00774395">
        <w:t xml:space="preserve">as baseline, similarly to another </w:t>
      </w:r>
      <w:r w:rsidR="000D7D3E" w:rsidRPr="00774395">
        <w:t xml:space="preserve">recent </w:t>
      </w:r>
      <w:r w:rsidR="00152C4F" w:rsidRPr="00774395">
        <w:t xml:space="preserve">techno-economic analysis </w:t>
      </w:r>
      <w:r w:rsidR="00152C4F" w:rsidRPr="00774395">
        <w:fldChar w:fldCharType="begin" w:fldLock="1"/>
      </w:r>
      <w:r w:rsidR="00520099">
        <w:instrText>ADDIN CSL_CITATION {"citationItems":[{"id":"ITEM-1","itemData":{"author":[{"dropping-particle":"","family":"Flores","given":"Cecilia B Frias","non-dropping-particle":"","parse-names":false,"suffix":""},{"dropping-particle":"","family":"Trabold","given":"Thomas A","non-dropping-particle":"","parse-names":false,"suffix":""}],"container-title":"8th International Conference on Sustainable Solid Waste Management, 23-26 June 2021, Thessaloniki, Greece","id":"ITEM-1","issued":{"date-parts":[["2021"]]},"title":"Food waste , manure and digestate derived biochar to enhance biomethane potential in mesophilic anaerobic digestion of food waste","type":"paper-conference"},"uris":["http://www.mendeley.com/documents/?uuid=8b66bd39-a79c-4556-96ff-d3cdc3f6d7e7"]}],"mendeley":{"formattedCitation":"[50]","plainTextFormattedCitation":"[50]","previouslyFormattedCitation":"[50]"},"properties":{"noteIndex":0},"schema":"https://github.com/citation-style-language/schema/raw/master/csl-citation.json"}</w:instrText>
      </w:r>
      <w:r w:rsidR="00152C4F" w:rsidRPr="00774395">
        <w:fldChar w:fldCharType="separate"/>
      </w:r>
      <w:r w:rsidR="00830B48" w:rsidRPr="00830B48">
        <w:rPr>
          <w:noProof/>
        </w:rPr>
        <w:t>[50]</w:t>
      </w:r>
      <w:r w:rsidR="00152C4F" w:rsidRPr="00774395">
        <w:fldChar w:fldCharType="end"/>
      </w:r>
      <w:r w:rsidR="000D7D3E" w:rsidRPr="00774395">
        <w:t xml:space="preserve"> related to the addition of various BCs to the AD of food waste</w:t>
      </w:r>
      <w:r w:rsidR="00152C4F" w:rsidRPr="00774395">
        <w:t xml:space="preserve">. </w:t>
      </w:r>
      <w:r w:rsidR="001C5C54" w:rsidRPr="00774395">
        <w:rPr>
          <w:rFonts w:eastAsiaTheme="minorEastAsia"/>
        </w:rPr>
        <w:t>Therefore, capital costs and operation and maintenance costs of the digester were not considered</w:t>
      </w:r>
      <w:r w:rsidR="000D7D3E" w:rsidRPr="00774395">
        <w:rPr>
          <w:rFonts w:eastAsiaTheme="minorEastAsia"/>
        </w:rPr>
        <w:t>,</w:t>
      </w:r>
      <w:r w:rsidR="009301F1" w:rsidRPr="00774395">
        <w:rPr>
          <w:rFonts w:eastAsiaTheme="minorEastAsia"/>
        </w:rPr>
        <w:t xml:space="preserve"> as in </w:t>
      </w:r>
      <w:r w:rsidR="000D7D3E" w:rsidRPr="00774395">
        <w:rPr>
          <w:rFonts w:eastAsiaTheme="minorEastAsia"/>
        </w:rPr>
        <w:t xml:space="preserve">the mentioned study </w:t>
      </w:r>
      <w:r w:rsidR="00835FD6" w:rsidRPr="00774395">
        <w:rPr>
          <w:rFonts w:eastAsiaTheme="minorEastAsia"/>
        </w:rPr>
        <w:fldChar w:fldCharType="begin" w:fldLock="1"/>
      </w:r>
      <w:r w:rsidR="00520099">
        <w:rPr>
          <w:rFonts w:eastAsiaTheme="minorEastAsia"/>
        </w:rPr>
        <w:instrText>ADDIN CSL_CITATION {"citationItems":[{"id":"ITEM-1","itemData":{"author":[{"dropping-particle":"","family":"Flores","given":"Cecilia B Frias","non-dropping-particle":"","parse-names":false,"suffix":""},{"dropping-particle":"","family":"Trabold","given":"Thomas A","non-dropping-particle":"","parse-names":false,"suffix":""}],"container-title":"8th International Conference on Sustainable Solid Waste Management, 23-26 June 2021, Thessaloniki, Greece","id":"ITEM-1","issued":{"date-parts":[["2021"]]},"title":"Food waste , manure and digestate derived biochar to enhance biomethane potential in mesophilic anaerobic digestion of food waste","type":"paper-conference"},"uris":["http://www.mendeley.com/documents/?uuid=8b66bd39-a79c-4556-96ff-d3cdc3f6d7e7"]}],"mendeley":{"formattedCitation":"[50]","plainTextFormattedCitation":"[50]","previouslyFormattedCitation":"[50]"},"properties":{"noteIndex":0},"schema":"https://github.com/citation-style-language/schema/raw/master/csl-citation.json"}</w:instrText>
      </w:r>
      <w:r w:rsidR="00835FD6" w:rsidRPr="00774395">
        <w:rPr>
          <w:rFonts w:eastAsiaTheme="minorEastAsia"/>
        </w:rPr>
        <w:fldChar w:fldCharType="separate"/>
      </w:r>
      <w:r w:rsidR="00830B48" w:rsidRPr="00830B48">
        <w:rPr>
          <w:rFonts w:eastAsiaTheme="minorEastAsia"/>
          <w:noProof/>
        </w:rPr>
        <w:t>[50]</w:t>
      </w:r>
      <w:r w:rsidR="00835FD6" w:rsidRPr="00774395">
        <w:rPr>
          <w:rFonts w:eastAsiaTheme="minorEastAsia"/>
        </w:rPr>
        <w:fldChar w:fldCharType="end"/>
      </w:r>
      <w:r w:rsidR="001C5C54" w:rsidRPr="00774395">
        <w:rPr>
          <w:rFonts w:eastAsiaTheme="minorEastAsia"/>
        </w:rPr>
        <w:t>.</w:t>
      </w:r>
    </w:p>
    <w:p w14:paraId="63AF3E6F" w14:textId="3131D8EF" w:rsidR="00FD426F" w:rsidRPr="00774395" w:rsidRDefault="00C54EC0" w:rsidP="00265A4E">
      <w:pPr>
        <w:jc w:val="both"/>
      </w:pPr>
      <w:r w:rsidRPr="00774395">
        <w:t>T</w:t>
      </w:r>
      <w:r w:rsidR="00A00406" w:rsidRPr="00774395">
        <w:t xml:space="preserve">he </w:t>
      </w:r>
      <w:r w:rsidR="00B9159A" w:rsidRPr="00774395">
        <w:t>economic analysis estimate</w:t>
      </w:r>
      <w:r w:rsidRPr="00774395">
        <w:t>d</w:t>
      </w:r>
      <w:r w:rsidR="00B9159A" w:rsidRPr="00774395">
        <w:t xml:space="preserve"> </w:t>
      </w:r>
      <w:r w:rsidR="00A00406" w:rsidRPr="00774395">
        <w:t>the maximum sustainable unit cost of BC</w:t>
      </w:r>
      <w:r w:rsidR="008700CE" w:rsidRPr="00774395">
        <w:t xml:space="preserve"> (C</w:t>
      </w:r>
      <w:r w:rsidR="008700CE" w:rsidRPr="00774395">
        <w:rPr>
          <w:vertAlign w:val="subscript"/>
        </w:rPr>
        <w:t>BC,max</w:t>
      </w:r>
      <w:r w:rsidR="008700CE" w:rsidRPr="00774395">
        <w:t>)</w:t>
      </w:r>
      <w:r w:rsidR="00B9159A" w:rsidRPr="00774395">
        <w:t xml:space="preserve"> </w:t>
      </w:r>
      <w:r w:rsidR="00104BC0" w:rsidRPr="00774395">
        <w:fldChar w:fldCharType="begin" w:fldLock="1"/>
      </w:r>
      <w:r w:rsidR="00520099">
        <w:instrText>ADDIN CSL_CITATION {"citationItems":[{"id":"ITEM-1","itemData":{"DOI":"10.1016/j.biortech.2021.125664","ISSN":"0960-8524","abstract":"This work analysed the effects of Biochar (BC) addition to the Anaerobic digestion (AD) of wastewater Mixed sludge (MS) in semi-continuous mode. A 3 L digester was operated at 37 °C for 100 days, feeding MS collected every three weeks in the same wastewater treatment plant, and 10 g L−1 of BC. The average performance of MS digestion (biogas 188 NmL d−1, 68% methane) improved in presence of BC (biogas 244 NmL d−1, 69% methane). According to the results of the multiple linear regression analysis performed on the experimental data, the 79% variation of the soluble COD in the MS was the driving factor for the 38% increase of biogas and methane yields. In conclusion, in the considered experimental conditions, the variability of the substrate's composition was the key factor driving the performances of the AD of MS, independently of the addition of BC.","author":[{"dropping-particle":"","family":"Chiappero","given":"Marco","non-dropping-particle":"","parse-names":false,"suffix":""},{"dropping-particle":"","family":"Berruti","given":"Franco","non-dropping-particle":"","parse-names":false,"suffix":""},{"dropping-particle":"","family":"Mašek","given":"Ondřej","non-dropping-particle":"","parse-names":false,"suffix":""},{"dropping-particle":"","family":"Fiore","given":"Silvia","non-dropping-particle":"","parse-names":false,"suffix":""}],"container-title":"Bioresource Technology","id":"ITEM-1","issued":{"date-parts":[["2021","11","1"]]},"page":"125664","publisher":"Elsevier","title":"Semi-continuous anaerobic digestion of mixed wastewater sludge with biochar addition","type":"article-journal","volume":"340"},"uris":["http://www.mendeley.com/documents/?uuid=64ecf3bb-7c2b-35da-b13a-66f3bec828d3"]}],"mendeley":{"formattedCitation":"[41]","plainTextFormattedCitation":"[41]","previouslyFormattedCitation":"[41]"},"properties":{"noteIndex":0},"schema":"https://github.com/citation-style-language/schema/raw/master/csl-citation.json"}</w:instrText>
      </w:r>
      <w:r w:rsidR="00104BC0" w:rsidRPr="00774395">
        <w:fldChar w:fldCharType="separate"/>
      </w:r>
      <w:r w:rsidR="00830B48" w:rsidRPr="00830B48">
        <w:rPr>
          <w:noProof/>
        </w:rPr>
        <w:t>[41]</w:t>
      </w:r>
      <w:r w:rsidR="00104BC0" w:rsidRPr="00774395">
        <w:fldChar w:fldCharType="end"/>
      </w:r>
      <w:r w:rsidR="00A00406" w:rsidRPr="00774395">
        <w:t xml:space="preserve">, </w:t>
      </w:r>
      <w:r w:rsidR="00B9159A" w:rsidRPr="00774395">
        <w:t>which</w:t>
      </w:r>
      <w:r w:rsidR="00A00406" w:rsidRPr="00774395">
        <w:t xml:space="preserve"> equals </w:t>
      </w:r>
      <w:r w:rsidR="00104BC0" w:rsidRPr="00774395">
        <w:t xml:space="preserve">the </w:t>
      </w:r>
      <w:r w:rsidR="00A00406" w:rsidRPr="00774395">
        <w:t xml:space="preserve">higher </w:t>
      </w:r>
      <w:r w:rsidRPr="00774395">
        <w:t xml:space="preserve">(compared to AD without BC) </w:t>
      </w:r>
      <w:r w:rsidR="00A00406" w:rsidRPr="00774395">
        <w:t>revenues</w:t>
      </w:r>
      <w:r w:rsidR="00104BC0" w:rsidRPr="00774395">
        <w:t xml:space="preserve"> from the enhanced AD</w:t>
      </w:r>
      <w:r w:rsidR="001C5C54" w:rsidRPr="00774395">
        <w:t>. The</w:t>
      </w:r>
      <w:r w:rsidR="00A54614" w:rsidRPr="00774395">
        <w:t xml:space="preserve"> C</w:t>
      </w:r>
      <w:r w:rsidR="00A54614" w:rsidRPr="00774395">
        <w:rPr>
          <w:vertAlign w:val="subscript"/>
        </w:rPr>
        <w:t>BC,max</w:t>
      </w:r>
      <w:r w:rsidR="00866C91" w:rsidRPr="00774395">
        <w:rPr>
          <w:vertAlign w:val="subscript"/>
        </w:rPr>
        <w:t xml:space="preserve"> </w:t>
      </w:r>
      <w:r w:rsidR="00A54614" w:rsidRPr="00774395">
        <w:t>was compared with the current</w:t>
      </w:r>
      <w:r w:rsidR="000D7D3E" w:rsidRPr="00774395">
        <w:t xml:space="preserve"> </w:t>
      </w:r>
      <w:r w:rsidR="00B9159A" w:rsidRPr="00774395">
        <w:t xml:space="preserve">BC market price. </w:t>
      </w:r>
      <w:r w:rsidR="005475BA" w:rsidRPr="00774395">
        <w:t xml:space="preserve">The revenues </w:t>
      </w:r>
      <w:r w:rsidR="009476B1" w:rsidRPr="00774395">
        <w:t xml:space="preserve">consisted of the extra thermal energy and electricity from the combustion </w:t>
      </w:r>
      <w:r w:rsidR="005264CD" w:rsidRPr="00774395">
        <w:t xml:space="preserve">of biogas </w:t>
      </w:r>
      <w:r w:rsidR="009476B1" w:rsidRPr="00774395">
        <w:t xml:space="preserve">in a combined heat and power (CHP) unit </w:t>
      </w:r>
      <w:r w:rsidR="005264CD" w:rsidRPr="00774395">
        <w:t>due to the</w:t>
      </w:r>
      <w:r w:rsidR="009476B1" w:rsidRPr="00774395">
        <w:t xml:space="preserve"> enhanced </w:t>
      </w:r>
      <w:r w:rsidR="00D5192B" w:rsidRPr="00774395">
        <w:t>CH</w:t>
      </w:r>
      <w:r w:rsidR="00D5192B" w:rsidRPr="00774395">
        <w:rPr>
          <w:vertAlign w:val="subscript"/>
        </w:rPr>
        <w:t>4</w:t>
      </w:r>
      <w:r w:rsidR="009476B1" w:rsidRPr="00774395">
        <w:t xml:space="preserve"> production respect to </w:t>
      </w:r>
      <w:r w:rsidR="00C301B3" w:rsidRPr="00774395">
        <w:t>the baseline scenario</w:t>
      </w:r>
      <w:r w:rsidR="009476B1" w:rsidRPr="00774395">
        <w:t xml:space="preserve"> without BC supplementation</w:t>
      </w:r>
      <w:bookmarkEnd w:id="4"/>
      <w:r w:rsidR="009476B1" w:rsidRPr="00774395">
        <w:t xml:space="preserve">. </w:t>
      </w:r>
      <w:r w:rsidR="00443B3A" w:rsidRPr="00774395">
        <w:t>T</w:t>
      </w:r>
      <w:r w:rsidR="00B56A55" w:rsidRPr="00774395">
        <w:t>he revenues from thermal (R</w:t>
      </w:r>
      <w:r w:rsidR="00B56A55" w:rsidRPr="00774395">
        <w:rPr>
          <w:vertAlign w:val="subscript"/>
        </w:rPr>
        <w:t>TH</w:t>
      </w:r>
      <w:r w:rsidR="00B56A55" w:rsidRPr="00774395">
        <w:t>) and electrical (R</w:t>
      </w:r>
      <w:r w:rsidR="00B56A55" w:rsidRPr="00774395">
        <w:rPr>
          <w:vertAlign w:val="subscript"/>
        </w:rPr>
        <w:t>EL</w:t>
      </w:r>
      <w:r w:rsidR="00B56A55" w:rsidRPr="00774395">
        <w:t xml:space="preserve">) energy were derived </w:t>
      </w:r>
      <w:r w:rsidR="00443B3A" w:rsidRPr="00774395">
        <w:t>as in eq. 5</w:t>
      </w:r>
      <w:r w:rsidR="00B56A55" w:rsidRPr="00774395">
        <w:t xml:space="preserve">: </w:t>
      </w:r>
    </w:p>
    <w:p w14:paraId="15AD1DB5" w14:textId="38ECFA0B" w:rsidR="00B56A55" w:rsidRPr="00774395" w:rsidRDefault="00000000" w:rsidP="00265A4E">
      <w:pPr>
        <w:jc w:val="both"/>
        <w:rPr>
          <w:rFonts w:eastAsiaTheme="minorEastAsia"/>
        </w:rPr>
      </w:pPr>
      <m:oMath>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i</m:t>
            </m:r>
          </m:sub>
        </m:sSub>
        <m:r>
          <w:rPr>
            <w:rFonts w:ascii="Cambria Math" w:hAnsi="Cambria Math" w:cs="Times New Roman"/>
          </w:rPr>
          <m:t>= Δ</m:t>
        </m:r>
        <m:sSub>
          <m:sSubPr>
            <m:ctrlPr>
              <w:rPr>
                <w:rFonts w:ascii="Cambria Math" w:hAnsi="Cambria Math" w:cs="Times New Roman"/>
                <w:i/>
              </w:rPr>
            </m:ctrlPr>
          </m:sSubPr>
          <m:e>
            <m:r>
              <w:rPr>
                <w:rFonts w:ascii="Cambria Math" w:hAnsi="Cambria Math" w:cs="Times New Roman"/>
              </w:rPr>
              <m:t>CH</m:t>
            </m:r>
          </m:e>
          <m:sub>
            <m:r>
              <w:rPr>
                <w:rFonts w:ascii="Cambria Math" w:hAnsi="Cambria Math" w:cs="Times New Roman"/>
              </w:rPr>
              <m:t>4</m:t>
            </m:r>
          </m:sub>
        </m:sSub>
        <m:r>
          <w:rPr>
            <w:rFonts w:ascii="Cambria Math" w:hAnsi="Cambria Math" w:cs="Times New Roman"/>
          </w:rPr>
          <m:t xml:space="preserve"> ∙VS ∙ </m:t>
        </m:r>
        <m:sSub>
          <m:sSubPr>
            <m:ctrlPr>
              <w:rPr>
                <w:rFonts w:ascii="Cambria Math" w:hAnsi="Cambria Math" w:cs="Times New Roman"/>
                <w:i/>
              </w:rPr>
            </m:ctrlPr>
          </m:sSubPr>
          <m:e>
            <m:r>
              <w:rPr>
                <w:rFonts w:ascii="Cambria Math" w:hAnsi="Cambria Math" w:cs="Times New Roman"/>
              </w:rPr>
              <m:t>LHV</m:t>
            </m:r>
          </m:e>
          <m:sub>
            <m:r>
              <w:rPr>
                <w:rFonts w:ascii="Cambria Math" w:hAnsi="Cambria Math" w:cs="Times New Roman"/>
              </w:rPr>
              <m:t>CH4</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η</m:t>
            </m:r>
          </m:e>
          <m:sub>
            <m:r>
              <w:rPr>
                <w:rFonts w:ascii="Cambria Math" w:hAnsi="Cambria Math" w:cs="Times New Roman"/>
              </w:rPr>
              <m:t>CHP,i</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EN,i</m:t>
            </m:r>
          </m:sub>
        </m:sSub>
      </m:oMath>
      <w:r w:rsidR="00B56A55" w:rsidRPr="00774395">
        <w:rPr>
          <w:rFonts w:eastAsiaTheme="minorEastAsia"/>
        </w:rPr>
        <w:tab/>
      </w:r>
      <w:r w:rsidR="00B56A55" w:rsidRPr="00774395">
        <w:rPr>
          <w:rFonts w:eastAsiaTheme="minorEastAsia"/>
        </w:rPr>
        <w:tab/>
      </w:r>
      <w:r w:rsidR="00B56A55" w:rsidRPr="00774395">
        <w:rPr>
          <w:rFonts w:eastAsiaTheme="minorEastAsia"/>
        </w:rPr>
        <w:tab/>
      </w:r>
      <w:r w:rsidR="00B56A55" w:rsidRPr="00774395">
        <w:rPr>
          <w:rFonts w:eastAsiaTheme="minorEastAsia"/>
        </w:rPr>
        <w:tab/>
      </w:r>
      <w:r w:rsidR="00B56A55" w:rsidRPr="00774395">
        <w:rPr>
          <w:rFonts w:eastAsiaTheme="minorEastAsia"/>
        </w:rPr>
        <w:tab/>
      </w:r>
      <w:r w:rsidR="00B56A55" w:rsidRPr="00774395">
        <w:rPr>
          <w:rFonts w:eastAsiaTheme="minorEastAsia"/>
        </w:rPr>
        <w:tab/>
      </w:r>
      <w:r w:rsidR="00B56A55" w:rsidRPr="00774395">
        <w:rPr>
          <w:rFonts w:eastAsiaTheme="minorEastAsia"/>
        </w:rPr>
        <w:tab/>
      </w:r>
      <w:r w:rsidR="00B56A55" w:rsidRPr="00774395">
        <w:rPr>
          <w:rFonts w:eastAsiaTheme="minorEastAsia"/>
        </w:rPr>
        <w:tab/>
        <w:t>(5)</w:t>
      </w:r>
    </w:p>
    <w:p w14:paraId="00DBE779" w14:textId="772A4110" w:rsidR="00B56A55" w:rsidRPr="00774395" w:rsidRDefault="00504AC9" w:rsidP="00265A4E">
      <w:pPr>
        <w:jc w:val="both"/>
        <w:rPr>
          <w:rFonts w:eastAsiaTheme="minorEastAsia"/>
        </w:rPr>
      </w:pPr>
      <w:r w:rsidRPr="00774395">
        <w:t>w</w:t>
      </w:r>
      <w:r w:rsidR="008F3136" w:rsidRPr="00774395">
        <w:t xml:space="preserve">here </w:t>
      </w:r>
      <m:oMath>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CH</m:t>
            </m:r>
          </m:e>
          <m:sub>
            <m:r>
              <w:rPr>
                <w:rFonts w:ascii="Cambria Math" w:hAnsi="Cambria Math" w:cs="Times New Roman"/>
              </w:rPr>
              <m:t>4</m:t>
            </m:r>
          </m:sub>
        </m:sSub>
      </m:oMath>
      <w:r w:rsidR="008F3136" w:rsidRPr="00774395">
        <w:rPr>
          <w:rFonts w:eastAsiaTheme="minorEastAsia"/>
        </w:rPr>
        <w:t xml:space="preserve"> is the difference between CH</w:t>
      </w:r>
      <w:r w:rsidR="008F3136" w:rsidRPr="00774395">
        <w:rPr>
          <w:rFonts w:eastAsiaTheme="minorEastAsia"/>
          <w:vertAlign w:val="subscript"/>
        </w:rPr>
        <w:t>4</w:t>
      </w:r>
      <w:r w:rsidR="008F3136" w:rsidRPr="00774395">
        <w:rPr>
          <w:rFonts w:eastAsiaTheme="minorEastAsia"/>
        </w:rPr>
        <w:t xml:space="preserve"> production rates (m</w:t>
      </w:r>
      <w:r w:rsidR="008F3136" w:rsidRPr="00774395">
        <w:rPr>
          <w:rFonts w:eastAsiaTheme="minorEastAsia"/>
          <w:vertAlign w:val="superscript"/>
        </w:rPr>
        <w:t>3</w:t>
      </w:r>
      <w:r w:rsidR="008F3136" w:rsidRPr="00774395">
        <w:rPr>
          <w:rFonts w:eastAsiaTheme="minorEastAsia"/>
        </w:rPr>
        <w:t xml:space="preserve"> kg</w:t>
      </w:r>
      <w:r w:rsidR="008F3136" w:rsidRPr="00774395">
        <w:rPr>
          <w:rFonts w:eastAsiaTheme="minorEastAsia"/>
          <w:vertAlign w:val="subscript"/>
        </w:rPr>
        <w:t>VS</w:t>
      </w:r>
      <w:r w:rsidR="008F3136" w:rsidRPr="00774395">
        <w:rPr>
          <w:rFonts w:eastAsiaTheme="minorEastAsia"/>
          <w:vertAlign w:val="superscript"/>
        </w:rPr>
        <w:t>-1</w:t>
      </w:r>
      <w:r w:rsidR="008F3136" w:rsidRPr="00774395">
        <w:rPr>
          <w:rFonts w:eastAsiaTheme="minorEastAsia"/>
        </w:rPr>
        <w:t xml:space="preserve">) of BC and CTRL conditions of each study, and </w:t>
      </w:r>
      <w:r w:rsidR="008F3136" w:rsidRPr="00774395">
        <w:rPr>
          <w:rFonts w:eastAsiaTheme="minorEastAsia"/>
          <w:i/>
          <w:iCs/>
        </w:rPr>
        <w:t>VS</w:t>
      </w:r>
      <w:r w:rsidR="008F3136" w:rsidRPr="00774395">
        <w:rPr>
          <w:rFonts w:eastAsiaTheme="minorEastAsia"/>
        </w:rPr>
        <w:t xml:space="preserve"> (kg</w:t>
      </w:r>
      <w:r w:rsidR="008F3136" w:rsidRPr="00774395">
        <w:rPr>
          <w:rFonts w:eastAsiaTheme="minorEastAsia"/>
          <w:vertAlign w:val="subscript"/>
        </w:rPr>
        <w:t>VS</w:t>
      </w:r>
      <w:r w:rsidR="008F3136" w:rsidRPr="00774395">
        <w:rPr>
          <w:rFonts w:eastAsiaTheme="minorEastAsia"/>
        </w:rPr>
        <w:t xml:space="preserve"> m</w:t>
      </w:r>
      <w:r w:rsidR="008F3136" w:rsidRPr="00774395">
        <w:rPr>
          <w:rFonts w:eastAsiaTheme="minorEastAsia"/>
          <w:vertAlign w:val="superscript"/>
        </w:rPr>
        <w:t>-3</w:t>
      </w:r>
      <w:r w:rsidR="008F3136" w:rsidRPr="00774395">
        <w:rPr>
          <w:rFonts w:eastAsiaTheme="minorEastAsia"/>
        </w:rPr>
        <w:t>) is the concentration of VS of the substrate fed to digester of each study (</w:t>
      </w:r>
      <w:r w:rsidR="00422350" w:rsidRPr="00774395">
        <w:t xml:space="preserve">Table </w:t>
      </w:r>
      <w:r w:rsidR="007379E0" w:rsidRPr="00774395">
        <w:t>B</w:t>
      </w:r>
      <w:r w:rsidR="00E42FEA" w:rsidRPr="00774395">
        <w:t>3</w:t>
      </w:r>
      <w:r w:rsidR="007379E0" w:rsidRPr="00774395">
        <w:t>, Appendix B</w:t>
      </w:r>
      <w:r w:rsidR="008F3136" w:rsidRPr="00774395">
        <w:rPr>
          <w:rFonts w:eastAsiaTheme="minorEastAsia"/>
        </w:rPr>
        <w:t xml:space="preserve">); </w:t>
      </w:r>
      <w:r w:rsidR="008F3136" w:rsidRPr="00774395">
        <w:rPr>
          <w:rFonts w:eastAsiaTheme="minorEastAsia"/>
          <w:i/>
          <w:iCs/>
        </w:rPr>
        <w:t>LHV</w:t>
      </w:r>
      <w:r w:rsidR="008F3136" w:rsidRPr="00774395">
        <w:rPr>
          <w:rFonts w:eastAsiaTheme="minorEastAsia"/>
          <w:i/>
          <w:iCs/>
          <w:vertAlign w:val="subscript"/>
        </w:rPr>
        <w:t>CH4</w:t>
      </w:r>
      <w:r w:rsidR="008F3136" w:rsidRPr="00774395">
        <w:rPr>
          <w:rFonts w:eastAsiaTheme="minorEastAsia"/>
        </w:rPr>
        <w:t xml:space="preserve"> is the lower heating value of </w:t>
      </w:r>
      <w:r w:rsidR="00BA362C" w:rsidRPr="00774395">
        <w:t>CH</w:t>
      </w:r>
      <w:r w:rsidR="00BA362C" w:rsidRPr="00774395">
        <w:rPr>
          <w:vertAlign w:val="subscript"/>
        </w:rPr>
        <w:t>4</w:t>
      </w:r>
      <w:r w:rsidR="008F3136" w:rsidRPr="00774395">
        <w:rPr>
          <w:rFonts w:eastAsiaTheme="minorEastAsia"/>
        </w:rPr>
        <w:t xml:space="preserve">, </w:t>
      </w:r>
      <m:oMath>
        <m:sSub>
          <m:sSubPr>
            <m:ctrlPr>
              <w:rPr>
                <w:rFonts w:ascii="Cambria Math" w:hAnsi="Cambria Math" w:cs="Times New Roman"/>
                <w:i/>
              </w:rPr>
            </m:ctrlPr>
          </m:sSubPr>
          <m:e>
            <m:r>
              <w:rPr>
                <w:rFonts w:ascii="Cambria Math" w:hAnsi="Cambria Math" w:cs="Times New Roman"/>
              </w:rPr>
              <m:t>η</m:t>
            </m:r>
          </m:e>
          <m:sub>
            <m:r>
              <w:rPr>
                <w:rFonts w:ascii="Cambria Math" w:hAnsi="Cambria Math" w:cs="Times New Roman"/>
              </w:rPr>
              <m:t>CHP,i</m:t>
            </m:r>
          </m:sub>
        </m:sSub>
      </m:oMath>
      <w:r w:rsidR="008836D1" w:rsidRPr="00774395">
        <w:rPr>
          <w:rFonts w:eastAsiaTheme="minorEastAsia"/>
        </w:rPr>
        <w:t xml:space="preserve"> is the thermal or electrical energy efficiency of CHP unit, </w:t>
      </w:r>
      <w:r w:rsidR="008836D1" w:rsidRPr="00774395">
        <w:rPr>
          <w:rFonts w:eastAsiaTheme="minorEastAsia"/>
          <w:i/>
          <w:iCs/>
        </w:rPr>
        <w:t>C</w:t>
      </w:r>
      <w:r w:rsidR="008836D1" w:rsidRPr="00774395">
        <w:rPr>
          <w:rFonts w:eastAsiaTheme="minorEastAsia"/>
          <w:i/>
          <w:iCs/>
          <w:vertAlign w:val="subscript"/>
        </w:rPr>
        <w:t>EN,i</w:t>
      </w:r>
      <w:r w:rsidR="008836D1" w:rsidRPr="00774395">
        <w:rPr>
          <w:rFonts w:eastAsiaTheme="minorEastAsia"/>
          <w:vertAlign w:val="subscript"/>
        </w:rPr>
        <w:t xml:space="preserve"> </w:t>
      </w:r>
      <w:r w:rsidR="008836D1" w:rsidRPr="00774395">
        <w:rPr>
          <w:rFonts w:eastAsiaTheme="minorEastAsia"/>
        </w:rPr>
        <w:t>is the average EU-27 thermal or electrical energy price for non-household consumers (</w:t>
      </w:r>
      <w:r w:rsidR="00422350" w:rsidRPr="00774395">
        <w:t xml:space="preserve">Table </w:t>
      </w:r>
      <w:r w:rsidR="00443B3A" w:rsidRPr="00774395">
        <w:t>B4, Appendix B</w:t>
      </w:r>
      <w:r w:rsidR="008836D1" w:rsidRPr="00774395">
        <w:rPr>
          <w:rFonts w:eastAsiaTheme="minorEastAsia"/>
        </w:rPr>
        <w:t xml:space="preserve">). </w:t>
      </w:r>
      <w:r w:rsidR="00835FD6" w:rsidRPr="00774395">
        <w:rPr>
          <w:rFonts w:eastAsiaTheme="minorEastAsia"/>
        </w:rPr>
        <w:t xml:space="preserve">The </w:t>
      </w:r>
      <w:r w:rsidR="00344CAF" w:rsidRPr="00774395">
        <w:rPr>
          <w:rFonts w:eastAsiaTheme="minorEastAsia"/>
        </w:rPr>
        <w:t xml:space="preserve">operational </w:t>
      </w:r>
      <w:r w:rsidR="00835FD6" w:rsidRPr="00774395">
        <w:rPr>
          <w:rFonts w:eastAsiaTheme="minorEastAsia"/>
        </w:rPr>
        <w:t xml:space="preserve">cost of BC supply depends on the dose and unit cost of BC. </w:t>
      </w:r>
      <w:r w:rsidR="0019057D" w:rsidRPr="00774395">
        <w:rPr>
          <w:rFonts w:eastAsiaTheme="minorEastAsia"/>
        </w:rPr>
        <w:t xml:space="preserve">Other </w:t>
      </w:r>
      <w:r w:rsidR="00344CAF" w:rsidRPr="00774395">
        <w:rPr>
          <w:rFonts w:eastAsiaTheme="minorEastAsia"/>
        </w:rPr>
        <w:t xml:space="preserve">capital </w:t>
      </w:r>
      <w:r w:rsidR="0019057D" w:rsidRPr="00774395">
        <w:rPr>
          <w:rFonts w:eastAsiaTheme="minorEastAsia"/>
        </w:rPr>
        <w:t>cost</w:t>
      </w:r>
      <w:r w:rsidR="00344CAF" w:rsidRPr="00774395">
        <w:rPr>
          <w:rFonts w:eastAsiaTheme="minorEastAsia"/>
        </w:rPr>
        <w:t xml:space="preserve">s </w:t>
      </w:r>
      <w:r w:rsidR="000D7D3E" w:rsidRPr="00774395">
        <w:rPr>
          <w:rFonts w:eastAsiaTheme="minorEastAsia"/>
        </w:rPr>
        <w:t xml:space="preserve">related to </w:t>
      </w:r>
      <w:r w:rsidR="00344CAF" w:rsidRPr="00774395">
        <w:rPr>
          <w:rFonts w:eastAsiaTheme="minorEastAsia"/>
        </w:rPr>
        <w:t>the equipment for BC storage</w:t>
      </w:r>
      <w:r w:rsidR="007415ED" w:rsidRPr="00774395">
        <w:rPr>
          <w:rFonts w:eastAsiaTheme="minorEastAsia"/>
        </w:rPr>
        <w:t>, handling,</w:t>
      </w:r>
      <w:r w:rsidR="00344CAF" w:rsidRPr="00774395">
        <w:rPr>
          <w:rFonts w:eastAsiaTheme="minorEastAsia"/>
        </w:rPr>
        <w:t xml:space="preserve"> and dosing in the AD substrate can be</w:t>
      </w:r>
      <w:r w:rsidR="0019057D" w:rsidRPr="00774395">
        <w:rPr>
          <w:rFonts w:eastAsiaTheme="minorEastAsia"/>
        </w:rPr>
        <w:t xml:space="preserve"> </w:t>
      </w:r>
      <w:r w:rsidR="00344CAF" w:rsidRPr="00774395">
        <w:rPr>
          <w:rFonts w:eastAsiaTheme="minorEastAsia"/>
        </w:rPr>
        <w:t xml:space="preserve">reasonably </w:t>
      </w:r>
      <w:r w:rsidR="0019057D" w:rsidRPr="00774395">
        <w:rPr>
          <w:rFonts w:eastAsiaTheme="minorEastAsia"/>
        </w:rPr>
        <w:t>neglected</w:t>
      </w:r>
      <w:r w:rsidR="00344CAF" w:rsidRPr="00774395">
        <w:rPr>
          <w:rFonts w:eastAsiaTheme="minorEastAsia"/>
        </w:rPr>
        <w:t xml:space="preserve"> </w:t>
      </w:r>
      <w:r w:rsidR="00344CAF" w:rsidRPr="00774395">
        <w:rPr>
          <w:rFonts w:eastAsiaTheme="minorEastAsia"/>
        </w:rPr>
        <w:fldChar w:fldCharType="begin" w:fldLock="1"/>
      </w:r>
      <w:r w:rsidR="00520099">
        <w:rPr>
          <w:rFonts w:eastAsiaTheme="minorEastAsia"/>
        </w:rPr>
        <w:instrText>ADDIN CSL_CITATION {"citationItems":[{"id":"ITEM-1","itemData":{"author":[{"dropping-particle":"","family":"Flores","given":"Cecilia B Frias","non-dropping-particle":"","parse-names":false,"suffix":""},{"dropping-particle":"","family":"Trabold","given":"Thomas A","non-dropping-particle":"","parse-names":false,"suffix":""}],"container-title":"8th International Conference on Sustainable Solid Waste Management, 23-26 June 2021, Thessaloniki, Greece","id":"ITEM-1","issued":{"date-parts":[["2021"]]},"title":"Food waste , manure and digestate derived biochar to enhance biomethane potential in mesophilic anaerobic digestion of food waste","type":"paper-conference"},"uris":["http://www.mendeley.com/documents/?uuid=8b66bd39-a79c-4556-96ff-d3cdc3f6d7e7"]}],"mendeley":{"formattedCitation":"[50]","plainTextFormattedCitation":"[50]","previouslyFormattedCitation":"[50]"},"properties":{"noteIndex":0},"schema":"https://github.com/citation-style-language/schema/raw/master/csl-citation.json"}</w:instrText>
      </w:r>
      <w:r w:rsidR="00344CAF" w:rsidRPr="00774395">
        <w:rPr>
          <w:rFonts w:eastAsiaTheme="minorEastAsia"/>
        </w:rPr>
        <w:fldChar w:fldCharType="separate"/>
      </w:r>
      <w:r w:rsidR="00830B48" w:rsidRPr="00830B48">
        <w:rPr>
          <w:rFonts w:eastAsiaTheme="minorEastAsia"/>
          <w:noProof/>
        </w:rPr>
        <w:t>[50]</w:t>
      </w:r>
      <w:r w:rsidR="00344CAF" w:rsidRPr="00774395">
        <w:rPr>
          <w:rFonts w:eastAsiaTheme="minorEastAsia"/>
        </w:rPr>
        <w:fldChar w:fldCharType="end"/>
      </w:r>
      <w:r w:rsidR="0019057D" w:rsidRPr="00774395">
        <w:rPr>
          <w:rFonts w:eastAsiaTheme="minorEastAsia"/>
        </w:rPr>
        <w:t xml:space="preserve">. </w:t>
      </w:r>
      <w:r w:rsidR="00835FD6" w:rsidRPr="00774395">
        <w:rPr>
          <w:rFonts w:eastAsiaTheme="minorEastAsia"/>
        </w:rPr>
        <w:t>Therefore, by equalling the revenues and the cost of BC supply for each experimental condition, t</w:t>
      </w:r>
      <w:r w:rsidR="00522B83" w:rsidRPr="00774395">
        <w:rPr>
          <w:rFonts w:eastAsiaTheme="minorEastAsia"/>
        </w:rPr>
        <w:t>he maximum BC unit cost</w:t>
      </w:r>
      <w:r w:rsidR="00AD6D0B" w:rsidRPr="00774395">
        <w:rPr>
          <w:rFonts w:eastAsiaTheme="minorEastAsia"/>
        </w:rPr>
        <w:t xml:space="preserve"> ($ ton</w:t>
      </w:r>
      <w:r w:rsidR="00AD6D0B" w:rsidRPr="00774395">
        <w:rPr>
          <w:rFonts w:eastAsiaTheme="minorEastAsia"/>
          <w:vertAlign w:val="subscript"/>
        </w:rPr>
        <w:t>BC</w:t>
      </w:r>
      <w:r w:rsidR="00AD6D0B" w:rsidRPr="00774395">
        <w:rPr>
          <w:rFonts w:eastAsiaTheme="minorEastAsia"/>
          <w:vertAlign w:val="superscript"/>
        </w:rPr>
        <w:t>-1</w:t>
      </w:r>
      <w:r w:rsidR="00AD6D0B" w:rsidRPr="00774395">
        <w:rPr>
          <w:rFonts w:eastAsiaTheme="minorEastAsia"/>
        </w:rPr>
        <w:t xml:space="preserve">) was estimated as </w:t>
      </w:r>
      <w:r w:rsidR="00443B3A" w:rsidRPr="00774395">
        <w:rPr>
          <w:rFonts w:eastAsiaTheme="minorEastAsia"/>
        </w:rPr>
        <w:t>in eq. 6</w:t>
      </w:r>
      <w:r w:rsidR="00AD6D0B" w:rsidRPr="00774395">
        <w:rPr>
          <w:rFonts w:eastAsiaTheme="minorEastAsia"/>
        </w:rPr>
        <w:t>:</w:t>
      </w:r>
    </w:p>
    <w:p w14:paraId="50BC3F27" w14:textId="7E915E9E" w:rsidR="00B71203" w:rsidRPr="00774395" w:rsidRDefault="00000000" w:rsidP="00265A4E">
      <w:pPr>
        <w:jc w:val="both"/>
        <w:rPr>
          <w:rFonts w:eastAsiaTheme="minorEastAsia"/>
        </w:rPr>
      </w:pP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BC,max</m:t>
            </m:r>
          </m:sub>
        </m:sSub>
        <m:r>
          <w:rPr>
            <w:rFonts w:ascii="Cambria Math" w:hAnsi="Cambria Math" w:cs="Times New Roman"/>
          </w:rPr>
          <m:t xml:space="preserve">= </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TH</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EL</m:t>
                </m:r>
              </m:sub>
            </m:sSub>
          </m:num>
          <m:den>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BC</m:t>
                </m:r>
              </m:sub>
            </m:sSub>
          </m:den>
        </m:f>
        <m:r>
          <w:rPr>
            <w:rFonts w:ascii="Cambria Math" w:hAnsi="Cambria Math" w:cs="Times New Roman"/>
          </w:rPr>
          <m:t xml:space="preserve"> ∙ER ∙1000 </m:t>
        </m:r>
      </m:oMath>
      <w:r w:rsidR="00B71203" w:rsidRPr="00774395">
        <w:rPr>
          <w:rFonts w:eastAsiaTheme="minorEastAsia"/>
        </w:rPr>
        <w:tab/>
      </w:r>
      <w:r w:rsidR="00B71203" w:rsidRPr="00774395">
        <w:rPr>
          <w:rFonts w:eastAsiaTheme="minorEastAsia"/>
        </w:rPr>
        <w:tab/>
      </w:r>
      <w:r w:rsidR="00B71203" w:rsidRPr="00774395">
        <w:rPr>
          <w:rFonts w:eastAsiaTheme="minorEastAsia"/>
        </w:rPr>
        <w:tab/>
      </w:r>
      <w:r w:rsidR="00B71203" w:rsidRPr="00774395">
        <w:rPr>
          <w:rFonts w:eastAsiaTheme="minorEastAsia"/>
        </w:rPr>
        <w:tab/>
      </w:r>
      <w:r w:rsidR="00B71203" w:rsidRPr="00774395">
        <w:rPr>
          <w:rFonts w:eastAsiaTheme="minorEastAsia"/>
        </w:rPr>
        <w:tab/>
      </w:r>
      <w:r w:rsidR="00B71203" w:rsidRPr="00774395">
        <w:rPr>
          <w:rFonts w:eastAsiaTheme="minorEastAsia"/>
        </w:rPr>
        <w:tab/>
      </w:r>
      <w:r w:rsidR="00B71203" w:rsidRPr="00774395">
        <w:rPr>
          <w:rFonts w:eastAsiaTheme="minorEastAsia"/>
        </w:rPr>
        <w:tab/>
      </w:r>
      <w:r w:rsidR="00B71203" w:rsidRPr="00774395">
        <w:rPr>
          <w:rFonts w:eastAsiaTheme="minorEastAsia"/>
        </w:rPr>
        <w:tab/>
      </w:r>
      <w:r w:rsidR="00527A00" w:rsidRPr="00774395">
        <w:rPr>
          <w:rFonts w:eastAsiaTheme="minorEastAsia"/>
        </w:rPr>
        <w:tab/>
      </w:r>
      <w:r w:rsidR="00B71203" w:rsidRPr="00774395">
        <w:rPr>
          <w:rFonts w:eastAsiaTheme="minorEastAsia"/>
        </w:rPr>
        <w:t>(6)</w:t>
      </w:r>
    </w:p>
    <w:p w14:paraId="5D99C7F0" w14:textId="43CD48D1" w:rsidR="00AD6D0B" w:rsidRPr="00774395" w:rsidRDefault="00504AC9" w:rsidP="00265A4E">
      <w:pPr>
        <w:jc w:val="both"/>
      </w:pPr>
      <w:r w:rsidRPr="00774395">
        <w:t>w</w:t>
      </w:r>
      <w:r w:rsidR="00B71203" w:rsidRPr="00774395">
        <w:t xml:space="preserve">here </w:t>
      </w:r>
      <w:r w:rsidR="00B71203" w:rsidRPr="00774395">
        <w:rPr>
          <w:i/>
          <w:iCs/>
        </w:rPr>
        <w:t>R</w:t>
      </w:r>
      <w:r w:rsidR="00B71203" w:rsidRPr="00774395">
        <w:rPr>
          <w:i/>
          <w:iCs/>
          <w:vertAlign w:val="subscript"/>
        </w:rPr>
        <w:t>TH</w:t>
      </w:r>
      <w:r w:rsidR="00B71203" w:rsidRPr="00774395">
        <w:t xml:space="preserve"> and </w:t>
      </w:r>
      <w:r w:rsidR="00B71203" w:rsidRPr="00774395">
        <w:rPr>
          <w:i/>
          <w:iCs/>
        </w:rPr>
        <w:t>R</w:t>
      </w:r>
      <w:r w:rsidR="00B71203" w:rsidRPr="00774395">
        <w:rPr>
          <w:i/>
          <w:iCs/>
          <w:vertAlign w:val="subscript"/>
        </w:rPr>
        <w:t>EL</w:t>
      </w:r>
      <w:r w:rsidR="00B71203" w:rsidRPr="00774395">
        <w:t xml:space="preserve"> are the revenues from thermal and electrical energy determined according to eq. 5; </w:t>
      </w:r>
      <w:r w:rsidR="002F2267" w:rsidRPr="00774395">
        <w:rPr>
          <w:i/>
          <w:iCs/>
        </w:rPr>
        <w:t>d</w:t>
      </w:r>
      <w:r w:rsidR="002F2267" w:rsidRPr="00774395">
        <w:rPr>
          <w:i/>
          <w:iCs/>
          <w:vertAlign w:val="subscript"/>
        </w:rPr>
        <w:t>BC</w:t>
      </w:r>
      <w:r w:rsidR="002F2267" w:rsidRPr="00774395">
        <w:t xml:space="preserve"> is the dose of BC (kg m</w:t>
      </w:r>
      <w:r w:rsidR="002F2267" w:rsidRPr="00774395">
        <w:rPr>
          <w:vertAlign w:val="superscript"/>
        </w:rPr>
        <w:t>-3</w:t>
      </w:r>
      <w:r w:rsidR="002F2267" w:rsidRPr="00774395">
        <w:t>) supplemented to digester of each study (</w:t>
      </w:r>
      <w:r w:rsidR="00422350" w:rsidRPr="00774395">
        <w:t xml:space="preserve">Table </w:t>
      </w:r>
      <w:r w:rsidR="00700455" w:rsidRPr="00774395">
        <w:t>B</w:t>
      </w:r>
      <w:r w:rsidR="00E42FEA" w:rsidRPr="00774395">
        <w:t>3</w:t>
      </w:r>
      <w:r w:rsidR="000D7D3E" w:rsidRPr="00774395">
        <w:t xml:space="preserve"> in Appendix B</w:t>
      </w:r>
      <w:r w:rsidR="002F2267" w:rsidRPr="00774395">
        <w:t xml:space="preserve">), </w:t>
      </w:r>
      <w:r w:rsidR="002F2267" w:rsidRPr="00774395">
        <w:rPr>
          <w:i/>
          <w:iCs/>
        </w:rPr>
        <w:t>ER</w:t>
      </w:r>
      <w:r w:rsidR="002F2267" w:rsidRPr="00774395">
        <w:t xml:space="preserve"> is the average exchange ratio US</w:t>
      </w:r>
      <w:r w:rsidR="00422350" w:rsidRPr="00774395">
        <w:t>D</w:t>
      </w:r>
      <w:r w:rsidR="002F2267" w:rsidRPr="00774395">
        <w:t>-euro (</w:t>
      </w:r>
      <w:r w:rsidR="00422350" w:rsidRPr="00774395">
        <w:t xml:space="preserve">Table </w:t>
      </w:r>
      <w:r w:rsidR="00700455" w:rsidRPr="00774395">
        <w:t>B</w:t>
      </w:r>
      <w:r w:rsidR="00E42FEA" w:rsidRPr="00774395">
        <w:t>4</w:t>
      </w:r>
      <w:r w:rsidR="000D7D3E" w:rsidRPr="00774395">
        <w:t xml:space="preserve"> in Appendix B</w:t>
      </w:r>
      <w:r w:rsidR="002F2267" w:rsidRPr="00774395">
        <w:t>).</w:t>
      </w:r>
    </w:p>
    <w:p w14:paraId="74F4D6BF" w14:textId="77777777" w:rsidR="000D7D3E" w:rsidRPr="00774395" w:rsidRDefault="000D7D3E" w:rsidP="00265A4E">
      <w:pPr>
        <w:jc w:val="both"/>
      </w:pPr>
    </w:p>
    <w:p w14:paraId="7F84E7B9" w14:textId="437F1C4A" w:rsidR="002E703A" w:rsidRPr="00774395" w:rsidRDefault="00931735" w:rsidP="00C92CB2">
      <w:pPr>
        <w:pStyle w:val="Titolo1"/>
        <w:rPr>
          <w:b/>
          <w:bCs/>
          <w:sz w:val="24"/>
          <w:szCs w:val="24"/>
        </w:rPr>
      </w:pPr>
      <w:r w:rsidRPr="00774395">
        <w:rPr>
          <w:b/>
          <w:bCs/>
          <w:sz w:val="24"/>
          <w:szCs w:val="24"/>
        </w:rPr>
        <w:t>4</w:t>
      </w:r>
      <w:r w:rsidR="00C92CB2" w:rsidRPr="00774395">
        <w:rPr>
          <w:b/>
          <w:bCs/>
          <w:sz w:val="24"/>
          <w:szCs w:val="24"/>
        </w:rPr>
        <w:t xml:space="preserve">. </w:t>
      </w:r>
      <w:r w:rsidR="002E703A" w:rsidRPr="00774395">
        <w:rPr>
          <w:b/>
          <w:bCs/>
          <w:sz w:val="24"/>
          <w:szCs w:val="24"/>
        </w:rPr>
        <w:t>Results and discussion</w:t>
      </w:r>
    </w:p>
    <w:p w14:paraId="5686C322" w14:textId="37FCD906" w:rsidR="00544124" w:rsidRPr="00774395" w:rsidRDefault="00931735" w:rsidP="00265A4E">
      <w:pPr>
        <w:pStyle w:val="Titolo2"/>
        <w:jc w:val="both"/>
        <w:rPr>
          <w:b/>
          <w:bCs/>
          <w:sz w:val="24"/>
          <w:szCs w:val="24"/>
        </w:rPr>
      </w:pPr>
      <w:r w:rsidRPr="00774395">
        <w:rPr>
          <w:b/>
          <w:bCs/>
          <w:sz w:val="24"/>
          <w:szCs w:val="24"/>
        </w:rPr>
        <w:t>4</w:t>
      </w:r>
      <w:r w:rsidR="00544124" w:rsidRPr="00774395">
        <w:rPr>
          <w:b/>
          <w:bCs/>
          <w:sz w:val="24"/>
          <w:szCs w:val="24"/>
        </w:rPr>
        <w:t>.</w:t>
      </w:r>
      <w:r w:rsidR="00D304E5" w:rsidRPr="00774395">
        <w:rPr>
          <w:b/>
          <w:bCs/>
          <w:sz w:val="24"/>
          <w:szCs w:val="24"/>
        </w:rPr>
        <w:t>1</w:t>
      </w:r>
      <w:r w:rsidR="00544124" w:rsidRPr="00774395">
        <w:rPr>
          <w:b/>
          <w:bCs/>
          <w:sz w:val="24"/>
          <w:szCs w:val="24"/>
        </w:rPr>
        <w:t>. Effects of feedstock</w:t>
      </w:r>
      <w:r w:rsidR="00B971EF" w:rsidRPr="00774395">
        <w:rPr>
          <w:b/>
          <w:bCs/>
          <w:sz w:val="24"/>
          <w:szCs w:val="24"/>
        </w:rPr>
        <w:t>s</w:t>
      </w:r>
      <w:r w:rsidR="00544124" w:rsidRPr="00774395">
        <w:rPr>
          <w:b/>
          <w:bCs/>
          <w:sz w:val="24"/>
          <w:szCs w:val="24"/>
        </w:rPr>
        <w:t xml:space="preserve"> and pyrolysis temperature on biochar properties</w:t>
      </w:r>
    </w:p>
    <w:p w14:paraId="5280C0B2" w14:textId="2EEA678E" w:rsidR="000D7DD2" w:rsidRPr="00774395" w:rsidRDefault="00ED7C3F" w:rsidP="00265A4E">
      <w:pPr>
        <w:jc w:val="both"/>
        <w:rPr>
          <w:rStyle w:val="text"/>
        </w:rPr>
      </w:pPr>
      <w:r w:rsidRPr="00774395">
        <w:t xml:space="preserve">The distinctive properties of BC </w:t>
      </w:r>
      <w:r w:rsidR="00117D6C" w:rsidRPr="00774395">
        <w:t xml:space="preserve">parent </w:t>
      </w:r>
      <w:r w:rsidRPr="00774395">
        <w:t xml:space="preserve">biomass and </w:t>
      </w:r>
      <w:r w:rsidR="00713154" w:rsidRPr="00774395">
        <w:t xml:space="preserve">the </w:t>
      </w:r>
      <w:r w:rsidRPr="00774395">
        <w:t xml:space="preserve">operating conditions </w:t>
      </w:r>
      <w:r w:rsidR="00117D6C" w:rsidRPr="00774395">
        <w:t>of its</w:t>
      </w:r>
      <w:r w:rsidRPr="00774395">
        <w:t xml:space="preserve"> production (temperature, heating rate, duration) determine </w:t>
      </w:r>
      <w:r w:rsidR="00C30B3E" w:rsidRPr="00774395">
        <w:t xml:space="preserve">the </w:t>
      </w:r>
      <w:r w:rsidRPr="00774395">
        <w:t>physi</w:t>
      </w:r>
      <w:r w:rsidR="00216A35" w:rsidRPr="00774395">
        <w:t>c</w:t>
      </w:r>
      <w:r w:rsidRPr="00774395">
        <w:t>o-chemical properties of BC</w:t>
      </w:r>
      <w:r w:rsidR="00533A6B" w:rsidRPr="00774395">
        <w:t xml:space="preserve">. </w:t>
      </w:r>
      <w:r w:rsidR="00F11E6B" w:rsidRPr="00774395">
        <w:t>Figure 1</w:t>
      </w:r>
      <w:r w:rsidR="000D7DD2" w:rsidRPr="00774395">
        <w:t xml:space="preserve"> </w:t>
      </w:r>
      <w:r w:rsidR="00A5606C" w:rsidRPr="00774395">
        <w:t xml:space="preserve">shows the influence of </w:t>
      </w:r>
      <w:r w:rsidR="00E75C5A" w:rsidRPr="00774395">
        <w:t xml:space="preserve">the different </w:t>
      </w:r>
      <w:r w:rsidR="00A5606C" w:rsidRPr="00774395">
        <w:t>feedstock categories on</w:t>
      </w:r>
      <w:r w:rsidR="006B3670" w:rsidRPr="00774395">
        <w:t xml:space="preserve"> </w:t>
      </w:r>
      <w:r w:rsidR="00A5606C" w:rsidRPr="00774395">
        <w:t>BC physi</w:t>
      </w:r>
      <w:r w:rsidR="00216A35" w:rsidRPr="00774395">
        <w:t>c</w:t>
      </w:r>
      <w:r w:rsidR="00A5606C" w:rsidRPr="00774395">
        <w:t xml:space="preserve">o-chemical properties. </w:t>
      </w:r>
      <w:r w:rsidR="00314D28" w:rsidRPr="00774395">
        <w:t xml:space="preserve">The chemical composition of BC </w:t>
      </w:r>
      <w:r w:rsidR="00713154" w:rsidRPr="00774395">
        <w:t xml:space="preserve">parent biomass </w:t>
      </w:r>
      <w:r w:rsidR="00314D28" w:rsidRPr="00774395">
        <w:t>var</w:t>
      </w:r>
      <w:r w:rsidR="00433F06" w:rsidRPr="00774395">
        <w:t>y</w:t>
      </w:r>
      <w:r w:rsidR="00314D28" w:rsidRPr="00774395">
        <w:t xml:space="preserve"> significantly: wood or lignocellulosic residues are mainly composed by cellulose, hemicellulose, and lignin</w:t>
      </w:r>
      <w:r w:rsidR="006B3670" w:rsidRPr="00774395">
        <w:t xml:space="preserve"> and have a low </w:t>
      </w:r>
      <w:r w:rsidR="00314D28" w:rsidRPr="00774395">
        <w:t>ash</w:t>
      </w:r>
      <w:r w:rsidR="006B3670" w:rsidRPr="00774395">
        <w:t xml:space="preserve"> content</w:t>
      </w:r>
      <w:r w:rsidR="00314D28" w:rsidRPr="00774395">
        <w:t xml:space="preserve"> </w:t>
      </w:r>
      <w:r w:rsidR="00314D28" w:rsidRPr="00774395">
        <w:fldChar w:fldCharType="begin" w:fldLock="1"/>
      </w:r>
      <w:r w:rsidR="004309DE" w:rsidRPr="00774395">
        <w:instrText>ADDIN CSL_CITATION {"citationItems":[{"id":"ITEM-1","itemData":{"DOI":"10.1016/j.rser.2017.05.057","ISSN":"1364-0321","abstract":"Pyrolysis is one of the most promising technologies for the conversion of biomass into high-value products such as bio-oil, syngas, and biochar in the absence of oxygen. High yield biochar can be produced through torrefaction or slow pyrolysis. The efficiency of biochar production from biomass is highly dependent on the pyrolysis temperature, heating rate, type and composition of feedstock, particle size, and reactor conditions. Application of biochar to agriculture may have a significant effect on reducing global warming through the reduction of greenhouse gas (GHG) emissions and the sequestering of atmospheric carbon into soil. At the same time, biochar can help improve soil health and fertility, and enhance agricultural production. Livestock manure, along with waste-feed residues and bedding materials, is a potential source of biochar. This waste emits significant amounts of GHGs adding to global warming and threatening the environment in other ways. The environmental challenges caused by agricultural and animal-waste disposal can be reduced by recycling the waste using pyrolysis, into biochar, energy, and value-added products. Biochar can act as a sorbent for organic and inorganic contaminants and can efficiently remove these materials from affected waters. Contaminant removal is mainly based on the presence of functional groups and charges on the surface of the biochar. Thus, biochar can help to improve food security by contributing to sustainable production systems and maintaining an eco-friendly environment. This review details the principles and concepts involved in biochar production, the factors that affect biochar quality, as well as the applications of biochar.","author":[{"dropping-particle":"","family":"Qambrani","given":"Naveed Ahmed","non-dropping-particle":"","parse-names":false,"suffix":""},{"dropping-particle":"","family":"Rahman","given":"Md Mukhlesur","non-dropping-particle":"","parse-names":false,"suffix":""},{"dropping-particle":"","family":"Won","given":"Seunggun","non-dropping-particle":"","parse-names":false,"suffix":""},{"dropping-particle":"","family":"Shim","given":"Soomin","non-dropping-particle":"","parse-names":false,"suffix":""},{"dropping-particle":"","family":"Ra","given":"Changsix","non-dropping-particle":"","parse-names":false,"suffix":""}],"container-title":"Renewable and Sustainable Energy Reviews","id":"ITEM-1","issued":{"date-parts":[["2017","11","1"]]},"page":"255-273","title":"Biochar properties and eco-friendly applications for climate change mitigation, waste management, and wastewater treatment: A review","type":"article-journal","volume":"79"},"uris":["http://www.mendeley.com/documents/?uuid=3b85dcc4-5224-3d6a-81b7-b0d5cc3cd57a"]}],"mendeley":{"formattedCitation":"[5]","plainTextFormattedCitation":"[5]","previouslyFormattedCitation":"[5]"},"properties":{"noteIndex":0},"schema":"https://github.com/citation-style-language/schema/raw/master/csl-citation.json"}</w:instrText>
      </w:r>
      <w:r w:rsidR="00314D28" w:rsidRPr="00774395">
        <w:fldChar w:fldCharType="separate"/>
      </w:r>
      <w:r w:rsidR="00346492" w:rsidRPr="00774395">
        <w:rPr>
          <w:noProof/>
        </w:rPr>
        <w:t>[5]</w:t>
      </w:r>
      <w:r w:rsidR="00314D28" w:rsidRPr="00774395">
        <w:fldChar w:fldCharType="end"/>
      </w:r>
      <w:r w:rsidR="00713154" w:rsidRPr="00774395">
        <w:t>;</w:t>
      </w:r>
      <w:r w:rsidR="00314D28" w:rsidRPr="00774395">
        <w:t xml:space="preserve"> herbaceous precursors have a similar composition, but </w:t>
      </w:r>
      <w:r w:rsidR="00713154" w:rsidRPr="00774395">
        <w:t xml:space="preserve">they </w:t>
      </w:r>
      <w:r w:rsidR="006B3670" w:rsidRPr="00774395">
        <w:t xml:space="preserve">are </w:t>
      </w:r>
      <w:r w:rsidR="00314D28" w:rsidRPr="00774395">
        <w:t xml:space="preserve">richer in ashes </w:t>
      </w:r>
      <w:r w:rsidR="00314D28" w:rsidRPr="00774395">
        <w:fldChar w:fldCharType="begin" w:fldLock="1"/>
      </w:r>
      <w:r w:rsidR="00520099">
        <w:instrText>ADDIN CSL_CITATION {"citationItems":[{"id":"ITEM-1","itemData":{"DOI":"10.1016/j.fuproc.2015.11.022","ISSN":"03783820","abstract":"The effect of feedstock composition and taxonomy on the products distribution from pyrolysis of nine herbaceous plants was evaluated. Specifically, eight members of the Poaceae family and one member of the Fabaceae family were pyrolyzed in a fixed bed reactor to a final temperature of 700 °C. All samples resulted in a medium-energy CO2-rich gas and a phenol-rich liquid. The type of lignin rather than the overall lignin content was found to influence the phenols yield. All samples produced char with a suitable C/N ratio; eight plants produced char with high polarity; and only one sample (i.e., mountain brome) resulted in char with a sufficient aromaticity to be applied to soil. Low carbonization was associated with a high content of inorganic elements that were most likely deposited on the char's surface and blocked vaporization. The product distributions were dependent on (i) chemical and biochemical composition of feedstock, (ii) secondary reactions of liquid and char, and (iii) the samples' taxonomy. Red clover from the Fabaceae family was found to be the most distinct, followed by mountain brome from the Triticodae group (Poaceae family), and the remaining members of the Poodae group (Poaceae family). The least divergence was found between the hybrid samples.","author":[{"dropping-particle":"","family":"Hlavsová","given":"Adéla","non-dropping-particle":"","parse-names":false,"suffix":""},{"dropping-particle":"","family":"Corsaro","given":"Agnieszka","non-dropping-particle":"","parse-names":false,"suffix":""},{"dropping-particle":"","family":"Raclavská","given":"Helena","non-dropping-particle":"","parse-names":false,"suffix":""},{"dropping-particle":"","family":"Vallová","given":"Silvie","non-dropping-particle":"","parse-names":false,"suffix":""},{"dropping-particle":"","family":"Juchelková","given":"Dagmar","non-dropping-particle":"","parse-names":false,"suffix":""}],"container-title":"Fuel Processing Technology","id":"ITEM-1","issued":{"date-parts":[["2016","4","1"]]},"page":"27-36","publisher":"Elsevier","title":"The effect of feedstock composition and taxonomy on the products distribution from pyrolysis of nine herbaceous plants","type":"article-journal","volume":"144"},"uris":["http://www.mendeley.com/documents/?uuid=4f7e66b5-50ea-344a-9a76-333b898ec08d"]}],"mendeley":{"formattedCitation":"[51]","plainTextFormattedCitation":"[51]","previouslyFormattedCitation":"[51]"},"properties":{"noteIndex":0},"schema":"https://github.com/citation-style-language/schema/raw/master/csl-citation.json"}</w:instrText>
      </w:r>
      <w:r w:rsidR="00314D28" w:rsidRPr="00774395">
        <w:fldChar w:fldCharType="separate"/>
      </w:r>
      <w:r w:rsidR="00830B48" w:rsidRPr="00830B48">
        <w:rPr>
          <w:noProof/>
        </w:rPr>
        <w:t>[51]</w:t>
      </w:r>
      <w:r w:rsidR="00314D28" w:rsidRPr="00774395">
        <w:fldChar w:fldCharType="end"/>
      </w:r>
      <w:r w:rsidR="00314D28" w:rsidRPr="00774395">
        <w:t xml:space="preserve">; bio-solids (manure or sewage sludge) are a mixture of moisture, micro-organisms, organics, and abundant ashes rich in nutrients and metals </w:t>
      </w:r>
      <w:r w:rsidR="00314D28" w:rsidRPr="00774395">
        <w:fldChar w:fldCharType="begin" w:fldLock="1"/>
      </w:r>
      <w:r w:rsidR="00520099">
        <w:instrText>ADDIN CSL_CITATION {"citationItems":[{"id":"ITEM-1","itemData":{"DOI":"10.1016/j.biortech.2011.11.084","ISSN":"0960-8524","abstract":"While pyrolysis of livestock manures generates nutrient-rich biochars with potential agronomic uses, studies are needed to clarify biochar properties across manure varieties under similar controlled conditions. This paper reports selected physicochemical results for five manure-based biochars pyrolyzed at 350 and 700 °C: swine separated-solids; paved-feedlot manure; dairy manure; poultry litter; and turkey litter. Elemental and FTIR analyses of these alkaline biochars demonstrated variations and similarities in physicochemical characteristics. The FTIR spectra were similar for (1) turkey and poultry and (2) feedlot and dairy, but were distinct for swine biochars. Dairy biochars contained the greatest volatile matter, C, and energy content and lowest ash, N, and S contents. Swine biochars had the greatest P, N, and S contents alongside the lowest pH and EC values. Poultry litter biochars exhibited the greatest EC values. With the greatest ash contents, turkey litter biochars had the greatest biochar mass recoveries, whereas feedlot biochars demonstrated the lowest. © 2011.","author":[{"dropping-particle":"","family":"Cantrell","given":"Keri B.","non-dropping-particle":"","parse-names":false,"suffix":""},{"dropping-particle":"","family":"Hunt","given":"Patrick G.","non-dropping-particle":"","parse-names":false,"suffix":""},{"dropping-particle":"","family":"Uchimiya","given":"Minori","non-dropping-particle":"","parse-names":false,"suffix":""},{"dropping-particle":"","family":"Novak","given":"Jeffrey M.","non-dropping-particle":"","parse-names":false,"suffix":""},{"dropping-particle":"","family":"Ro","given":"Kyoung S.","non-dropping-particle":"","parse-names":false,"suffix":""}],"container-title":"Bioresource Technology","id":"ITEM-1","issued":{"date-parts":[["2012","3","1"]]},"page":"419-428","publisher":"Elsevier","title":"Impact of pyrolysis temperature and manure source on physicochemical characteristics of biochar","type":"article-journal","volume":"107"},"uris":["http://www.mendeley.com/documents/?uuid=3fde926d-3c8a-319c-a69d-23fdbf825d81"]},{"id":"ITEM-2","itemData":{"DOI":"10.1016/j.rser.2012.02.070","ISSN":"13640321","abstract":"The high output of sewage sludge, which is increasing during recent years, and the limitations of the existing means of disposing sewage sludge highlight the need to find alternative routes to manage this waste. Biomass and residues like sewage sludge are the only renewable energy sources that can provide C and H, thus it is interesting to process them by means of treatments that enable to obtain chemically valuable products like fuels and not only heat and power; pyrolysis can be one of these treatments. The main objective of this review is to provide an account of the state of the art of sewage sludge pyrolysis for liquid production, which is under study during recent years. This process yields around 50 wt% (daf) of liquid. Typically, this liquid is heterogeneous and it usually separates into two or three phases. Some of these organic phases have very high gross heating values, even similar to those of petroleum-based fuels. The only industrial sewage sludge pyrolysis plant operated to date is currently closed due to some technical challenges and problems of economic viability. © 2012 Elsevier Ltd. All rights reserved.","author":[{"dropping-particle":"","family":"Fonts","given":"Isabel","non-dropping-particle":"","parse-names":false,"suffix":""},{"dropping-particle":"","family":"Gea","given":"Gloria","non-dropping-particle":"","parse-names":false,"suffix":""},{"dropping-particle":"","family":"Azuara","given":"Manuel","non-dropping-particle":"","parse-names":false,"suffix":""},{"dropping-particle":"","family":"Ábrego","given":"Javier","non-dropping-particle":"","parse-names":false,"suffix":""},{"dropping-particle":"","family":"Arauzo","given":"Jesús","non-dropping-particle":"","parse-names":false,"suffix":""}],"container-title":"Renewable and Sustainable Energy Reviews","id":"ITEM-2","issue":"5","issued":{"date-parts":[["2012","6","1"]]},"page":"2781-2805","publisher":"Pergamon","title":"Sewage sludge pyrolysis for liquid production: A review","type":"article","volume":"16"},"uris":["http://www.mendeley.com/documents/?uuid=ca530cd9-7aaf-3ba0-879e-e7ec10dbb123"]}],"mendeley":{"formattedCitation":"[52,53]","plainTextFormattedCitation":"[52,53]","previouslyFormattedCitation":"[52,53]"},"properties":{"noteIndex":0},"schema":"https://github.com/citation-style-language/schema/raw/master/csl-citation.json"}</w:instrText>
      </w:r>
      <w:r w:rsidR="00314D28" w:rsidRPr="00774395">
        <w:fldChar w:fldCharType="separate"/>
      </w:r>
      <w:r w:rsidR="00830B48" w:rsidRPr="00830B48">
        <w:rPr>
          <w:noProof/>
        </w:rPr>
        <w:t>[52,53]</w:t>
      </w:r>
      <w:r w:rsidR="00314D28" w:rsidRPr="00774395">
        <w:fldChar w:fldCharType="end"/>
      </w:r>
      <w:r w:rsidR="00314D28" w:rsidRPr="00774395">
        <w:t xml:space="preserve">. </w:t>
      </w:r>
      <w:r w:rsidR="004A2171" w:rsidRPr="00774395">
        <w:t xml:space="preserve">Regarding BC physical features, lignocellulosic residue BCs </w:t>
      </w:r>
      <w:r w:rsidR="00B53C26" w:rsidRPr="00774395">
        <w:t xml:space="preserve">(LR) and wood BCs </w:t>
      </w:r>
      <w:r w:rsidR="004A2171" w:rsidRPr="00774395">
        <w:t xml:space="preserve">(W) </w:t>
      </w:r>
      <w:r w:rsidR="00B1021F" w:rsidRPr="00774395">
        <w:t>exhibit</w:t>
      </w:r>
      <w:r w:rsidR="004A2171" w:rsidRPr="00774395">
        <w:t>ed a larger specific surface area</w:t>
      </w:r>
      <w:r w:rsidR="00605F28" w:rsidRPr="00774395">
        <w:t xml:space="preserve"> (SA)</w:t>
      </w:r>
      <w:r w:rsidR="007D30B7" w:rsidRPr="00774395">
        <w:t xml:space="preserve"> (</w:t>
      </w:r>
      <w:r w:rsidR="00F11E6B" w:rsidRPr="00774395">
        <w:t>Figure 1</w:t>
      </w:r>
      <w:r w:rsidR="007D30B7" w:rsidRPr="00774395">
        <w:t>A)</w:t>
      </w:r>
      <w:r w:rsidR="004A2171" w:rsidRPr="00774395">
        <w:t xml:space="preserve">, </w:t>
      </w:r>
      <w:r w:rsidR="00B1021F" w:rsidRPr="00774395">
        <w:t xml:space="preserve">while </w:t>
      </w:r>
      <w:r w:rsidR="004A2171" w:rsidRPr="00774395">
        <w:t>W and non-lignocellulosic residue BCs (NLR) a lower average pore diameter compared to other feedstock-based BCs</w:t>
      </w:r>
      <w:r w:rsidR="00220531" w:rsidRPr="00774395">
        <w:t xml:space="preserve"> (</w:t>
      </w:r>
      <w:r w:rsidR="00F11E6B" w:rsidRPr="00774395">
        <w:t>Figure</w:t>
      </w:r>
      <w:r w:rsidR="00F11E6B" w:rsidRPr="00774395" w:rsidDel="00F11E6B">
        <w:t xml:space="preserve"> </w:t>
      </w:r>
      <w:r w:rsidR="00F11E6B" w:rsidRPr="00774395">
        <w:t>1</w:t>
      </w:r>
      <w:r w:rsidR="00220531" w:rsidRPr="00774395">
        <w:t>C)</w:t>
      </w:r>
      <w:r w:rsidR="004A2171" w:rsidRPr="00774395">
        <w:t xml:space="preserve">. </w:t>
      </w:r>
      <w:r w:rsidR="00734F5D" w:rsidRPr="00774395">
        <w:t>F</w:t>
      </w:r>
      <w:r w:rsidR="00DD13EC" w:rsidRPr="00774395">
        <w:t xml:space="preserve">eedstocks </w:t>
      </w:r>
      <w:r w:rsidR="00FE352F" w:rsidRPr="00774395">
        <w:t xml:space="preserve">with high contents of </w:t>
      </w:r>
      <w:r w:rsidR="00DD13EC" w:rsidRPr="00774395">
        <w:t xml:space="preserve">volatile matter and lignin </w:t>
      </w:r>
      <w:r w:rsidR="00734F5D" w:rsidRPr="00774395">
        <w:t xml:space="preserve">(W and LR) tend to </w:t>
      </w:r>
      <w:r w:rsidR="00FE352F" w:rsidRPr="00774395">
        <w:t xml:space="preserve">develop a </w:t>
      </w:r>
      <w:r w:rsidR="00533A6B" w:rsidRPr="00774395">
        <w:t xml:space="preserve">dense </w:t>
      </w:r>
      <w:r w:rsidR="00FE352F" w:rsidRPr="00774395">
        <w:t>porous structure</w:t>
      </w:r>
      <w:r w:rsidR="005B420C" w:rsidRPr="00774395">
        <w:t xml:space="preserve"> through the release of volatile compounds</w:t>
      </w:r>
      <w:r w:rsidR="00734F5D" w:rsidRPr="00774395">
        <w:t xml:space="preserve"> during pyrolysis</w:t>
      </w:r>
      <w:r w:rsidR="00FE352F" w:rsidRPr="00774395">
        <w:t xml:space="preserve">, </w:t>
      </w:r>
      <w:r w:rsidR="00533A6B" w:rsidRPr="00774395">
        <w:t xml:space="preserve">which is </w:t>
      </w:r>
      <w:r w:rsidR="00FE352F" w:rsidRPr="00774395">
        <w:t>preserved by the</w:t>
      </w:r>
      <w:r w:rsidR="00314D28" w:rsidRPr="00774395">
        <w:t xml:space="preserve"> </w:t>
      </w:r>
      <w:r w:rsidR="00533A6B" w:rsidRPr="00774395">
        <w:t xml:space="preserve">thermal </w:t>
      </w:r>
      <w:r w:rsidR="00314D28" w:rsidRPr="00774395">
        <w:t>stability of lignin</w:t>
      </w:r>
      <w:r w:rsidR="00FE352F" w:rsidRPr="00774395">
        <w:t xml:space="preserve"> </w:t>
      </w:r>
      <w:r w:rsidR="00FE352F" w:rsidRPr="00774395">
        <w:fldChar w:fldCharType="begin" w:fldLock="1"/>
      </w:r>
      <w:r w:rsidR="00520099">
        <w:instrText>ADDIN CSL_CITATION {"citationItems":[{"id":"ITEM-1","itemData":{"DOI":"10.1016/j.scitotenv.2020.144204","ISSN":"18791026","PMID":"33385838","abstract":"Surface area and porosity are important physical properties of biochar, playing a crucial role in many biochar applications, such as wastewater treatment and soil remediation. The production of engineered biochar with highly porous structure and large surface area has received extensive attention. This paper comprehensively reviewed the effects of biomass and pyrolysis parameters on the surface area and porosity of biochar. The composition of biomass feedstock and pyrolysis temperature are the major influencing factors. It is suggested that the lignocellulosic biomass is an outstanding candidate, wood and woody biomass in particular. Besides, moderate temperatures (400–700 °C) are suitable for the development of the pore structure. Further improvement can be implemented by additional treatments. Activation is the most widely used and effective way to promote biochar surface area and porosity, especially the chemical activation. Enhancement can also be achieved by using other treatment methods, such as carbonaceous materials coating, ball milling, and templating. Future research should focus on upgrading or developing treatment technology to achieve enhanced functionality and porous structure of biochar simultaneously.","author":[{"dropping-particle":"","family":"Leng","given":"Lijian","non-dropping-particle":"","parse-names":false,"suffix":""},{"dropping-particle":"","family":"Xiong","given":"Qin","non-dropping-particle":"","parse-names":false,"suffix":""},{"dropping-particle":"","family":"Yang","given":"Lihong","non-dropping-particle":"","parse-names":false,"suffix":""},{"dropping-particle":"","family":"Li","given":"Hui","non-dropping-particle":"","parse-names":false,"suffix":""},{"dropping-particle":"","family":"Zhou","given":"Yaoyu","non-dropping-particle":"","parse-names":false,"suffix":""},{"dropping-particle":"","family":"Zhang","given":"Weijin","non-dropping-particle":"","parse-names":false,"suffix":""},{"dropping-particle":"","family":"Jiang","given":"Shaojian","non-dropping-particle":"","parse-names":false,"suffix":""},{"dropping-particle":"","family":"Li","given":"Hailong","non-dropping-particle":"","parse-names":false,"suffix":""},{"dropping-particle":"","family":"Huang","given":"Huajun","non-dropping-particle":"","parse-names":false,"suffix":""}],"container-title":"Science of the Total Environment","id":"ITEM-1","issued":{"date-parts":[["2021","4","1"]]},"page":"144204","publisher":"Elsevier","title":"An overview on engineering the surface area and porosity of biochar","type":"article-journal","volume":"763"},"uris":["http://www.mendeley.com/documents/?uuid=e655dca8-e035-3480-9fa0-204e008b4d0c"]}],"mendeley":{"formattedCitation":"[54]","plainTextFormattedCitation":"[54]","previouslyFormattedCitation":"[54]"},"properties":{"noteIndex":0},"schema":"https://github.com/citation-style-language/schema/raw/master/csl-citation.json"}</w:instrText>
      </w:r>
      <w:r w:rsidR="00FE352F" w:rsidRPr="00774395">
        <w:fldChar w:fldCharType="separate"/>
      </w:r>
      <w:r w:rsidR="00830B48" w:rsidRPr="00830B48">
        <w:rPr>
          <w:noProof/>
        </w:rPr>
        <w:t>[54]</w:t>
      </w:r>
      <w:r w:rsidR="00FE352F" w:rsidRPr="00774395">
        <w:fldChar w:fldCharType="end"/>
      </w:r>
      <w:r w:rsidR="005B420C" w:rsidRPr="00774395">
        <w:t>,</w:t>
      </w:r>
      <w:r w:rsidR="00314D28" w:rsidRPr="00774395">
        <w:t xml:space="preserve"> </w:t>
      </w:r>
      <w:r w:rsidR="00FE352F" w:rsidRPr="00774395">
        <w:t xml:space="preserve">resulting in </w:t>
      </w:r>
      <w:r w:rsidR="005B420C" w:rsidRPr="00774395">
        <w:t>a larger porosity and SA</w:t>
      </w:r>
      <w:r w:rsidR="00533A6B" w:rsidRPr="00774395">
        <w:t xml:space="preserve">. Conversely, </w:t>
      </w:r>
      <w:r w:rsidR="00734F5D" w:rsidRPr="00774395">
        <w:t>BCs from sludge (S) and manure (M) show</w:t>
      </w:r>
      <w:r w:rsidR="006B3670" w:rsidRPr="00774395">
        <w:t>ed</w:t>
      </w:r>
      <w:r w:rsidR="00734F5D" w:rsidRPr="00774395">
        <w:t xml:space="preserve"> a relatively low SA, probably due to the </w:t>
      </w:r>
      <w:r w:rsidR="00533A6B" w:rsidRPr="00774395">
        <w:t xml:space="preserve">large ash content </w:t>
      </w:r>
      <w:r w:rsidR="00302057" w:rsidRPr="00774395">
        <w:t>(</w:t>
      </w:r>
      <w:r w:rsidR="00F11E6B" w:rsidRPr="00774395">
        <w:t>Figure</w:t>
      </w:r>
      <w:r w:rsidR="00F11E6B" w:rsidRPr="00774395" w:rsidDel="00F11E6B">
        <w:t xml:space="preserve"> </w:t>
      </w:r>
      <w:r w:rsidR="00F11E6B" w:rsidRPr="00774395">
        <w:t>1</w:t>
      </w:r>
      <w:r w:rsidR="00302057" w:rsidRPr="00774395">
        <w:t xml:space="preserve">E) </w:t>
      </w:r>
      <w:r w:rsidR="00734F5D" w:rsidRPr="00774395">
        <w:t>inducing</w:t>
      </w:r>
      <w:r w:rsidR="005B420C" w:rsidRPr="00774395">
        <w:t xml:space="preserve"> structural cracking or micropore blockage during pyrolysis </w:t>
      </w:r>
      <w:r w:rsidR="005B420C" w:rsidRPr="00774395">
        <w:fldChar w:fldCharType="begin" w:fldLock="1"/>
      </w:r>
      <w:r w:rsidR="00520099">
        <w:instrText>ADDIN CSL_CITATION {"citationItems":[{"id":"ITEM-1","itemData":{"DOI":"10.1007/s42773-020-00067-x","ISSN":"2524-7867","abstract":"Various studies have established that feedstock choice, pyrolysis temperature, and pyrolysis type influence final biochar physicochemical characteristics. However, overarching analyses of pre-biochar creation choices and correlations to biochar characteristics are severely lacking. Thus, the objective of this work was to help researchers, biochar-stakeholders, and practitioners make more well-informed choices in terms of how these three major parameters influence the final biochar product. Utilizing approximately 5400 peer-reviewed journal articles and over 50,800 individual data points, herein we elucidate the selections that influence final biochar physical and chemical properties, total nutrient content, and perhaps more importantly tools one can use to predict biochar’s nutrient availability. Based on the large dataset collected, it appears that pyrolysis type (fast or slow) plays a minor role in biochar physico- (inorganic) chemical characteristics; few differences were evident between production styles. Pyrolysis temperature, however, affects biochar’s longevity, with pyrolysis temperatures &gt; 500 °C generally leading to longer-term (i.e., &gt; 1000 years) half-lives. Greater pyrolysis temperatures also led to biochars containing greater overall C and specific surface area (SSA), which could promote soil physico-chemical improvements. However, based on the collected data, it appears that feedstock selection has the largest influence on biochar properties. Specific surface area is greatest in wood-based biochars, which in combination with pyrolysis temperature could likely promote greater changes in soil physical characteristics over other feedstock-based biochars. Crop- and other grass-based biochars appear to have cation exchange capacities greater than other biochars, which in combination with pyrolysis temperature could potentially lead to longer-term changes in soil nutrient retention. The collected data also suggest that one can reasonably predict the availability of various biochar nutrients (e.g., N, P, K, Ca, Mg, Fe, and Cu) based on feedstock choice and total nutrient content. Results can be used to create designer biochars to help solve environmental issues and supply a variety of plant-available nutrients for crop growth.","author":[{"dropping-particle":"","family":"Ippolito","given":"James A.","non-dropping-particle":"","parse-names":false,"suffix":""},{"dropping-particle":"","family":"Cui","given":"Liqiang","non-dropping-particle":"","parse-names":false,"suffix":""},{"dropping-particle":"","family":"Kammann","given":"Claudia","non-dropping-particle":"","parse-names":false,"suffix":""},{"dropping-particle":"","family":"Wrage-Mönnig","given":"Nicole","non-dropping-particle":"","parse-names":false,"suffix":""},{"dropping-particle":"","family":"Estavillo","given":"Jose M.","non-dropping-particle":"","parse-names":false,"suffix":""},{"dropping-particle":"","family":"Fuertes-Mendizabal","given":"Teresa","non-dropping-particle":"","parse-names":false,"suffix":""},{"dropping-particle":"","family":"Cayuela","given":"Maria Luz","non-dropping-particle":"","parse-names":false,"suffix":""},{"dropping-particle":"","family":"Sigua","given":"Gilbert","non-dropping-particle":"","parse-names":false,"suffix":""},{"dropping-particle":"","family":"Novak","given":"Jeff","non-dropping-particle":"","parse-names":false,"suffix":""},{"dropping-particle":"","family":"Spokas","given":"Kurt","non-dropping-particle":"","parse-names":false,"suffix":""},{"dropping-particle":"","family":"Borchard","given":"Nils","non-dropping-particle":"","parse-names":false,"suffix":""}],"container-title":"Biochar 2020 2:4","id":"ITEM-1","issued":{"date-parts":[["2020","9","28"]]},"page":"421-438","publisher":"Springer","title":"Feedstock choice, pyrolysis temperature and type influence biochar characteristics: a comprehensive meta-data analysis review","type":"article-journal","volume":"2"},"uris":["http://www.mendeley.com/documents/?uuid=366772a5-41e4-3114-97ad-785f8f8d9d42"]}],"mendeley":{"formattedCitation":"[55]","plainTextFormattedCitation":"[55]","previouslyFormattedCitation":"[55]"},"properties":{"noteIndex":0},"schema":"https://github.com/citation-style-language/schema/raw/master/csl-citation.json"}</w:instrText>
      </w:r>
      <w:r w:rsidR="005B420C" w:rsidRPr="00774395">
        <w:fldChar w:fldCharType="separate"/>
      </w:r>
      <w:r w:rsidR="00830B48" w:rsidRPr="00830B48">
        <w:rPr>
          <w:noProof/>
        </w:rPr>
        <w:t>[55]</w:t>
      </w:r>
      <w:r w:rsidR="005B420C" w:rsidRPr="00774395">
        <w:fldChar w:fldCharType="end"/>
      </w:r>
      <w:r w:rsidR="005B420C" w:rsidRPr="00774395">
        <w:t xml:space="preserve">. </w:t>
      </w:r>
      <w:r w:rsidR="00314D28" w:rsidRPr="00774395">
        <w:t>Further</w:t>
      </w:r>
      <w:r w:rsidR="00EB3703" w:rsidRPr="00774395">
        <w:t xml:space="preserve">, </w:t>
      </w:r>
      <w:r w:rsidR="00991332" w:rsidRPr="00774395">
        <w:t>BCs from sludge (S) and manure (M)</w:t>
      </w:r>
      <w:r w:rsidR="000373F0" w:rsidRPr="00774395">
        <w:t xml:space="preserve"> </w:t>
      </w:r>
      <w:r w:rsidR="00991332" w:rsidRPr="00774395">
        <w:t xml:space="preserve">presented </w:t>
      </w:r>
      <w:r w:rsidR="00997D01" w:rsidRPr="00774395">
        <w:t>scarce contents of fixed carbon (FC)</w:t>
      </w:r>
      <w:r w:rsidR="007D30B7" w:rsidRPr="00774395">
        <w:t xml:space="preserve"> and total carbon (C) (</w:t>
      </w:r>
      <w:r w:rsidR="00F11E6B" w:rsidRPr="00774395">
        <w:t>Figure</w:t>
      </w:r>
      <w:r w:rsidR="00F11E6B" w:rsidRPr="00774395" w:rsidDel="00F11E6B">
        <w:t xml:space="preserve"> </w:t>
      </w:r>
      <w:r w:rsidR="00F11E6B" w:rsidRPr="00774395">
        <w:t>1</w:t>
      </w:r>
      <w:r w:rsidR="007D30B7" w:rsidRPr="00774395">
        <w:t>G-H)</w:t>
      </w:r>
      <w:r w:rsidR="00997D01" w:rsidRPr="00774395">
        <w:t>. W</w:t>
      </w:r>
      <w:r w:rsidR="00997D01" w:rsidRPr="00774395">
        <w:rPr>
          <w:rStyle w:val="text"/>
        </w:rPr>
        <w:t xml:space="preserve"> clearly differed from other feedstock</w:t>
      </w:r>
      <w:r w:rsidR="00E314C3" w:rsidRPr="00774395">
        <w:rPr>
          <w:rStyle w:val="text"/>
        </w:rPr>
        <w:t>-</w:t>
      </w:r>
      <w:r w:rsidR="00997D01" w:rsidRPr="00774395">
        <w:rPr>
          <w:rStyle w:val="text"/>
        </w:rPr>
        <w:t>based BCs for a lower ash content and higher FC</w:t>
      </w:r>
      <w:r w:rsidR="007D30B7" w:rsidRPr="00774395">
        <w:rPr>
          <w:rStyle w:val="text"/>
        </w:rPr>
        <w:t xml:space="preserve"> and C</w:t>
      </w:r>
      <w:r w:rsidR="00997D01" w:rsidRPr="00774395">
        <w:rPr>
          <w:rStyle w:val="text"/>
        </w:rPr>
        <w:t xml:space="preserve">. </w:t>
      </w:r>
      <w:r w:rsidR="00037545" w:rsidRPr="00774395">
        <w:rPr>
          <w:rStyle w:val="text"/>
        </w:rPr>
        <w:t xml:space="preserve">Concerning </w:t>
      </w:r>
      <w:r w:rsidR="00B1021F" w:rsidRPr="00774395">
        <w:rPr>
          <w:rStyle w:val="text"/>
        </w:rPr>
        <w:t xml:space="preserve">the </w:t>
      </w:r>
      <w:r w:rsidR="00037545" w:rsidRPr="00774395">
        <w:rPr>
          <w:rStyle w:val="text"/>
        </w:rPr>
        <w:t xml:space="preserve">contents of nutrients and alkali metals, a larger content of N and P was </w:t>
      </w:r>
      <w:r w:rsidR="006B3670" w:rsidRPr="00774395">
        <w:rPr>
          <w:rStyle w:val="text"/>
        </w:rPr>
        <w:t xml:space="preserve">observed </w:t>
      </w:r>
      <w:r w:rsidR="00037545" w:rsidRPr="00774395">
        <w:rPr>
          <w:rStyle w:val="text"/>
        </w:rPr>
        <w:t>for BCs from S, M, and NLR</w:t>
      </w:r>
      <w:r w:rsidR="007D30B7" w:rsidRPr="00774395">
        <w:rPr>
          <w:rStyle w:val="text"/>
        </w:rPr>
        <w:t xml:space="preserve"> </w:t>
      </w:r>
      <w:r w:rsidR="007D30B7" w:rsidRPr="00774395">
        <w:t>(</w:t>
      </w:r>
      <w:r w:rsidR="00F11E6B" w:rsidRPr="00774395">
        <w:t>Figure</w:t>
      </w:r>
      <w:r w:rsidR="00F11E6B" w:rsidRPr="00774395" w:rsidDel="00F11E6B">
        <w:t xml:space="preserve"> </w:t>
      </w:r>
      <w:r w:rsidR="00F11E6B" w:rsidRPr="00774395">
        <w:t>1</w:t>
      </w:r>
      <w:r w:rsidR="007D30B7" w:rsidRPr="00774395">
        <w:t>M-O)</w:t>
      </w:r>
      <w:r w:rsidR="00B1021F" w:rsidRPr="00774395">
        <w:rPr>
          <w:rStyle w:val="text"/>
        </w:rPr>
        <w:t xml:space="preserve">, while M exhibited a </w:t>
      </w:r>
      <w:r w:rsidR="005E4FEB" w:rsidRPr="00774395">
        <w:rPr>
          <w:rStyle w:val="text"/>
        </w:rPr>
        <w:t>high</w:t>
      </w:r>
      <w:r w:rsidR="00B1021F" w:rsidRPr="00774395">
        <w:rPr>
          <w:rStyle w:val="text"/>
        </w:rPr>
        <w:t xml:space="preserve"> content of Ca</w:t>
      </w:r>
      <w:r w:rsidR="007D30B7" w:rsidRPr="00774395">
        <w:rPr>
          <w:rStyle w:val="text"/>
        </w:rPr>
        <w:t xml:space="preserve"> </w:t>
      </w:r>
      <w:r w:rsidR="007D30B7" w:rsidRPr="00774395">
        <w:t>(</w:t>
      </w:r>
      <w:r w:rsidR="00F11E6B" w:rsidRPr="00774395">
        <w:t>Figure</w:t>
      </w:r>
      <w:r w:rsidR="00F11E6B" w:rsidRPr="00774395" w:rsidDel="00F11E6B">
        <w:t xml:space="preserve"> </w:t>
      </w:r>
      <w:r w:rsidR="00F11E6B" w:rsidRPr="00774395">
        <w:t>1</w:t>
      </w:r>
      <w:r w:rsidR="007D30B7" w:rsidRPr="00774395">
        <w:t>Q)</w:t>
      </w:r>
      <w:r w:rsidR="00B1021F" w:rsidRPr="00774395">
        <w:rPr>
          <w:rStyle w:val="text"/>
        </w:rPr>
        <w:t xml:space="preserve">. </w:t>
      </w:r>
      <w:r w:rsidR="005E4FEB" w:rsidRPr="00774395">
        <w:rPr>
          <w:rStyle w:val="text"/>
        </w:rPr>
        <w:t xml:space="preserve">Finally, </w:t>
      </w:r>
      <w:r w:rsidR="006B3670" w:rsidRPr="00774395">
        <w:rPr>
          <w:rStyle w:val="text"/>
        </w:rPr>
        <w:t xml:space="preserve">the </w:t>
      </w:r>
      <w:r w:rsidR="005E4FEB" w:rsidRPr="00774395">
        <w:rPr>
          <w:rStyle w:val="text"/>
        </w:rPr>
        <w:t xml:space="preserve">O/C molar ratio </w:t>
      </w:r>
      <w:r w:rsidR="007D30B7" w:rsidRPr="00774395">
        <w:t>(</w:t>
      </w:r>
      <w:r w:rsidR="00F11E6B" w:rsidRPr="00774395">
        <w:t>Figure</w:t>
      </w:r>
      <w:r w:rsidR="00F11E6B" w:rsidRPr="00774395" w:rsidDel="00F11E6B">
        <w:t xml:space="preserve"> </w:t>
      </w:r>
      <w:r w:rsidR="00F11E6B" w:rsidRPr="00774395">
        <w:t>1</w:t>
      </w:r>
      <w:r w:rsidR="007D30B7" w:rsidRPr="00774395">
        <w:t xml:space="preserve">T) </w:t>
      </w:r>
      <w:r w:rsidR="005E4FEB" w:rsidRPr="00774395">
        <w:rPr>
          <w:rStyle w:val="text"/>
        </w:rPr>
        <w:t xml:space="preserve">was </w:t>
      </w:r>
      <w:r w:rsidR="00E75C5A" w:rsidRPr="00774395">
        <w:rPr>
          <w:rStyle w:val="text"/>
        </w:rPr>
        <w:t>high</w:t>
      </w:r>
      <w:r w:rsidR="005E4FEB" w:rsidRPr="00774395">
        <w:rPr>
          <w:rStyle w:val="text"/>
        </w:rPr>
        <w:t>e</w:t>
      </w:r>
      <w:r w:rsidR="00E314C3" w:rsidRPr="00774395">
        <w:rPr>
          <w:rStyle w:val="text"/>
        </w:rPr>
        <w:t>r</w:t>
      </w:r>
      <w:r w:rsidR="005E4FEB" w:rsidRPr="00774395">
        <w:rPr>
          <w:rStyle w:val="text"/>
        </w:rPr>
        <w:t xml:space="preserve"> for S and M BCs,</w:t>
      </w:r>
      <w:r w:rsidR="00302057" w:rsidRPr="00774395">
        <w:rPr>
          <w:rStyle w:val="text"/>
        </w:rPr>
        <w:t xml:space="preserve"> suggesting a </w:t>
      </w:r>
      <w:r w:rsidR="00E75C5A" w:rsidRPr="00774395">
        <w:rPr>
          <w:rStyle w:val="text"/>
        </w:rPr>
        <w:t xml:space="preserve">higher </w:t>
      </w:r>
      <w:r w:rsidR="00302057" w:rsidRPr="00774395">
        <w:rPr>
          <w:rStyle w:val="text"/>
        </w:rPr>
        <w:t xml:space="preserve">polarity and presence of O-containing functionalities than </w:t>
      </w:r>
      <w:r w:rsidR="006B3670" w:rsidRPr="00774395">
        <w:rPr>
          <w:rStyle w:val="text"/>
        </w:rPr>
        <w:t xml:space="preserve">for </w:t>
      </w:r>
      <w:r w:rsidR="005E4FEB" w:rsidRPr="00774395">
        <w:rPr>
          <w:rStyle w:val="text"/>
        </w:rPr>
        <w:t>herbaceous (H) and W</w:t>
      </w:r>
      <w:r w:rsidR="00E23D34" w:rsidRPr="00774395">
        <w:rPr>
          <w:rStyle w:val="text"/>
        </w:rPr>
        <w:t xml:space="preserve"> </w:t>
      </w:r>
      <w:r w:rsidR="005E4FEB" w:rsidRPr="00774395">
        <w:rPr>
          <w:rStyle w:val="text"/>
        </w:rPr>
        <w:t>BCs.</w:t>
      </w:r>
      <w:r w:rsidR="001C0493" w:rsidRPr="00774395">
        <w:rPr>
          <w:rStyle w:val="text"/>
        </w:rPr>
        <w:t xml:space="preserve"> </w:t>
      </w:r>
      <w:r w:rsidR="00FC5B06" w:rsidRPr="00774395">
        <w:t xml:space="preserve">The cation exchange capacity (CEC) is the amount of exchangeable cations that </w:t>
      </w:r>
      <w:r w:rsidR="00FC5B06" w:rsidRPr="00774395">
        <w:lastRenderedPageBreak/>
        <w:t xml:space="preserve">BC is able of holding </w:t>
      </w:r>
      <w:r w:rsidR="00FC5B06" w:rsidRPr="00774395">
        <w:fldChar w:fldCharType="begin" w:fldLock="1"/>
      </w:r>
      <w:r w:rsidR="004309DE" w:rsidRPr="00774395">
        <w:instrText>ADDIN CSL_CITATION {"citationItems":[{"id":"ITEM-1","itemData":{"DOI":"10.1016/j.fuel.2017.12.054","ISSN":"0016-2361","abstract":"Biochar can be used in a large number of applications, ranging from heat and power production to soil amendment. The properties of carbonized biomass depend on the feedstock and the process conditions. Selection of suitable conditions to produce a char with the desired properties therefore requires knowledge of dependencies and influencing factors, both quantitatively and qualitatively. This paper reviews and summarizes the results from a large number of experiments on biochar production in order to give a general overview of the properties that can be achieved by feedstock selection and process design. Production processes include both torrefaction as well as slow pyrolysis at high temperatures. The data evaluation has shown that among all process conditions, the treatment temperature has by far the most dominant influence on all properties. Especially the rather narrow temperature range between 200 and 400 °C causes the most significant changes and is therefore very sensible to influences and possibly difficult to control.","author":[{"dropping-particle":"","family":"Weber","given":"Kathrin","non-dropping-particle":"","parse-names":false,"suffix":""},{"dropping-particle":"","family":"Quicker","given":"Peter","non-dropping-particle":"","parse-names":false,"suffix":""}],"container-title":"Fuel","id":"ITEM-1","issued":{"date-parts":[["2018","4","1"]]},"page":"240-261","publisher":"Elsevier","title":"Properties of biochar","type":"article-journal","volume":"217"},"uris":["http://www.mendeley.com/documents/?uuid=ee71f853-4d63-302b-a51c-5db0be933434"]}],"mendeley":{"formattedCitation":"[6]","plainTextFormattedCitation":"[6]","previouslyFormattedCitation":"[6]"},"properties":{"noteIndex":0},"schema":"https://github.com/citation-style-language/schema/raw/master/csl-citation.json"}</w:instrText>
      </w:r>
      <w:r w:rsidR="00FC5B06" w:rsidRPr="00774395">
        <w:fldChar w:fldCharType="separate"/>
      </w:r>
      <w:r w:rsidR="00346492" w:rsidRPr="00774395">
        <w:rPr>
          <w:noProof/>
        </w:rPr>
        <w:t>[6]</w:t>
      </w:r>
      <w:r w:rsidR="00FC5B06" w:rsidRPr="00774395">
        <w:fldChar w:fldCharType="end"/>
      </w:r>
      <w:r w:rsidR="00FC5B06" w:rsidRPr="00774395">
        <w:t>. Manure</w:t>
      </w:r>
      <w:r w:rsidR="00E75C5A" w:rsidRPr="00774395">
        <w:t>-</w:t>
      </w:r>
      <w:r w:rsidR="00FC5B06" w:rsidRPr="00774395">
        <w:t xml:space="preserve"> and sludge-</w:t>
      </w:r>
      <w:r w:rsidR="00E75C5A" w:rsidRPr="00774395">
        <w:t>derived</w:t>
      </w:r>
      <w:r w:rsidR="00FC5B06" w:rsidRPr="00774395">
        <w:t xml:space="preserve"> BCs have greater CEC compared to other BCs due to an increas</w:t>
      </w:r>
      <w:r w:rsidR="003B26B9" w:rsidRPr="00774395">
        <w:t>ed</w:t>
      </w:r>
      <w:r w:rsidR="00FC5B06" w:rsidRPr="00774395">
        <w:t xml:space="preserve"> ash content </w:t>
      </w:r>
      <w:r w:rsidR="00FC5B06" w:rsidRPr="00774395">
        <w:fldChar w:fldCharType="begin" w:fldLock="1"/>
      </w:r>
      <w:r w:rsidR="00520099">
        <w:instrText>ADDIN CSL_CITATION {"citationItems":[{"id":"ITEM-1","itemData":{"DOI":"10.1007/s42773-020-00067-x","ISSN":"2524-7867","abstract":"Various studies have established that feedstock choice, pyrolysis temperature, and pyrolysis type influence final biochar physicochemical characteristics. However, overarching analyses of pre-biochar creation choices and correlations to biochar characteristics are severely lacking. Thus, the objective of this work was to help researchers, biochar-stakeholders, and practitioners make more well-informed choices in terms of how these three major parameters influence the final biochar product. Utilizing approximately 5400 peer-reviewed journal articles and over 50,800 individual data points, herein we elucidate the selections that influence final biochar physical and chemical properties, total nutrient content, and perhaps more importantly tools one can use to predict biochar’s nutrient availability. Based on the large dataset collected, it appears that pyrolysis type (fast or slow) plays a minor role in biochar physico- (inorganic) chemical characteristics; few differences were evident between production styles. Pyrolysis temperature, however, affects biochar’s longevity, with pyrolysis temperatures &gt; 500 °C generally leading to longer-term (i.e., &gt; 1000 years) half-lives. Greater pyrolysis temperatures also led to biochars containing greater overall C and specific surface area (SSA), which could promote soil physico-chemical improvements. However, based on the collected data, it appears that feedstock selection has the largest influence on biochar properties. Specific surface area is greatest in wood-based biochars, which in combination with pyrolysis temperature could likely promote greater changes in soil physical characteristics over other feedstock-based biochars. Crop- and other grass-based biochars appear to have cation exchange capacities greater than other biochars, which in combination with pyrolysis temperature could potentially lead to longer-term changes in soil nutrient retention. The collected data also suggest that one can reasonably predict the availability of various biochar nutrients (e.g., N, P, K, Ca, Mg, Fe, and Cu) based on feedstock choice and total nutrient content. Results can be used to create designer biochars to help solve environmental issues and supply a variety of plant-available nutrients for crop growth.","author":[{"dropping-particle":"","family":"Ippolito","given":"James A.","non-dropping-particle":"","parse-names":false,"suffix":""},{"dropping-particle":"","family":"Cui","given":"Liqiang","non-dropping-particle":"","parse-names":false,"suffix":""},{"dropping-particle":"","family":"Kammann","given":"Claudia","non-dropping-particle":"","parse-names":false,"suffix":""},{"dropping-particle":"","family":"Wrage-Mönnig","given":"Nicole","non-dropping-particle":"","parse-names":false,"suffix":""},{"dropping-particle":"","family":"Estavillo","given":"Jose M.","non-dropping-particle":"","parse-names":false,"suffix":""},{"dropping-particle":"","family":"Fuertes-Mendizabal","given":"Teresa","non-dropping-particle":"","parse-names":false,"suffix":""},{"dropping-particle":"","family":"Cayuela","given":"Maria Luz","non-dropping-particle":"","parse-names":false,"suffix":""},{"dropping-particle":"","family":"Sigua","given":"Gilbert","non-dropping-particle":"","parse-names":false,"suffix":""},{"dropping-particle":"","family":"Novak","given":"Jeff","non-dropping-particle":"","parse-names":false,"suffix":""},{"dropping-particle":"","family":"Spokas","given":"Kurt","non-dropping-particle":"","parse-names":false,"suffix":""},{"dropping-particle":"","family":"Borchard","given":"Nils","non-dropping-particle":"","parse-names":false,"suffix":""}],"container-title":"Biochar 2020 2:4","id":"ITEM-1","issued":{"date-parts":[["2020","9","28"]]},"page":"421-438","publisher":"Springer","title":"Feedstock choice, pyrolysis temperature and type influence biochar characteristics: a comprehensive meta-data analysis review","type":"article-journal","volume":"2"},"uris":["http://www.mendeley.com/documents/?uuid=366772a5-41e4-3114-97ad-785f8f8d9d42"]}],"mendeley":{"formattedCitation":"[55]","plainTextFormattedCitation":"[55]","previouslyFormattedCitation":"[55]"},"properties":{"noteIndex":0},"schema":"https://github.com/citation-style-language/schema/raw/master/csl-citation.json"}</w:instrText>
      </w:r>
      <w:r w:rsidR="00FC5B06" w:rsidRPr="00774395">
        <w:fldChar w:fldCharType="separate"/>
      </w:r>
      <w:r w:rsidR="00830B48" w:rsidRPr="00830B48">
        <w:rPr>
          <w:noProof/>
        </w:rPr>
        <w:t>[55]</w:t>
      </w:r>
      <w:r w:rsidR="00FC5B06" w:rsidRPr="00774395">
        <w:fldChar w:fldCharType="end"/>
      </w:r>
      <w:r w:rsidR="00FC5B06" w:rsidRPr="00774395">
        <w:t xml:space="preserve">. </w:t>
      </w:r>
      <w:r w:rsidR="001C0493" w:rsidRPr="00774395">
        <w:rPr>
          <w:rStyle w:val="text"/>
        </w:rPr>
        <w:t>Unfortunately, differences between feedstock</w:t>
      </w:r>
      <w:r w:rsidR="00734F5D" w:rsidRPr="00774395">
        <w:rPr>
          <w:rStyle w:val="text"/>
        </w:rPr>
        <w:t xml:space="preserve">s </w:t>
      </w:r>
      <w:r w:rsidR="002C1813" w:rsidRPr="00774395">
        <w:rPr>
          <w:rStyle w:val="text"/>
        </w:rPr>
        <w:t>relative to</w:t>
      </w:r>
      <w:r w:rsidR="00734F5D" w:rsidRPr="00774395">
        <w:rPr>
          <w:rStyle w:val="text"/>
        </w:rPr>
        <w:t xml:space="preserve"> the</w:t>
      </w:r>
      <w:r w:rsidR="001C0493" w:rsidRPr="00774395">
        <w:rPr>
          <w:rStyle w:val="text"/>
        </w:rPr>
        <w:t xml:space="preserve"> </w:t>
      </w:r>
      <w:r w:rsidR="00533A6B" w:rsidRPr="00774395">
        <w:rPr>
          <w:rStyle w:val="text"/>
        </w:rPr>
        <w:t xml:space="preserve">other </w:t>
      </w:r>
      <w:r w:rsidR="00734F5D" w:rsidRPr="00774395">
        <w:rPr>
          <w:rStyle w:val="text"/>
        </w:rPr>
        <w:t xml:space="preserve">BC </w:t>
      </w:r>
      <w:r w:rsidR="00533A6B" w:rsidRPr="00774395">
        <w:rPr>
          <w:rStyle w:val="text"/>
        </w:rPr>
        <w:t>properties</w:t>
      </w:r>
      <w:r w:rsidR="001C0493" w:rsidRPr="00774395">
        <w:rPr>
          <w:rStyle w:val="text"/>
        </w:rPr>
        <w:t xml:space="preserve"> were not significant.</w:t>
      </w:r>
    </w:p>
    <w:p w14:paraId="77D03ADF" w14:textId="6B458CC2" w:rsidR="00D95F78" w:rsidRPr="00774395" w:rsidRDefault="0018082E" w:rsidP="00265A4E">
      <w:pPr>
        <w:jc w:val="both"/>
      </w:pPr>
      <w:r w:rsidRPr="00774395">
        <w:t>The variation of pyrolysis temperature also affects BC physi</w:t>
      </w:r>
      <w:r w:rsidR="00216A35" w:rsidRPr="00774395">
        <w:t>c</w:t>
      </w:r>
      <w:r w:rsidRPr="00774395">
        <w:t xml:space="preserve">o-chemical properties, as clearly shown in </w:t>
      </w:r>
      <w:r w:rsidR="00F11E6B" w:rsidRPr="00774395">
        <w:t>Figure 2</w:t>
      </w:r>
      <w:r w:rsidRPr="00774395">
        <w:t xml:space="preserve">. </w:t>
      </w:r>
      <w:r w:rsidR="00A548F7" w:rsidRPr="00774395">
        <w:t xml:space="preserve">The specific surface </w:t>
      </w:r>
      <w:r w:rsidR="00281C6F" w:rsidRPr="00774395">
        <w:t xml:space="preserve">area </w:t>
      </w:r>
      <w:r w:rsidR="002C1813" w:rsidRPr="00774395">
        <w:t>increased</w:t>
      </w:r>
      <w:r w:rsidR="00A548F7" w:rsidRPr="00774395">
        <w:t xml:space="preserve"> with pyrolysis temperature</w:t>
      </w:r>
      <w:r w:rsidR="006110BC" w:rsidRPr="00774395">
        <w:t xml:space="preserve"> (</w:t>
      </w:r>
      <w:r w:rsidR="00F11E6B" w:rsidRPr="00774395">
        <w:t>Figure</w:t>
      </w:r>
      <w:r w:rsidR="00F11E6B" w:rsidRPr="00774395" w:rsidDel="00F11E6B">
        <w:t xml:space="preserve"> </w:t>
      </w:r>
      <w:r w:rsidR="00F11E6B" w:rsidRPr="00774395">
        <w:t>2</w:t>
      </w:r>
      <w:r w:rsidR="006110BC" w:rsidRPr="00774395">
        <w:t>A)</w:t>
      </w:r>
      <w:r w:rsidR="00A548F7" w:rsidRPr="00774395">
        <w:t>.</w:t>
      </w:r>
      <w:r w:rsidR="006110BC" w:rsidRPr="00774395">
        <w:t xml:space="preserve"> </w:t>
      </w:r>
      <w:r w:rsidR="00810230" w:rsidRPr="00774395">
        <w:t xml:space="preserve">At low temperatures (up to 200 °C) the evaporation of moisture and light volatiles occurs with breakage of bonds; from 200 to 500 °C hemicellulose and cellulose </w:t>
      </w:r>
      <w:r w:rsidR="00E56DD5" w:rsidRPr="00774395">
        <w:t>devolatilize and decompose at fast</w:t>
      </w:r>
      <w:r w:rsidR="002C1813" w:rsidRPr="00774395">
        <w:t>er</w:t>
      </w:r>
      <w:r w:rsidR="00E56DD5" w:rsidRPr="00774395">
        <w:t xml:space="preserve"> rate; over 500 °C lignin and other organic matter with stronger chemical bonds tend to degrade </w:t>
      </w:r>
      <w:r w:rsidR="00E56DD5" w:rsidRPr="00774395">
        <w:fldChar w:fldCharType="begin" w:fldLock="1"/>
      </w:r>
      <w:r w:rsidR="00520099">
        <w:instrText>ADDIN CSL_CITATION {"citationItems":[{"id":"ITEM-1","itemData":{"DOI":"10.1007/s11157-020-09523-3","ISSN":"1572-9826","abstract":"Biochar is a pyrogenous, organic material synthesized through pyrolysis of different biomass (plant or animal waste). The potential biochar applications include: (1) pollution remediation due to high CEC and specific surface area; (2) soil fertility improvement on the way of liming effect, enrichment in volatile matter and increase of pore volume, (3) carbon sequestration due to carbon and ash content, etc. Biochar properties are affected by several technological parameters, mainly pyrolysis temperature and feedstock kind, which differentiation can lead to products with a wide range of values of pH, specific surface area, pore volume, CEC, volatile matter, ash and carbon content. High pyrolysis temperature promotes the production of biochar with a strongly developed specific surface area, high porosity, pH as well as content of ash and carbon, but with low values of CEC and content of volatile matter. This is most likely due to significant degree of organic matter decomposition. Biochars produced from animal litter and solid waste feedstocks exhibit lower surface areas, carbon content, volatile matter and high CEC compared to biochars produced from crop residue and wood biomass, even at higher pyrolysis temperatures. The reason for this difference is considerable variation in lignin and cellulose content as well as in moisture content of biomass. The physicochemical properties of biochar determine application of this biomaterial as an additive to improve soil quality. This review succinctly presents the impact of pyrolysis temperature and the type of biomass on the physicochemical characteristics of biochar and its impact on soil fertility.","author":[{"dropping-particle":"","family":"Tomczyk","given":"Agnieszka","non-dropping-particle":"","parse-names":false,"suffix":""},{"dropping-particle":"","family":"Sokołowska","given":"Zofia","non-dropping-particle":"","parse-names":false,"suffix":""},{"dropping-particle":"","family":"Boguta","given":"Patrycja","non-dropping-particle":"","parse-names":false,"suffix":""}],"container-title":"Reviews in Environmental Science and Biotechnology","id":"ITEM-1","issue":"1","issued":{"date-parts":[["2020","2","5"]]},"page":"191-215","publisher":"Springer","title":"Biochar physicochemical properties: pyrolysis temperature and feedstock kind effects","type":"article-journal","volume":"19"},"uris":["http://www.mendeley.com/documents/?uuid=7d8b6967-8b94-39ba-914e-1b74de2838e8"]}],"mendeley":{"formattedCitation":"[56]","plainTextFormattedCitation":"[56]","previouslyFormattedCitation":"[56]"},"properties":{"noteIndex":0},"schema":"https://github.com/citation-style-language/schema/raw/master/csl-citation.json"}</w:instrText>
      </w:r>
      <w:r w:rsidR="00E56DD5" w:rsidRPr="00774395">
        <w:fldChar w:fldCharType="separate"/>
      </w:r>
      <w:r w:rsidR="00830B48" w:rsidRPr="00830B48">
        <w:rPr>
          <w:noProof/>
        </w:rPr>
        <w:t>[56]</w:t>
      </w:r>
      <w:r w:rsidR="00E56DD5" w:rsidRPr="00774395">
        <w:fldChar w:fldCharType="end"/>
      </w:r>
      <w:r w:rsidR="00E56DD5" w:rsidRPr="00774395">
        <w:t xml:space="preserve">. </w:t>
      </w:r>
      <w:r w:rsidR="005F6E0D" w:rsidRPr="00774395">
        <w:t xml:space="preserve">The progressive release of gas, water, micro-organic compounds during pyrolysis can create more voids within </w:t>
      </w:r>
      <w:r w:rsidR="002C1813" w:rsidRPr="00774395">
        <w:t xml:space="preserve">the </w:t>
      </w:r>
      <w:r w:rsidR="005F6E0D" w:rsidRPr="00774395">
        <w:t xml:space="preserve">BC matrix </w:t>
      </w:r>
      <w:r w:rsidR="005F6E0D" w:rsidRPr="00774395">
        <w:fldChar w:fldCharType="begin" w:fldLock="1"/>
      </w:r>
      <w:r w:rsidR="00520099">
        <w:instrText>ADDIN CSL_CITATION {"citationItems":[{"id":"ITEM-1","itemData":{"DOI":"10.1007/s11157-020-09523-3","ISSN":"1572-9826","abstract":"Biochar is a pyrogenous, organic material synthesized through pyrolysis of different biomass (plant or animal waste). The potential biochar applications include: (1) pollution remediation due to high CEC and specific surface area; (2) soil fertility improvement on the way of liming effect, enrichment in volatile matter and increase of pore volume, (3) carbon sequestration due to carbon and ash content, etc. Biochar properties are affected by several technological parameters, mainly pyrolysis temperature and feedstock kind, which differentiation can lead to products with a wide range of values of pH, specific surface area, pore volume, CEC, volatile matter, ash and carbon content. High pyrolysis temperature promotes the production of biochar with a strongly developed specific surface area, high porosity, pH as well as content of ash and carbon, but with low values of CEC and content of volatile matter. This is most likely due to significant degree of organic matter decomposition. Biochars produced from animal litter and solid waste feedstocks exhibit lower surface areas, carbon content, volatile matter and high CEC compared to biochars produced from crop residue and wood biomass, even at higher pyrolysis temperatures. The reason for this difference is considerable variation in lignin and cellulose content as well as in moisture content of biomass. The physicochemical properties of biochar determine application of this biomaterial as an additive to improve soil quality. This review succinctly presents the impact of pyrolysis temperature and the type of biomass on the physicochemical characteristics of biochar and its impact on soil fertility.","author":[{"dropping-particle":"","family":"Tomczyk","given":"Agnieszka","non-dropping-particle":"","parse-names":false,"suffix":""},{"dropping-particle":"","family":"Sokołowska","given":"Zofia","non-dropping-particle":"","parse-names":false,"suffix":""},{"dropping-particle":"","family":"Boguta","given":"Patrycja","non-dropping-particle":"","parse-names":false,"suffix":""}],"container-title":"Reviews in Environmental Science and Biotechnology","id":"ITEM-1","issue":"1","issued":{"date-parts":[["2020","2","5"]]},"page":"191-215","publisher":"Springer","title":"Biochar physicochemical properties: pyrolysis temperature and feedstock kind effects","type":"article-journal","volume":"19"},"uris":["http://www.mendeley.com/documents/?uuid=7d8b6967-8b94-39ba-914e-1b74de2838e8"]}],"mendeley":{"formattedCitation":"[56]","plainTextFormattedCitation":"[56]","previouslyFormattedCitation":"[56]"},"properties":{"noteIndex":0},"schema":"https://github.com/citation-style-language/schema/raw/master/csl-citation.json"}</w:instrText>
      </w:r>
      <w:r w:rsidR="005F6E0D" w:rsidRPr="00774395">
        <w:fldChar w:fldCharType="separate"/>
      </w:r>
      <w:r w:rsidR="00830B48" w:rsidRPr="00830B48">
        <w:rPr>
          <w:noProof/>
        </w:rPr>
        <w:t>[56]</w:t>
      </w:r>
      <w:r w:rsidR="005F6E0D" w:rsidRPr="00774395">
        <w:fldChar w:fldCharType="end"/>
      </w:r>
      <w:r w:rsidR="005F6E0D" w:rsidRPr="00774395">
        <w:t>.</w:t>
      </w:r>
    </w:p>
    <w:p w14:paraId="002AC4F5" w14:textId="6464257E" w:rsidR="00A81F08" w:rsidRPr="00774395" w:rsidRDefault="006110BC" w:rsidP="00265A4E">
      <w:pPr>
        <w:jc w:val="both"/>
      </w:pPr>
      <w:r w:rsidRPr="00774395">
        <w:t xml:space="preserve">A rising </w:t>
      </w:r>
      <w:r w:rsidR="002C1813" w:rsidRPr="00774395">
        <w:t xml:space="preserve">processing </w:t>
      </w:r>
      <w:r w:rsidRPr="00774395">
        <w:t xml:space="preserve">temperature increased </w:t>
      </w:r>
      <w:r w:rsidR="002C1813" w:rsidRPr="00774395">
        <w:t xml:space="preserve">the </w:t>
      </w:r>
      <w:r w:rsidRPr="00774395">
        <w:t>pH (</w:t>
      </w:r>
      <w:r w:rsidR="00F11E6B" w:rsidRPr="00774395">
        <w:t>Figure</w:t>
      </w:r>
      <w:r w:rsidR="00F11E6B" w:rsidRPr="00774395" w:rsidDel="00F11E6B">
        <w:t xml:space="preserve"> </w:t>
      </w:r>
      <w:r w:rsidR="00F11E6B" w:rsidRPr="00774395">
        <w:t>2</w:t>
      </w:r>
      <w:r w:rsidRPr="00774395">
        <w:t>D)</w:t>
      </w:r>
      <w:r w:rsidR="00001F80" w:rsidRPr="00774395">
        <w:t xml:space="preserve">, </w:t>
      </w:r>
      <w:r w:rsidR="002D31E7" w:rsidRPr="00774395">
        <w:t xml:space="preserve">likely </w:t>
      </w:r>
      <w:r w:rsidR="00001F80" w:rsidRPr="00774395">
        <w:t xml:space="preserve">due to the release of </w:t>
      </w:r>
      <w:r w:rsidR="002D31E7" w:rsidRPr="00774395">
        <w:t xml:space="preserve">acidic </w:t>
      </w:r>
      <w:r w:rsidR="00001F80" w:rsidRPr="00774395">
        <w:t>functional groups as carboxyl, hydroxyl, or formyl groups</w:t>
      </w:r>
      <w:r w:rsidR="002D31E7" w:rsidRPr="00774395">
        <w:t xml:space="preserve"> </w:t>
      </w:r>
      <w:r w:rsidR="00001F80" w:rsidRPr="00774395">
        <w:fldChar w:fldCharType="begin" w:fldLock="1"/>
      </w:r>
      <w:r w:rsidR="004309DE" w:rsidRPr="00774395">
        <w:instrText>ADDIN CSL_CITATION {"citationItems":[{"id":"ITEM-1","itemData":{"DOI":"10.1016/j.fuel.2017.12.054","ISSN":"0016-2361","abstract":"Biochar can be used in a large number of applications, ranging from heat and power production to soil amendment. The properties of carbonized biomass depend on the feedstock and the process conditions. Selection of suitable conditions to produce a char with the desired properties therefore requires knowledge of dependencies and influencing factors, both quantitatively and qualitatively. This paper reviews and summarizes the results from a large number of experiments on biochar production in order to give a general overview of the properties that can be achieved by feedstock selection and process design. Production processes include both torrefaction as well as slow pyrolysis at high temperatures. The data evaluation has shown that among all process conditions, the treatment temperature has by far the most dominant influence on all properties. Especially the rather narrow temperature range between 200 and 400 °C causes the most significant changes and is therefore very sensible to influences and possibly difficult to control.","author":[{"dropping-particle":"","family":"Weber","given":"Kathrin","non-dropping-particle":"","parse-names":false,"suffix":""},{"dropping-particle":"","family":"Quicker","given":"Peter","non-dropping-particle":"","parse-names":false,"suffix":""}],"container-title":"Fuel","id":"ITEM-1","issued":{"date-parts":[["2018","4","1"]]},"page":"240-261","publisher":"Elsevier","title":"Properties of biochar","type":"article-journal","volume":"217"},"uris":["http://www.mendeley.com/documents/?uuid=ee71f853-4d63-302b-a51c-5db0be933434"]}],"mendeley":{"formattedCitation":"[6]","plainTextFormattedCitation":"[6]","previouslyFormattedCitation":"[6]"},"properties":{"noteIndex":0},"schema":"https://github.com/citation-style-language/schema/raw/master/csl-citation.json"}</w:instrText>
      </w:r>
      <w:r w:rsidR="00001F80" w:rsidRPr="00774395">
        <w:fldChar w:fldCharType="separate"/>
      </w:r>
      <w:r w:rsidR="00346492" w:rsidRPr="00774395">
        <w:rPr>
          <w:noProof/>
        </w:rPr>
        <w:t>[6]</w:t>
      </w:r>
      <w:r w:rsidR="00001F80" w:rsidRPr="00774395">
        <w:fldChar w:fldCharType="end"/>
      </w:r>
      <w:r w:rsidR="002D31E7" w:rsidRPr="00774395">
        <w:t xml:space="preserve"> and the formation of Ca-, Mg-, Na-, and K-bearing oxide, hydroxide, and carbonate</w:t>
      </w:r>
      <w:r w:rsidRPr="00774395">
        <w:t xml:space="preserve"> </w:t>
      </w:r>
      <w:r w:rsidR="002D31E7" w:rsidRPr="00774395">
        <w:t xml:space="preserve">phases </w:t>
      </w:r>
      <w:r w:rsidR="002D31E7" w:rsidRPr="00774395">
        <w:fldChar w:fldCharType="begin" w:fldLock="1"/>
      </w:r>
      <w:r w:rsidR="00520099">
        <w:instrText>ADDIN CSL_CITATION {"citationItems":[{"id":"ITEM-1","itemData":{"DOI":"10.1007/s42773-020-00067-x","ISSN":"2524-7867","abstract":"Various studies have established that feedstock choice, pyrolysis temperature, and pyrolysis type influence final biochar physicochemical characteristics. However, overarching analyses of pre-biochar creation choices and correlations to biochar characteristics are severely lacking. Thus, the objective of this work was to help researchers, biochar-stakeholders, and practitioners make more well-informed choices in terms of how these three major parameters influence the final biochar product. Utilizing approximately 5400 peer-reviewed journal articles and over 50,800 individual data points, herein we elucidate the selections that influence final biochar physical and chemical properties, total nutrient content, and perhaps more importantly tools one can use to predict biochar’s nutrient availability. Based on the large dataset collected, it appears that pyrolysis type (fast or slow) plays a minor role in biochar physico- (inorganic) chemical characteristics; few differences were evident between production styles. Pyrolysis temperature, however, affects biochar’s longevity, with pyrolysis temperatures &gt; 500 °C generally leading to longer-term (i.e., &gt; 1000 years) half-lives. Greater pyrolysis temperatures also led to biochars containing greater overall C and specific surface area (SSA), which could promote soil physico-chemical improvements. However, based on the collected data, it appears that feedstock selection has the largest influence on biochar properties. Specific surface area is greatest in wood-based biochars, which in combination with pyrolysis temperature could likely promote greater changes in soil physical characteristics over other feedstock-based biochars. Crop- and other grass-based biochars appear to have cation exchange capacities greater than other biochars, which in combination with pyrolysis temperature could potentially lead to longer-term changes in soil nutrient retention. The collected data also suggest that one can reasonably predict the availability of various biochar nutrients (e.g., N, P, K, Ca, Mg, Fe, and Cu) based on feedstock choice and total nutrient content. Results can be used to create designer biochars to help solve environmental issues and supply a variety of plant-available nutrients for crop growth.","author":[{"dropping-particle":"","family":"Ippolito","given":"James A.","non-dropping-particle":"","parse-names":false,"suffix":""},{"dropping-particle":"","family":"Cui","given":"Liqiang","non-dropping-particle":"","parse-names":false,"suffix":""},{"dropping-particle":"","family":"Kammann","given":"Claudia","non-dropping-particle":"","parse-names":false,"suffix":""},{"dropping-particle":"","family":"Wrage-Mönnig","given":"Nicole","non-dropping-particle":"","parse-names":false,"suffix":""},{"dropping-particle":"","family":"Estavillo","given":"Jose M.","non-dropping-particle":"","parse-names":false,"suffix":""},{"dropping-particle":"","family":"Fuertes-Mendizabal","given":"Teresa","non-dropping-particle":"","parse-names":false,"suffix":""},{"dropping-particle":"","family":"Cayuela","given":"Maria Luz","non-dropping-particle":"","parse-names":false,"suffix":""},{"dropping-particle":"","family":"Sigua","given":"Gilbert","non-dropping-particle":"","parse-names":false,"suffix":""},{"dropping-particle":"","family":"Novak","given":"Jeff","non-dropping-particle":"","parse-names":false,"suffix":""},{"dropping-particle":"","family":"Spokas","given":"Kurt","non-dropping-particle":"","parse-names":false,"suffix":""},{"dropping-particle":"","family":"Borchard","given":"Nils","non-dropping-particle":"","parse-names":false,"suffix":""}],"container-title":"Biochar 2020 2:4","id":"ITEM-1","issued":{"date-parts":[["2020","9","28"]]},"page":"421-438","publisher":"Springer","title":"Feedstock choice, pyrolysis temperature and type influence biochar characteristics: a comprehensive meta-data analysis review","type":"article-journal","volume":"2"},"uris":["http://www.mendeley.com/documents/?uuid=366772a5-41e4-3114-97ad-785f8f8d9d42"]}],"mendeley":{"formattedCitation":"[55]","plainTextFormattedCitation":"[55]","previouslyFormattedCitation":"[55]"},"properties":{"noteIndex":0},"schema":"https://github.com/citation-style-language/schema/raw/master/csl-citation.json"}</w:instrText>
      </w:r>
      <w:r w:rsidR="002D31E7" w:rsidRPr="00774395">
        <w:fldChar w:fldCharType="separate"/>
      </w:r>
      <w:r w:rsidR="00830B48" w:rsidRPr="00830B48">
        <w:rPr>
          <w:noProof/>
        </w:rPr>
        <w:t>[55]</w:t>
      </w:r>
      <w:r w:rsidR="002D31E7" w:rsidRPr="00774395">
        <w:fldChar w:fldCharType="end"/>
      </w:r>
      <w:r w:rsidR="0082256B" w:rsidRPr="00774395">
        <w:t xml:space="preserve">, </w:t>
      </w:r>
      <w:r w:rsidRPr="00774395">
        <w:t>and decreased</w:t>
      </w:r>
      <w:r w:rsidR="002C1813" w:rsidRPr="00774395">
        <w:t xml:space="preserve"> the</w:t>
      </w:r>
      <w:r w:rsidRPr="00774395">
        <w:t xml:space="preserve"> volatile matter (VM) (</w:t>
      </w:r>
      <w:r w:rsidR="00F11E6B" w:rsidRPr="00774395">
        <w:t>Figure</w:t>
      </w:r>
      <w:r w:rsidR="00F11E6B" w:rsidRPr="00774395" w:rsidDel="00F11E6B">
        <w:t xml:space="preserve"> </w:t>
      </w:r>
      <w:r w:rsidR="00F11E6B" w:rsidRPr="00774395">
        <w:t>2</w:t>
      </w:r>
      <w:r w:rsidRPr="00774395">
        <w:t xml:space="preserve">F). </w:t>
      </w:r>
      <w:r w:rsidR="00595949" w:rsidRPr="00774395">
        <w:t xml:space="preserve">Since elements as H, O, N tend to volatilize with </w:t>
      </w:r>
      <w:r w:rsidR="002C1813" w:rsidRPr="00774395">
        <w:t>increasing</w:t>
      </w:r>
      <w:r w:rsidR="00595949" w:rsidRPr="00774395">
        <w:t xml:space="preserve"> temperatures (</w:t>
      </w:r>
      <w:r w:rsidR="00F11E6B" w:rsidRPr="00774395">
        <w:t>Figure</w:t>
      </w:r>
      <w:r w:rsidR="00F11E6B" w:rsidRPr="00774395" w:rsidDel="00F11E6B">
        <w:t xml:space="preserve"> </w:t>
      </w:r>
      <w:r w:rsidR="00F11E6B" w:rsidRPr="00774395">
        <w:t>2</w:t>
      </w:r>
      <w:r w:rsidR="00595949" w:rsidRPr="00774395">
        <w:t xml:space="preserve">I-L-M), </w:t>
      </w:r>
      <w:r w:rsidR="002C1813" w:rsidRPr="00774395">
        <w:t xml:space="preserve">the </w:t>
      </w:r>
      <w:r w:rsidR="00446D9A" w:rsidRPr="00774395">
        <w:t xml:space="preserve">contents of FC and C </w:t>
      </w:r>
      <w:r w:rsidR="001E086C" w:rsidRPr="00774395">
        <w:t>concentrated significantly</w:t>
      </w:r>
      <w:r w:rsidR="00EF61B3" w:rsidRPr="00774395">
        <w:t xml:space="preserve"> within </w:t>
      </w:r>
      <w:r w:rsidR="002C1813" w:rsidRPr="00774395">
        <w:t xml:space="preserve">the </w:t>
      </w:r>
      <w:r w:rsidR="00EF61B3" w:rsidRPr="00774395">
        <w:t>BCs</w:t>
      </w:r>
      <w:r w:rsidR="00446D9A" w:rsidRPr="00774395">
        <w:t xml:space="preserve"> (</w:t>
      </w:r>
      <w:r w:rsidR="00F11E6B" w:rsidRPr="00774395">
        <w:t>Figure</w:t>
      </w:r>
      <w:r w:rsidR="00F11E6B" w:rsidRPr="00774395" w:rsidDel="00F11E6B">
        <w:t xml:space="preserve"> </w:t>
      </w:r>
      <w:r w:rsidR="00F11E6B" w:rsidRPr="00774395">
        <w:t>2</w:t>
      </w:r>
      <w:r w:rsidR="00446D9A" w:rsidRPr="00774395">
        <w:t>G-H).</w:t>
      </w:r>
      <w:r w:rsidR="00323B9B" w:rsidRPr="00774395">
        <w:t xml:space="preserve"> Both H/C and O/C molar ratios </w:t>
      </w:r>
      <w:r w:rsidR="001E086C" w:rsidRPr="00774395">
        <w:t xml:space="preserve">were reduced significantly by an increased </w:t>
      </w:r>
      <w:r w:rsidR="002C1813" w:rsidRPr="00774395">
        <w:t xml:space="preserve">pyrolysis </w:t>
      </w:r>
      <w:r w:rsidR="001E086C" w:rsidRPr="00774395">
        <w:t xml:space="preserve">temperature </w:t>
      </w:r>
      <w:r w:rsidR="00EF61B3" w:rsidRPr="00774395">
        <w:t>(</w:t>
      </w:r>
      <w:r w:rsidR="00F11E6B" w:rsidRPr="00774395">
        <w:t>Figure</w:t>
      </w:r>
      <w:r w:rsidR="00F11E6B" w:rsidRPr="00774395" w:rsidDel="00F11E6B">
        <w:t xml:space="preserve"> </w:t>
      </w:r>
      <w:r w:rsidR="00F11E6B" w:rsidRPr="00774395">
        <w:t>2</w:t>
      </w:r>
      <w:r w:rsidR="00EF61B3" w:rsidRPr="00774395">
        <w:t>S-T)</w:t>
      </w:r>
      <w:r w:rsidR="001E086C" w:rsidRPr="00774395">
        <w:t xml:space="preserve">. </w:t>
      </w:r>
      <w:r w:rsidR="00FD50B3" w:rsidRPr="00774395">
        <w:t xml:space="preserve">BCs produced at low temperatures are mostly </w:t>
      </w:r>
      <w:r w:rsidR="00E93B9C" w:rsidRPr="00774395">
        <w:t xml:space="preserve">polar and </w:t>
      </w:r>
      <w:r w:rsidR="00FD50B3" w:rsidRPr="00774395">
        <w:t xml:space="preserve">hydrophilic due to the abundance of oxygen-containing functional groups; BCs </w:t>
      </w:r>
      <w:r w:rsidR="002C1813" w:rsidRPr="00774395">
        <w:t>pro</w:t>
      </w:r>
      <w:r w:rsidR="009443A2" w:rsidRPr="00774395">
        <w:t>d</w:t>
      </w:r>
      <w:r w:rsidR="002C1813" w:rsidRPr="00774395">
        <w:t>uced</w:t>
      </w:r>
      <w:r w:rsidR="00FD50B3" w:rsidRPr="00774395">
        <w:t xml:space="preserve"> at high temperatures contain less functional groups and more aromatic structures, with hydrophobic functional groups and </w:t>
      </w:r>
      <w:r w:rsidR="00E93B9C" w:rsidRPr="00774395">
        <w:t xml:space="preserve">a </w:t>
      </w:r>
      <w:r w:rsidR="00FD50B3" w:rsidRPr="00774395">
        <w:t>higher stability</w:t>
      </w:r>
      <w:r w:rsidR="00E93B9C" w:rsidRPr="00774395">
        <w:t xml:space="preserve"> </w:t>
      </w:r>
      <w:r w:rsidR="00E93B9C" w:rsidRPr="00774395">
        <w:fldChar w:fldCharType="begin" w:fldLock="1"/>
      </w:r>
      <w:r w:rsidR="00520099">
        <w:instrText>ADDIN CSL_CITATION {"citationItems":[{"id":"ITEM-1","itemData":{"DOI":"10.1016/j.scitotenv.2020.140714","ISSN":"0048-9697","abstract":"Biochar is a porous, amorphous, stable, and low-density carbon material derived from the carbonization of various biological residues. Biochars have multifunctional properties that make them promising adsorbents for the remediation of organic and inorganic contaminants from soil and water. High temperature treatment (HTT) and the properties of feedstocks are key factors influencing the properties of biochars. Feedstocks have distinctive physicochemical properties due to variations in elemental and structural composition, and they respond heterogeneously to specific pyrolysis conditions. The criteria for the selection of feedstocks and pyrolysis conditions for designing biochars for specific sorption properties are inadequately understood. We evaluated the influence of pyrolysis temperature on a wide range of feedstocks to investigate their effects on biochar properties. With increasing HTT, biochar pH, surface area, pore size, ash content, hydrophobicity and O/C vs. H/C (ratios that denote stability) increased, whereas, hydrophilicity, yield of biochar, O/C, and H/C decreased. Discriminant analysis of data from 533 published datasets revealed that biochar derived from hardwood (HBC) and softwood generally have greater surface area and carbon content, but lower content of oxygen and mineral constituents, than manure- (MBC) and grass-derived biochars (GBC). GBC and MBC have abundant oxygen-containing functional groups than SBC and HBC. The sequence of stability and aromaticity of feedstocks was MBC &lt; GBC &lt; SBC &lt; HBC. Therefore, SBC and HBC are suitable for sorption of hydrophobic molecules. Biochars produced from low HTT are suitable for removal of ionic contaminants, whereas those produced at high HTT are suitable for removal of organic contaminants. The influences of biochar properties on sorption performance of heavy metals and organic contaminants are critically reviewed.","author":[{"dropping-particle":"","family":"Hassan","given":"Masud","non-dropping-particle":"","parse-names":false,"suffix":""},{"dropping-particle":"","family":"Liu","given":"Yanju","non-dropping-particle":"","parse-names":false,"suffix":""},{"dropping-particle":"","family":"Naidu","given":"Ravi","non-dropping-particle":"","parse-names":false,"suffix":""},{"dropping-particle":"","family":"Parikh","given":"Sanjai J.","non-dropping-particle":"","parse-names":false,"suffix":""},{"dropping-particle":"","family":"Du","given":"Jianhua","non-dropping-particle":"","parse-names":false,"suffix":""},{"dropping-particle":"","family":"Qi","given":"Fangjie","non-dropping-particle":"","parse-names":false,"suffix":""},{"dropping-particle":"","family":"Willett","given":"Ian R.","non-dropping-particle":"","parse-names":false,"suffix":""}],"container-title":"Science of The Total Environment","id":"ITEM-1","issued":{"date-parts":[["2020","11","20"]]},"page":"140714","publisher":"Elsevier","title":"Influences of feedstock sources and pyrolysis temperature on the properties of biochar and functionality as adsorbents: A meta-analysis","type":"article-journal","volume":"744"},"uris":["http://www.mendeley.com/documents/?uuid=6fc1a0ff-4ec6-3b21-ab04-008f28263a25"]},{"id":"ITEM-2","itemData":{"DOI":"10.1016/j.rser.2017.05.057","ISSN":"1364-0321","abstract":"Pyrolysis is one of the most promising technologies for the conversion of biomass into high-value products such as bio-oil, syngas, and biochar in the absence of oxygen. High yield biochar can be produced through torrefaction or slow pyrolysis. The efficiency of biochar production from biomass is highly dependent on the pyrolysis temperature, heating rate, type and composition of feedstock, particle size, and reactor conditions. Application of biochar to agriculture may have a significant effect on reducing global warming through the reduction of greenhouse gas (GHG) emissions and the sequestering of atmospheric carbon into soil. At the same time, biochar can help improve soil health and fertility, and enhance agricultural production. Livestock manure, along with waste-feed residues and bedding materials, is a potential source of biochar. This waste emits significant amounts of GHGs adding to global warming and threatening the environment in other ways. The environmental challenges caused by agricultural and animal-waste disposal can be reduced by recycling the waste using pyrolysis, into biochar, energy, and value-added products. Biochar can act as a sorbent for organic and inorganic contaminants and can efficiently remove these materials from affected waters. Contaminant removal is mainly based on the presence of functional groups and charges on the surface of the biochar. Thus, biochar can help to improve food security by contributing to sustainable production systems and maintaining an eco-friendly environment. This review details the principles and concepts involved in biochar production, the factors that affect biochar quality, as well as the applications of biochar.","author":[{"dropping-particle":"","family":"Qambrani","given":"Naveed Ahmed","non-dropping-particle":"","parse-names":false,"suffix":""},{"dropping-particle":"","family":"Rahman","given":"Md Mukhlesur","non-dropping-particle":"","parse-names":false,"suffix":""},{"dropping-particle":"","family":"Won","given":"Seunggun","non-dropping-particle":"","parse-names":false,"suffix":""},{"dropping-particle":"","family":"Shim","given":"Soomin","non-dropping-particle":"","parse-names":false,"suffix":""},{"dropping-particle":"","family":"Ra","given":"Changsix","non-dropping-particle":"","parse-names":false,"suffix":""}],"container-title":"Renewable and Sustainable Energy Reviews","id":"ITEM-2","issued":{"date-parts":[["2017","11","1"]]},"page":"255-273","title":"Biochar properties and eco-friendly applications for climate change mitigation, waste management, and wastewater treatment: A review","type":"article-journal","volume":"79"},"uris":["http://www.mendeley.com/documents/?uuid=3b85dcc4-5224-3d6a-81b7-b0d5cc3cd57a"]}],"mendeley":{"formattedCitation":"[5,57]","plainTextFormattedCitation":"[5,57]","previouslyFormattedCitation":"[5,57]"},"properties":{"noteIndex":0},"schema":"https://github.com/citation-style-language/schema/raw/master/csl-citation.json"}</w:instrText>
      </w:r>
      <w:r w:rsidR="00E93B9C" w:rsidRPr="00774395">
        <w:fldChar w:fldCharType="separate"/>
      </w:r>
      <w:r w:rsidR="00830B48" w:rsidRPr="00830B48">
        <w:rPr>
          <w:noProof/>
        </w:rPr>
        <w:t>[5,57]</w:t>
      </w:r>
      <w:r w:rsidR="00E93B9C" w:rsidRPr="00774395">
        <w:fldChar w:fldCharType="end"/>
      </w:r>
      <w:r w:rsidR="00FD50B3" w:rsidRPr="00774395">
        <w:t xml:space="preserve">. </w:t>
      </w:r>
      <w:r w:rsidR="00282F0D" w:rsidRPr="00774395">
        <w:t>CEC of BCs</w:t>
      </w:r>
      <w:r w:rsidR="00316ABA" w:rsidRPr="00774395">
        <w:t xml:space="preserve"> </w:t>
      </w:r>
      <w:r w:rsidR="00282F0D" w:rsidRPr="00774395">
        <w:t xml:space="preserve">tends to decrease with rising temperatures due to the removal of surface functional groups providing negative charges </w:t>
      </w:r>
      <w:r w:rsidR="00282F0D" w:rsidRPr="00774395">
        <w:fldChar w:fldCharType="begin" w:fldLock="1"/>
      </w:r>
      <w:r w:rsidR="00520099">
        <w:instrText>ADDIN CSL_CITATION {"citationItems":[{"id":"ITEM-1","itemData":{"DOI":"10.1007/s11157-020-09523-3","ISSN":"1572-9826","abstract":"Biochar is a pyrogenous, organic material synthesized through pyrolysis of different biomass (plant or animal waste). The potential biochar applications include: (1) pollution remediation due to high CEC and specific surface area; (2) soil fertility improvement on the way of liming effect, enrichment in volatile matter and increase of pore volume, (3) carbon sequestration due to carbon and ash content, etc. Biochar properties are affected by several technological parameters, mainly pyrolysis temperature and feedstock kind, which differentiation can lead to products with a wide range of values of pH, specific surface area, pore volume, CEC, volatile matter, ash and carbon content. High pyrolysis temperature promotes the production of biochar with a strongly developed specific surface area, high porosity, pH as well as content of ash and carbon, but with low values of CEC and content of volatile matter. This is most likely due to significant degree of organic matter decomposition. Biochars produced from animal litter and solid waste feedstocks exhibit lower surface areas, carbon content, volatile matter and high CEC compared to biochars produced from crop residue and wood biomass, even at higher pyrolysis temperatures. The reason for this difference is considerable variation in lignin and cellulose content as well as in moisture content of biomass. The physicochemical properties of biochar determine application of this biomaterial as an additive to improve soil quality. This review succinctly presents the impact of pyrolysis temperature and the type of biomass on the physicochemical characteristics of biochar and its impact on soil fertility.","author":[{"dropping-particle":"","family":"Tomczyk","given":"Agnieszka","non-dropping-particle":"","parse-names":false,"suffix":""},{"dropping-particle":"","family":"Sokołowska","given":"Zofia","non-dropping-particle":"","parse-names":false,"suffix":""},{"dropping-particle":"","family":"Boguta","given":"Patrycja","non-dropping-particle":"","parse-names":false,"suffix":""}],"container-title":"Reviews in Environmental Science and Biotechnology","id":"ITEM-1","issue":"1","issued":{"date-parts":[["2020","2","5"]]},"page":"191-215","publisher":"Springer","title":"Biochar physicochemical properties: pyrolysis temperature and feedstock kind effects","type":"article-journal","volume":"19"},"uris":["http://www.mendeley.com/documents/?uuid=7d8b6967-8b94-39ba-914e-1b74de2838e8"]}],"mendeley":{"formattedCitation":"[56]","plainTextFormattedCitation":"[56]","previouslyFormattedCitation":"[56]"},"properties":{"noteIndex":0},"schema":"https://github.com/citation-style-language/schema/raw/master/csl-citation.json"}</w:instrText>
      </w:r>
      <w:r w:rsidR="00282F0D" w:rsidRPr="00774395">
        <w:fldChar w:fldCharType="separate"/>
      </w:r>
      <w:r w:rsidR="00830B48" w:rsidRPr="00830B48">
        <w:rPr>
          <w:noProof/>
        </w:rPr>
        <w:t>[56]</w:t>
      </w:r>
      <w:r w:rsidR="00282F0D" w:rsidRPr="00774395">
        <w:fldChar w:fldCharType="end"/>
      </w:r>
      <w:r w:rsidR="00282F0D" w:rsidRPr="00774395">
        <w:t xml:space="preserve">. </w:t>
      </w:r>
    </w:p>
    <w:p w14:paraId="76A95853" w14:textId="77777777" w:rsidR="005342A3" w:rsidRPr="00774395" w:rsidRDefault="005342A3" w:rsidP="00265A4E">
      <w:pPr>
        <w:jc w:val="both"/>
      </w:pPr>
    </w:p>
    <w:p w14:paraId="7032D776" w14:textId="77777777" w:rsidR="00561385" w:rsidRPr="00774395" w:rsidRDefault="007C56EA" w:rsidP="002E6585">
      <w:pPr>
        <w:jc w:val="center"/>
      </w:pPr>
      <w:r w:rsidRPr="00774395">
        <w:rPr>
          <w:noProof/>
        </w:rPr>
        <w:lastRenderedPageBreak/>
        <w:drawing>
          <wp:inline distT="0" distB="0" distL="0" distR="0" wp14:anchorId="38289BD5" wp14:editId="051E32BE">
            <wp:extent cx="5410200" cy="7577197"/>
            <wp:effectExtent l="0" t="0" r="0" b="508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39860" cy="7618737"/>
                    </a:xfrm>
                    <a:prstGeom prst="rect">
                      <a:avLst/>
                    </a:prstGeom>
                    <a:noFill/>
                    <a:ln>
                      <a:noFill/>
                    </a:ln>
                  </pic:spPr>
                </pic:pic>
              </a:graphicData>
            </a:graphic>
          </wp:inline>
        </w:drawing>
      </w:r>
    </w:p>
    <w:p w14:paraId="0CCB8BEC" w14:textId="22C9FB44" w:rsidR="00CE71DD" w:rsidRPr="00774395" w:rsidRDefault="00561385" w:rsidP="00265A4E">
      <w:pPr>
        <w:pStyle w:val="Didascalia"/>
        <w:spacing w:line="480" w:lineRule="auto"/>
        <w:jc w:val="both"/>
      </w:pPr>
      <w:r w:rsidRPr="00774395">
        <w:rPr>
          <w:sz w:val="22"/>
          <w:szCs w:val="22"/>
        </w:rPr>
        <w:t xml:space="preserve">Figure </w:t>
      </w:r>
      <w:r w:rsidR="00F11E6B" w:rsidRPr="00774395">
        <w:rPr>
          <w:sz w:val="22"/>
          <w:szCs w:val="22"/>
        </w:rPr>
        <w:t>1</w:t>
      </w:r>
      <w:r w:rsidRPr="00774395">
        <w:rPr>
          <w:sz w:val="22"/>
          <w:szCs w:val="22"/>
        </w:rPr>
        <w:t xml:space="preserve">. Effect of </w:t>
      </w:r>
      <w:r w:rsidR="00DF381F" w:rsidRPr="00774395">
        <w:rPr>
          <w:sz w:val="22"/>
          <w:szCs w:val="22"/>
        </w:rPr>
        <w:t xml:space="preserve">the different parent biomass </w:t>
      </w:r>
      <w:r w:rsidRPr="00774395">
        <w:rPr>
          <w:sz w:val="22"/>
          <w:szCs w:val="22"/>
        </w:rPr>
        <w:t>on the physico-chemical properties of biochar</w:t>
      </w:r>
      <w:r w:rsidR="00CF0EB4">
        <w:rPr>
          <w:sz w:val="22"/>
          <w:szCs w:val="22"/>
        </w:rPr>
        <w:t>: (A) Surface area; (B) Total pore volume; (C) Average pore diameter; (D) pH; (E) Ash; (F) Volatile matter; (G) Fixed C; (H) C content; (I) H content; (L) O content; (M) N content; (N) S content; (O) P content; (P) K content; (Q) Ca content; (R) Mg content; (S) H/C molar ratio; (T) O/C molar ratio.</w:t>
      </w:r>
      <w:r w:rsidRPr="00774395">
        <w:rPr>
          <w:sz w:val="22"/>
          <w:szCs w:val="22"/>
        </w:rPr>
        <w:t xml:space="preserve"> </w:t>
      </w:r>
      <w:r w:rsidR="00DF381F" w:rsidRPr="00774395">
        <w:rPr>
          <w:sz w:val="22"/>
          <w:szCs w:val="22"/>
        </w:rPr>
        <w:t>Parent biomass</w:t>
      </w:r>
      <w:r w:rsidRPr="00774395">
        <w:rPr>
          <w:sz w:val="22"/>
          <w:szCs w:val="22"/>
        </w:rPr>
        <w:t xml:space="preserve">: H: herbaceous; LR: </w:t>
      </w:r>
      <w:r w:rsidRPr="00774395">
        <w:rPr>
          <w:sz w:val="22"/>
          <w:szCs w:val="22"/>
        </w:rPr>
        <w:lastRenderedPageBreak/>
        <w:t>lignocellulosic residue; M: manure; NLR: non-lignocellulosic residue; S: sludge; W: wood. A significant difference (p &lt; 0.05) within a boxplot is identified by different letters. Red dots</w:t>
      </w:r>
      <w:r w:rsidR="00DF381F" w:rsidRPr="00774395">
        <w:rPr>
          <w:sz w:val="22"/>
          <w:szCs w:val="22"/>
        </w:rPr>
        <w:t>: average values; lines: median values</w:t>
      </w:r>
      <w:r w:rsidRPr="00774395">
        <w:rPr>
          <w:sz w:val="22"/>
          <w:szCs w:val="22"/>
        </w:rPr>
        <w:t xml:space="preserve">. </w:t>
      </w:r>
      <w:r w:rsidR="00CE71DD" w:rsidRPr="00774395">
        <w:rPr>
          <w:sz w:val="22"/>
          <w:szCs w:val="22"/>
        </w:rPr>
        <w:br w:type="page"/>
      </w:r>
    </w:p>
    <w:p w14:paraId="6F8881C3" w14:textId="14357397" w:rsidR="00224D22" w:rsidRPr="00774395" w:rsidRDefault="00224D22" w:rsidP="00265A4E">
      <w:pPr>
        <w:pStyle w:val="Didascalia"/>
        <w:jc w:val="center"/>
      </w:pPr>
      <w:r w:rsidRPr="00774395">
        <w:rPr>
          <w:noProof/>
        </w:rPr>
        <w:lastRenderedPageBreak/>
        <w:drawing>
          <wp:inline distT="0" distB="0" distL="0" distR="0" wp14:anchorId="02F71509" wp14:editId="5397DF0C">
            <wp:extent cx="5561666" cy="7789333"/>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26213" cy="7879733"/>
                    </a:xfrm>
                    <a:prstGeom prst="rect">
                      <a:avLst/>
                    </a:prstGeom>
                    <a:noFill/>
                    <a:ln>
                      <a:noFill/>
                    </a:ln>
                  </pic:spPr>
                </pic:pic>
              </a:graphicData>
            </a:graphic>
          </wp:inline>
        </w:drawing>
      </w:r>
    </w:p>
    <w:p w14:paraId="4CB5F55C" w14:textId="77777777" w:rsidR="00231FAD" w:rsidRDefault="00231FAD" w:rsidP="00265A4E">
      <w:pPr>
        <w:pStyle w:val="Didascalia"/>
        <w:spacing w:line="480" w:lineRule="auto"/>
        <w:jc w:val="both"/>
        <w:rPr>
          <w:sz w:val="22"/>
          <w:szCs w:val="22"/>
        </w:rPr>
      </w:pPr>
    </w:p>
    <w:p w14:paraId="6B259733" w14:textId="39B92A1C" w:rsidR="00FA01F2" w:rsidRPr="00774395" w:rsidRDefault="00561385" w:rsidP="00265A4E">
      <w:pPr>
        <w:pStyle w:val="Didascalia"/>
        <w:spacing w:line="480" w:lineRule="auto"/>
        <w:jc w:val="both"/>
      </w:pPr>
      <w:r w:rsidRPr="00774395">
        <w:rPr>
          <w:sz w:val="22"/>
          <w:szCs w:val="22"/>
        </w:rPr>
        <w:t xml:space="preserve">Figure </w:t>
      </w:r>
      <w:r w:rsidR="00F11E6B" w:rsidRPr="00774395">
        <w:rPr>
          <w:sz w:val="22"/>
          <w:szCs w:val="22"/>
        </w:rPr>
        <w:t>2</w:t>
      </w:r>
      <w:r w:rsidRPr="00774395">
        <w:rPr>
          <w:sz w:val="22"/>
          <w:szCs w:val="22"/>
        </w:rPr>
        <w:t xml:space="preserve">. Influence of </w:t>
      </w:r>
      <w:r w:rsidR="00290B98" w:rsidRPr="00774395">
        <w:rPr>
          <w:sz w:val="22"/>
          <w:szCs w:val="22"/>
        </w:rPr>
        <w:t xml:space="preserve">pyrolysis </w:t>
      </w:r>
      <w:r w:rsidRPr="00774395">
        <w:rPr>
          <w:sz w:val="22"/>
          <w:szCs w:val="22"/>
        </w:rPr>
        <w:t>temperature of the physico-chemical properties of biochar</w:t>
      </w:r>
      <w:r w:rsidR="00C013FC">
        <w:rPr>
          <w:sz w:val="22"/>
          <w:szCs w:val="22"/>
        </w:rPr>
        <w:t xml:space="preserve">: (A) Surface area; (B) Total pore volume; (C) Average pore diameter; (D) pH; (E) Ash; (F) Volatile matter; (G) Fixed C; (H) C content; (I) H content; (L) O content; (M) N content; (N) S content; (O) P content; (P) K content; (Q) Ca </w:t>
      </w:r>
      <w:r w:rsidR="00C013FC">
        <w:rPr>
          <w:sz w:val="22"/>
          <w:szCs w:val="22"/>
        </w:rPr>
        <w:lastRenderedPageBreak/>
        <w:t>content; (R) Mg content; (S) H/C molar ratio; (T) O/C molar ratio.</w:t>
      </w:r>
      <w:r w:rsidRPr="00774395">
        <w:rPr>
          <w:sz w:val="22"/>
          <w:szCs w:val="22"/>
        </w:rPr>
        <w:t xml:space="preserve"> A significant difference (p &lt; 0.05) within a boxplot is identified by different letters. Red dots</w:t>
      </w:r>
      <w:r w:rsidR="00290B98" w:rsidRPr="00774395">
        <w:rPr>
          <w:sz w:val="22"/>
          <w:szCs w:val="22"/>
        </w:rPr>
        <w:t>: average values; lines: median values</w:t>
      </w:r>
      <w:r w:rsidRPr="00774395">
        <w:rPr>
          <w:sz w:val="22"/>
          <w:szCs w:val="22"/>
        </w:rPr>
        <w:t>.</w:t>
      </w:r>
      <w:r w:rsidR="00FA01F2" w:rsidRPr="00774395">
        <w:rPr>
          <w:sz w:val="22"/>
          <w:szCs w:val="22"/>
        </w:rPr>
        <w:br w:type="page"/>
      </w:r>
    </w:p>
    <w:p w14:paraId="28425EE5" w14:textId="7E8D5D6C" w:rsidR="005A769E" w:rsidRPr="00774395" w:rsidRDefault="00931735" w:rsidP="00F64637">
      <w:pPr>
        <w:pStyle w:val="Titolo2"/>
        <w:rPr>
          <w:b/>
          <w:bCs/>
          <w:sz w:val="24"/>
          <w:szCs w:val="24"/>
        </w:rPr>
      </w:pPr>
      <w:r w:rsidRPr="00774395">
        <w:rPr>
          <w:b/>
          <w:bCs/>
          <w:sz w:val="24"/>
          <w:szCs w:val="24"/>
        </w:rPr>
        <w:lastRenderedPageBreak/>
        <w:t>4</w:t>
      </w:r>
      <w:r w:rsidR="005A769E" w:rsidRPr="00774395">
        <w:rPr>
          <w:b/>
          <w:bCs/>
          <w:sz w:val="24"/>
          <w:szCs w:val="24"/>
        </w:rPr>
        <w:t>.</w:t>
      </w:r>
      <w:r w:rsidR="00D304E5" w:rsidRPr="00774395">
        <w:rPr>
          <w:b/>
          <w:bCs/>
          <w:sz w:val="24"/>
          <w:szCs w:val="24"/>
        </w:rPr>
        <w:t>2</w:t>
      </w:r>
      <w:r w:rsidR="005A769E" w:rsidRPr="00774395">
        <w:rPr>
          <w:b/>
          <w:bCs/>
          <w:sz w:val="24"/>
          <w:szCs w:val="24"/>
        </w:rPr>
        <w:t>. Meta-analysis</w:t>
      </w:r>
    </w:p>
    <w:p w14:paraId="649763EE" w14:textId="655EC932" w:rsidR="00714342" w:rsidRPr="00774395" w:rsidRDefault="00931735" w:rsidP="00714342">
      <w:pPr>
        <w:pStyle w:val="Titolo3"/>
      </w:pPr>
      <w:r w:rsidRPr="00774395">
        <w:t>4</w:t>
      </w:r>
      <w:r w:rsidR="00714342" w:rsidRPr="00774395">
        <w:t>.</w:t>
      </w:r>
      <w:r w:rsidR="00D304E5" w:rsidRPr="00774395">
        <w:t>2</w:t>
      </w:r>
      <w:r w:rsidR="00714342" w:rsidRPr="00774395">
        <w:t xml:space="preserve">.1. </w:t>
      </w:r>
      <w:r w:rsidR="00290B98" w:rsidRPr="00774395">
        <w:t xml:space="preserve">Overall </w:t>
      </w:r>
      <w:r w:rsidR="00714342" w:rsidRPr="00774395">
        <w:t>effects</w:t>
      </w:r>
      <w:r w:rsidR="00290B98" w:rsidRPr="00774395">
        <w:t xml:space="preserve"> of biochar addition on anaerobic digestion performance</w:t>
      </w:r>
    </w:p>
    <w:p w14:paraId="427220F1" w14:textId="51965113" w:rsidR="00C93908" w:rsidRPr="00774395" w:rsidRDefault="00FC3461" w:rsidP="00265A4E">
      <w:pPr>
        <w:jc w:val="both"/>
        <w:rPr>
          <w:rFonts w:cs="Times New Roman"/>
        </w:rPr>
      </w:pPr>
      <w:r w:rsidRPr="00774395">
        <w:t xml:space="preserve">A meta-analysis was used to assess the </w:t>
      </w:r>
      <w:r w:rsidR="00EB0608" w:rsidRPr="00774395">
        <w:t>overall</w:t>
      </w:r>
      <w:r w:rsidR="005A3B99" w:rsidRPr="00774395">
        <w:t xml:space="preserve"> (“summary”)</w:t>
      </w:r>
      <w:r w:rsidR="00EB0608" w:rsidRPr="00774395">
        <w:t xml:space="preserve"> </w:t>
      </w:r>
      <w:r w:rsidRPr="00774395">
        <w:t xml:space="preserve">effect of BC addition on AD performance </w:t>
      </w:r>
      <w:r w:rsidR="002C1813" w:rsidRPr="00774395">
        <w:t>using</w:t>
      </w:r>
      <w:r w:rsidRPr="00774395">
        <w:t xml:space="preserve"> 408 experimental conditions of 76 studies in batch mode and 83 conditions of 18 studies in semi-continuous mode </w:t>
      </w:r>
      <w:r w:rsidR="00290B98" w:rsidRPr="00774395">
        <w:t>(</w:t>
      </w:r>
      <w:r w:rsidR="00F11E6B" w:rsidRPr="00774395">
        <w:t>Figure</w:t>
      </w:r>
      <w:r w:rsidR="00F11E6B" w:rsidRPr="00774395" w:rsidDel="00F11E6B">
        <w:t xml:space="preserve"> </w:t>
      </w:r>
      <w:r w:rsidR="00F11E6B" w:rsidRPr="00774395">
        <w:t>3</w:t>
      </w:r>
      <w:r w:rsidR="00290B98" w:rsidRPr="00774395">
        <w:t>).</w:t>
      </w:r>
      <w:r w:rsidRPr="00774395">
        <w:t xml:space="preserve"> </w:t>
      </w:r>
      <w:r w:rsidR="00872A14" w:rsidRPr="00774395">
        <w:t xml:space="preserve">Considering the subset of batch tests, the effect of BC </w:t>
      </w:r>
      <w:r w:rsidR="00F236C4" w:rsidRPr="00774395">
        <w:t xml:space="preserve">addition </w:t>
      </w:r>
      <w:r w:rsidR="0085577A" w:rsidRPr="00774395">
        <w:t xml:space="preserve">was investigated </w:t>
      </w:r>
      <w:r w:rsidR="00872A14" w:rsidRPr="00774395">
        <w:t xml:space="preserve">on </w:t>
      </w:r>
      <w:r w:rsidR="00F236C4" w:rsidRPr="00774395">
        <w:t>three variables</w:t>
      </w:r>
      <w:r w:rsidR="0085577A" w:rsidRPr="00774395">
        <w:t>:</w:t>
      </w:r>
      <w:r w:rsidR="00F236C4" w:rsidRPr="00774395">
        <w:t xml:space="preserve"> CH</w:t>
      </w:r>
      <w:r w:rsidR="00F236C4" w:rsidRPr="00774395">
        <w:rPr>
          <w:vertAlign w:val="subscript"/>
        </w:rPr>
        <w:t>4</w:t>
      </w:r>
      <w:r w:rsidR="00872A14" w:rsidRPr="00774395">
        <w:t xml:space="preserve"> yield,</w:t>
      </w:r>
      <w:r w:rsidR="00F236C4" w:rsidRPr="00774395">
        <w:t xml:space="preserve"> maximum</w:t>
      </w:r>
      <w:r w:rsidR="00872A14" w:rsidRPr="00774395">
        <w:t xml:space="preserve"> </w:t>
      </w:r>
      <w:r w:rsidR="00F236C4" w:rsidRPr="00774395">
        <w:t>CH</w:t>
      </w:r>
      <w:r w:rsidR="00F236C4" w:rsidRPr="00774395">
        <w:rPr>
          <w:vertAlign w:val="subscript"/>
        </w:rPr>
        <w:t>4</w:t>
      </w:r>
      <w:r w:rsidR="00872A14" w:rsidRPr="00774395">
        <w:t xml:space="preserve"> production rate (R</w:t>
      </w:r>
      <w:r w:rsidR="00872A14" w:rsidRPr="00774395">
        <w:rPr>
          <w:vertAlign w:val="subscript"/>
        </w:rPr>
        <w:t>max</w:t>
      </w:r>
      <w:r w:rsidR="00872A14" w:rsidRPr="00774395">
        <w:t>) and lag-phase (</w:t>
      </w:r>
      <w:r w:rsidR="00872A14" w:rsidRPr="00774395">
        <w:rPr>
          <w:rFonts w:cs="Times New Roman"/>
        </w:rPr>
        <w:t>λ</w:t>
      </w:r>
      <w:r w:rsidR="00872A14" w:rsidRPr="00774395">
        <w:t xml:space="preserve">) from the </w:t>
      </w:r>
      <w:r w:rsidR="0085577A" w:rsidRPr="00774395">
        <w:t xml:space="preserve">modified </w:t>
      </w:r>
      <w:r w:rsidR="00872A14" w:rsidRPr="00774395">
        <w:t>Gompertz model fitting</w:t>
      </w:r>
      <w:r w:rsidR="00852177" w:rsidRPr="00774395">
        <w:t xml:space="preserve"> of experimental data</w:t>
      </w:r>
      <w:r w:rsidR="00872A14" w:rsidRPr="00774395">
        <w:t>.</w:t>
      </w:r>
      <w:r w:rsidR="00CC7CBA" w:rsidRPr="00774395">
        <w:t xml:space="preserve"> </w:t>
      </w:r>
      <w:r w:rsidR="00E80255" w:rsidRPr="00774395">
        <w:t>On the one hand</w:t>
      </w:r>
      <w:r w:rsidR="00EB0608" w:rsidRPr="00774395">
        <w:t xml:space="preserve">, the </w:t>
      </w:r>
      <w:r w:rsidR="00E80255" w:rsidRPr="00774395">
        <w:t xml:space="preserve">overall </w:t>
      </w:r>
      <w:r w:rsidR="00EB0608" w:rsidRPr="00774395">
        <w:t>effect of BC on CH</w:t>
      </w:r>
      <w:r w:rsidR="00EB0608" w:rsidRPr="00774395">
        <w:rPr>
          <w:vertAlign w:val="subscript"/>
        </w:rPr>
        <w:t>4</w:t>
      </w:r>
      <w:r w:rsidR="00EB0608" w:rsidRPr="00774395">
        <w:t xml:space="preserve"> yield </w:t>
      </w:r>
      <w:r w:rsidR="00F43D1A" w:rsidRPr="00774395">
        <w:t>was</w:t>
      </w:r>
      <w:r w:rsidR="00EB0608" w:rsidRPr="00774395">
        <w:t xml:space="preserve"> significant (g = 2.43, 95% CIs = 2.02-2.84), clearly indicating </w:t>
      </w:r>
      <w:r w:rsidR="0085577A" w:rsidRPr="00774395">
        <w:t xml:space="preserve">that </w:t>
      </w:r>
      <w:r w:rsidR="00EB0608" w:rsidRPr="00774395">
        <w:t xml:space="preserve">BC enhances </w:t>
      </w:r>
      <w:r w:rsidR="00C51305" w:rsidRPr="00774395">
        <w:t xml:space="preserve">bio-methane </w:t>
      </w:r>
      <w:r w:rsidR="0085577A" w:rsidRPr="00774395">
        <w:t xml:space="preserve">production, consistently with </w:t>
      </w:r>
      <w:r w:rsidR="003A6F66" w:rsidRPr="00774395">
        <w:t>the</w:t>
      </w:r>
      <w:r w:rsidR="0090158E" w:rsidRPr="00774395">
        <w:t xml:space="preserve"> previous </w:t>
      </w:r>
      <w:r w:rsidR="00AD594C" w:rsidRPr="00774395">
        <w:t>meta-analysis by Xiao et al. (2021)</w:t>
      </w:r>
      <w:r w:rsidR="0090158E" w:rsidRPr="00774395">
        <w:t xml:space="preserve"> </w:t>
      </w:r>
      <w:r w:rsidR="0090158E" w:rsidRPr="00774395">
        <w:fldChar w:fldCharType="begin" w:fldLock="1"/>
      </w:r>
      <w:r w:rsidR="00101137" w:rsidRPr="00774395">
        <w:instrText>ADDIN CSL_CITATION {"citationItems":[{"id":"ITEM-1","itemData":{"DOI":"10.1007/s10311-021-01251-6","ISSN":"16103661","abstract":"Climate change and energy demand are calling for more sustainable fuels such as biomethane produced by anaerobic digestion of organic waste. Biochar addition to waste is presumed to enhance the efficiency of methane production, yet individual reports disclose contradictory results. Therefore, we performed a meta-analysis of 27 selected publications containing 156 paired measurements of control and biochar-amended treatments to assess the impact of biochar on the methanogenic performance. Results show that biochar promotes biomethane production substantially with a high Hedge's d value of 5.7 ± 1.04, yet sporadic publications report a methane decline. Methanogenic performance is statistically controlled by feedstock type, pyrolysis temperature and biochar concentration, but not controlled by pH, size, surface area and methanogen species. These findings should help to tune the parameters of anaerobic digestion with biochar to optimize biomethane productions. Moreover, our results cast some doubt on the efficiency of adding biochar to soil to sequester carbon in soils because biochar promotes methane generation and, in turn, emissions of methane, a greenhouse gas, to the atmosphere.","author":[{"dropping-particle":"","family":"Xiao","given":"Leilei","non-dropping-particle":"","parse-names":false,"suffix":""},{"dropping-particle":"","family":"Lichtfouse","given":"Eric","non-dropping-particle":"","parse-names":false,"suffix":""},{"dropping-particle":"","family":"Kumar","given":"P. Senthil","non-dropping-particle":"","parse-names":false,"suffix":""},{"dropping-particle":"","family":"Wang","given":"Quan","non-dropping-particle":"","parse-names":false,"suffix":""},{"dropping-particle":"","family":"Liu","given":"Fanghua","non-dropping-particle":"","parse-names":false,"suffix":""}],"container-title":"Environmental Chemistry Letters","id":"ITEM-1","issue":"5","issued":{"date-parts":[["2021","5","1"]]},"page":"3557-3564","publisher":"Springer","title":"Biochar promotes methane production during anaerobic digestion of organic waste","type":"article-journal","volume":"19"},"uris":["http://www.mendeley.com/documents/?uuid=8db66765-0cc0-4fcf-aa38-c8e4a43aed7b"]}],"mendeley":{"formattedCitation":"[27]","plainTextFormattedCitation":"[27]","previouslyFormattedCitation":"[27]"},"properties":{"noteIndex":0},"schema":"https://github.com/citation-style-language/schema/raw/master/csl-citation.json"}</w:instrText>
      </w:r>
      <w:r w:rsidR="0090158E" w:rsidRPr="00774395">
        <w:fldChar w:fldCharType="separate"/>
      </w:r>
      <w:r w:rsidR="00A90022" w:rsidRPr="00774395">
        <w:rPr>
          <w:noProof/>
        </w:rPr>
        <w:t>[27]</w:t>
      </w:r>
      <w:r w:rsidR="0090158E" w:rsidRPr="00774395">
        <w:fldChar w:fldCharType="end"/>
      </w:r>
      <w:r w:rsidR="0090158E" w:rsidRPr="00774395">
        <w:t xml:space="preserve">. </w:t>
      </w:r>
      <w:r w:rsidR="00C93908" w:rsidRPr="00774395">
        <w:t xml:space="preserve">The PIs overlap the line of null effect, </w:t>
      </w:r>
      <w:r w:rsidR="00B05C43" w:rsidRPr="00774395">
        <w:t>indicating also adverse impacts</w:t>
      </w:r>
      <w:r w:rsidR="00644CB4" w:rsidRPr="00774395">
        <w:t xml:space="preserve"> of BC in </w:t>
      </w:r>
      <w:r w:rsidR="00E01529" w:rsidRPr="00774395">
        <w:t xml:space="preserve">a </w:t>
      </w:r>
      <w:r w:rsidR="00644CB4" w:rsidRPr="00774395">
        <w:t xml:space="preserve">reduced number of studies, likely due to inhibitory </w:t>
      </w:r>
      <w:r w:rsidR="00C93908" w:rsidRPr="00774395">
        <w:t>effect</w:t>
      </w:r>
      <w:r w:rsidR="00B05C43" w:rsidRPr="00774395">
        <w:t>s</w:t>
      </w:r>
      <w:r w:rsidR="00C93908" w:rsidRPr="00774395">
        <w:t xml:space="preserve"> </w:t>
      </w:r>
      <w:r w:rsidR="00B05C43" w:rsidRPr="00774395">
        <w:t xml:space="preserve">on </w:t>
      </w:r>
      <w:r w:rsidR="0085577A" w:rsidRPr="00774395">
        <w:t xml:space="preserve">the </w:t>
      </w:r>
      <w:r w:rsidR="00B05C43" w:rsidRPr="00774395">
        <w:t xml:space="preserve">methanogenic </w:t>
      </w:r>
      <w:r w:rsidR="0085577A" w:rsidRPr="00774395">
        <w:t>active to</w:t>
      </w:r>
      <w:r w:rsidR="00B05C43" w:rsidRPr="00774395">
        <w:t xml:space="preserve">ity </w:t>
      </w:r>
      <w:r w:rsidR="0085577A" w:rsidRPr="00774395">
        <w:t xml:space="preserve">related </w:t>
      </w:r>
      <w:r w:rsidR="00644CB4" w:rsidRPr="00774395">
        <w:t xml:space="preserve">excessive doses of BC </w:t>
      </w:r>
      <w:r w:rsidR="00644CB4" w:rsidRPr="00774395">
        <w:fldChar w:fldCharType="begin" w:fldLock="1"/>
      </w:r>
      <w:r w:rsidR="00520099">
        <w:instrText>ADDIN CSL_CITATION {"citationItems":[{"id":"ITEM-1","itemData":{"DOI":"10.1016/j.jclepro.2016.06.144","ISSN":"09596526","abstract":"This study presents an integrated waste-to-energy process, using two waste streams, sludge generated from the municipal wastewater treatment plants (WWTPs) and biochar generated from the biomass gasification systems, to produce fungible biomethane and nutrient-rich digestate with fertilizer value. Two woody biochar, namely pinewood (PBC) and white oak biochar (WOBC) were used as additives during anaerobic digestion (AD) of WWTP sludge to enhance methane production at mesophilic and thermophilic temperatures. The PBC and WOBC have porous structure, large surface area and desirable chemical properties to be used as AD amendment material to sequester CO2from biogas in the digester. The biochar-amended digesters achieved average methane content in biogas of up to 92.3% and 79.0%, corresponding to CO2sequestration by up to 66.2% and 32.4% during mesophilic and thermophilic AD, respectively. Biochar addition enhanced process stability by increasing the alkalinity, but inhibitory effects were observed at high dosage. It also alleviated free ammonia inhibition by up to 10.5%. The biochar-amended digesters generated digestate rich in macro- and micronutrients including K (up to 300 m/L), Ca (up to 750 mg/L), Mg (up to 1800 mg/L) and Fe (up to 390 mg/L), making biochar-amended digestate a potential alternative used as agricultural lime fertilizer.","author":[{"dropping-particle":"","family":"Shen","given":"Y.","non-dropping-particle":"","parse-names":false,"suffix":""},{"dropping-particle":"","family":"Linville","given":"J.L. Jessica L.","non-dropping-particle":"","parse-names":false,"suffix":""},{"dropping-particle":"","family":"Ignacio-de Leon","given":"P.A.A. Patricia Anne A.","non-dropping-particle":"","parse-names":false,"suffix":""},{"dropping-particle":"","family":"Schoene","given":"R.P. Robin P.","non-dropping-particle":"","parse-names":false,"suffix":""},{"dropping-particle":"","family":"Urgun-Demirtas","given":"Meltem","non-dropping-particle":"","parse-names":false,"suffix":""}],"container-title":"Journal of Cleaner Production","id":"ITEM-1","issued":{"date-parts":[["2016"]]},"page":"1054-1064","publisher":"Elsevier Ltd","title":"Towards a sustainable paradigm of waste-to-energy process: Enhanced anaerobic digestion of sludge with woody biochar","type":"article-journal","volume":"135"},"uris":["http://www.mendeley.com/documents/?uuid=0ed024e2-de98-4502-a2d7-fe675a78d205"]},{"id":"ITEM-2","itemData":{"DOI":"10.1016/j.biortech.2020.123695","abstract":"This study investigated the effects of MnFe O -biochar on sludge anaerobic digestion performance, methane production and heavy metal stabilization. The highest cumulative methane yield was achieved when the MnFe O -biochar dose was 1.50 g, which was 55.86% higher than control. A suitable dose of MnFe O -biochar stimulated methanogenic activities and improved methane yield, whereas excessive addition shows an inhibitory effect on anaerobic digestion. MnFe O -biochar addition significantly enhanced the biodegradation of organic matter, as the average volatile fatty acids degradation rate increased by 35.44%, compared to the control. Chemical speciation analyses demonstrated that MnFe O -biochar addition was more helpful for immobilization and risk reduction of heavy metals in sewage sludge. Simultaneously, microbial community analysis indicated that MnFe O -biochar obviously enriched acetoclastic methanogens Methanosarcina that capable of participating in direct interspecies electron transfer, which could accelerate substrate decomposition and methane production. These findings supply useful information for the resource utilization of sewage sludge. 2 4 2 4 2 4 2 4 2 4 2 4","author":[{"dropping-particle":"","family":"Zhang","given":"M.","non-dropping-particle":"","parse-names":false,"suffix":""},{"dropping-particle":"","family":"Wang","given":"Y.","non-dropping-particle":"","parse-names":false,"suffix":""}],"container-title":"Bioresource Technology","id":"ITEM-2","issued":{"date-parts":[["2020"]]},"page":"123695","title":"Effects of Fe-Mn-modified biochar addition on anaerobic digestion of sewage sludge: Biomethane production, heavy metal speciation and performance stability","type":"article-journal","volume":"313"},"uris":["http://www.mendeley.com/documents/?uuid=2606ca71-a9f3-3280-a93f-6bd83fd774de"]}],"mendeley":{"formattedCitation":"[58,59]","plainTextFormattedCitation":"[58,59]","previouslyFormattedCitation":"[58,59]"},"properties":{"noteIndex":0},"schema":"https://github.com/citation-style-language/schema/raw/master/csl-citation.json"}</w:instrText>
      </w:r>
      <w:r w:rsidR="00644CB4" w:rsidRPr="00774395">
        <w:fldChar w:fldCharType="separate"/>
      </w:r>
      <w:r w:rsidR="00830B48" w:rsidRPr="00830B48">
        <w:rPr>
          <w:noProof/>
        </w:rPr>
        <w:t>[58,59]</w:t>
      </w:r>
      <w:r w:rsidR="00644CB4" w:rsidRPr="00774395">
        <w:fldChar w:fldCharType="end"/>
      </w:r>
      <w:r w:rsidR="00C93908" w:rsidRPr="00774395">
        <w:t xml:space="preserve">. </w:t>
      </w:r>
      <w:r w:rsidR="00964F46" w:rsidRPr="00774395">
        <w:t>N</w:t>
      </w:r>
      <w:r w:rsidR="00714C54" w:rsidRPr="00774395">
        <w:t>ot surprisingly</w:t>
      </w:r>
      <w:r w:rsidR="0085577A" w:rsidRPr="00774395">
        <w:t>,</w:t>
      </w:r>
      <w:r w:rsidR="00714C54" w:rsidRPr="00774395">
        <w:t xml:space="preserve"> there </w:t>
      </w:r>
      <w:r w:rsidR="00F43D1A" w:rsidRPr="00774395">
        <w:t>was</w:t>
      </w:r>
      <w:r w:rsidR="00714C54" w:rsidRPr="00774395">
        <w:t xml:space="preserve"> a significant </w:t>
      </w:r>
      <w:r w:rsidR="00C93908" w:rsidRPr="00774395">
        <w:t>heterogeneity among different studies (Q = 2359, p &lt; 0.01, I</w:t>
      </w:r>
      <w:r w:rsidR="00C93908" w:rsidRPr="00774395">
        <w:rPr>
          <w:vertAlign w:val="superscript"/>
        </w:rPr>
        <w:t>2</w:t>
      </w:r>
      <w:r w:rsidR="00C93908" w:rsidRPr="00774395">
        <w:t xml:space="preserve"> = 82.7%), </w:t>
      </w:r>
      <w:r w:rsidR="00E659AD" w:rsidRPr="00774395">
        <w:t>given</w:t>
      </w:r>
      <w:r w:rsidR="00C93908" w:rsidRPr="00774395">
        <w:t xml:space="preserve"> the high variability of </w:t>
      </w:r>
      <w:r w:rsidR="0085577A" w:rsidRPr="00774395">
        <w:t xml:space="preserve">the </w:t>
      </w:r>
      <w:r w:rsidR="00AD594C" w:rsidRPr="00774395">
        <w:t>physi</w:t>
      </w:r>
      <w:r w:rsidR="00216A35" w:rsidRPr="00774395">
        <w:t>c</w:t>
      </w:r>
      <w:r w:rsidR="00AD594C" w:rsidRPr="00774395">
        <w:t xml:space="preserve">o-chemical properties of </w:t>
      </w:r>
      <w:r w:rsidR="00C93908" w:rsidRPr="00774395">
        <w:t>BCs</w:t>
      </w:r>
      <w:r w:rsidR="00AD594C" w:rsidRPr="00774395">
        <w:t xml:space="preserve"> (section 3.</w:t>
      </w:r>
      <w:r w:rsidR="004066E8" w:rsidRPr="00774395">
        <w:t>1</w:t>
      </w:r>
      <w:r w:rsidR="00AD594C" w:rsidRPr="00774395">
        <w:t>)</w:t>
      </w:r>
      <w:r w:rsidR="00C93908" w:rsidRPr="00774395">
        <w:t>, AD substrates and AD operating conditions tested</w:t>
      </w:r>
      <w:r w:rsidR="00B05C43" w:rsidRPr="00774395">
        <w:t xml:space="preserve"> (</w:t>
      </w:r>
      <w:r w:rsidR="00B05C43" w:rsidRPr="00774395">
        <w:fldChar w:fldCharType="begin"/>
      </w:r>
      <w:r w:rsidR="00B05C43" w:rsidRPr="00774395">
        <w:instrText xml:space="preserve"> REF _Ref83145109 \h </w:instrText>
      </w:r>
      <w:r w:rsidR="00290B98" w:rsidRPr="00774395">
        <w:instrText xml:space="preserve"> \* MERGEFORMAT </w:instrText>
      </w:r>
      <w:r w:rsidR="00B05C43" w:rsidRPr="00774395">
        <w:fldChar w:fldCharType="separate"/>
      </w:r>
      <w:r w:rsidR="00BE795B" w:rsidRPr="00774395">
        <w:t xml:space="preserve">Table </w:t>
      </w:r>
      <w:r w:rsidR="00BE795B" w:rsidRPr="00774395">
        <w:rPr>
          <w:noProof/>
        </w:rPr>
        <w:t>1</w:t>
      </w:r>
      <w:r w:rsidR="00B05C43" w:rsidRPr="00774395">
        <w:fldChar w:fldCharType="end"/>
      </w:r>
      <w:r w:rsidR="00B05C43" w:rsidRPr="00774395">
        <w:t>)</w:t>
      </w:r>
      <w:r w:rsidR="00C93908" w:rsidRPr="00774395">
        <w:t>. Therefore, the role of different moderator variables was further investigated by subgroups analysis.</w:t>
      </w:r>
      <w:r w:rsidR="0090158E" w:rsidRPr="00774395">
        <w:t xml:space="preserve"> </w:t>
      </w:r>
      <w:r w:rsidR="00E80255" w:rsidRPr="00774395">
        <w:t>On the other hand, the</w:t>
      </w:r>
      <w:r w:rsidR="003246B3" w:rsidRPr="00774395">
        <w:t xml:space="preserve"> </w:t>
      </w:r>
      <w:r w:rsidR="00E80255" w:rsidRPr="00774395">
        <w:t>supplementation of BC accelerate</w:t>
      </w:r>
      <w:r w:rsidR="00F43D1A" w:rsidRPr="00774395">
        <w:t>d</w:t>
      </w:r>
      <w:r w:rsidR="00E80255" w:rsidRPr="00774395">
        <w:t xml:space="preserve"> methane production, as indicated by the significant enhancement of R</w:t>
      </w:r>
      <w:r w:rsidR="00E80255" w:rsidRPr="00774395">
        <w:rPr>
          <w:vertAlign w:val="subscript"/>
        </w:rPr>
        <w:t>max</w:t>
      </w:r>
      <w:r w:rsidR="00E80255" w:rsidRPr="00774395">
        <w:t xml:space="preserve"> (g = 2.54, 95% CIs = 1.86-3.22)</w:t>
      </w:r>
      <w:r w:rsidR="003246B3" w:rsidRPr="00774395">
        <w:t>. Besides,</w:t>
      </w:r>
      <w:bookmarkStart w:id="5" w:name="_Hlk87257670"/>
      <w:r w:rsidR="003246B3" w:rsidRPr="00774395">
        <w:t xml:space="preserve"> the duration of lag-phase </w:t>
      </w:r>
      <w:r w:rsidR="00F43D1A" w:rsidRPr="00774395">
        <w:t>was</w:t>
      </w:r>
      <w:r w:rsidR="00A5003A" w:rsidRPr="00774395">
        <w:t xml:space="preserve"> shortened by the presence of BC (g = -1.74, 95% CIs = -2.60/-0.88) </w:t>
      </w:r>
      <w:r w:rsidR="0095145F" w:rsidRPr="00774395">
        <w:t xml:space="preserve">able to </w:t>
      </w:r>
      <w:r w:rsidR="00A5003A" w:rsidRPr="00774395">
        <w:t>reduc</w:t>
      </w:r>
      <w:r w:rsidR="0095145F" w:rsidRPr="00774395">
        <w:t>e</w:t>
      </w:r>
      <w:r w:rsidR="00A5003A" w:rsidRPr="00774395">
        <w:t xml:space="preserve"> biomass adaption</w:t>
      </w:r>
      <w:r w:rsidR="005A6B09" w:rsidRPr="00774395">
        <w:t xml:space="preserve"> period</w:t>
      </w:r>
      <w:r w:rsidR="00A5003A" w:rsidRPr="00774395">
        <w:t xml:space="preserve"> to new </w:t>
      </w:r>
      <w:r w:rsidR="005A6B09" w:rsidRPr="00774395">
        <w:t xml:space="preserve">AD </w:t>
      </w:r>
      <w:r w:rsidR="00A5003A" w:rsidRPr="00774395">
        <w:t>conditions.</w:t>
      </w:r>
      <w:r w:rsidR="00E96921" w:rsidRPr="00774395">
        <w:t xml:space="preserve"> </w:t>
      </w:r>
      <w:bookmarkEnd w:id="5"/>
      <w:r w:rsidR="00FD4DF2" w:rsidRPr="00774395">
        <w:t xml:space="preserve">Therefore, </w:t>
      </w:r>
      <w:r w:rsidR="0085411D" w:rsidRPr="00774395">
        <w:t xml:space="preserve">both </w:t>
      </w:r>
      <w:r w:rsidR="00FD4DF2" w:rsidRPr="00774395">
        <w:t xml:space="preserve">the start-up </w:t>
      </w:r>
      <w:r w:rsidR="00C9520C" w:rsidRPr="00774395">
        <w:t xml:space="preserve">phase </w:t>
      </w:r>
      <w:r w:rsidR="00FD4DF2" w:rsidRPr="00774395">
        <w:t xml:space="preserve">of a digester </w:t>
      </w:r>
      <w:r w:rsidR="00C9520C" w:rsidRPr="00774395">
        <w:t xml:space="preserve">or the adaption </w:t>
      </w:r>
      <w:r w:rsidR="0085411D" w:rsidRPr="00774395">
        <w:t xml:space="preserve">to substrate changes </w:t>
      </w:r>
      <w:r w:rsidR="00FD4DF2" w:rsidRPr="00774395">
        <w:t xml:space="preserve">may be accelerated through BC supplementation. </w:t>
      </w:r>
      <w:r w:rsidR="00E96921" w:rsidRPr="00774395">
        <w:t>For both R</w:t>
      </w:r>
      <w:r w:rsidR="00E96921" w:rsidRPr="00774395">
        <w:rPr>
          <w:vertAlign w:val="subscript"/>
        </w:rPr>
        <w:t>max</w:t>
      </w:r>
      <w:r w:rsidR="00E96921" w:rsidRPr="00774395">
        <w:t xml:space="preserve"> and </w:t>
      </w:r>
      <w:r w:rsidR="00E96921" w:rsidRPr="00774395">
        <w:rPr>
          <w:rFonts w:cs="Times New Roman"/>
        </w:rPr>
        <w:t>λ</w:t>
      </w:r>
      <w:r w:rsidR="006E12E6" w:rsidRPr="00774395">
        <w:rPr>
          <w:rFonts w:cs="Times New Roman"/>
        </w:rPr>
        <w:t>,</w:t>
      </w:r>
      <w:r w:rsidR="00E96921" w:rsidRPr="00774395">
        <w:rPr>
          <w:rFonts w:cs="Times New Roman"/>
        </w:rPr>
        <w:t xml:space="preserve"> </w:t>
      </w:r>
      <w:r w:rsidR="00A92600" w:rsidRPr="00774395">
        <w:rPr>
          <w:rFonts w:cs="Times New Roman"/>
        </w:rPr>
        <w:t xml:space="preserve">there </w:t>
      </w:r>
      <w:r w:rsidR="00F43D1A" w:rsidRPr="00774395">
        <w:rPr>
          <w:rFonts w:cs="Times New Roman"/>
        </w:rPr>
        <w:t>was</w:t>
      </w:r>
      <w:r w:rsidR="00A92600" w:rsidRPr="00774395">
        <w:rPr>
          <w:rFonts w:cs="Times New Roman"/>
        </w:rPr>
        <w:t xml:space="preserve"> </w:t>
      </w:r>
      <w:r w:rsidR="00E96921" w:rsidRPr="00774395">
        <w:rPr>
          <w:rFonts w:cs="Times New Roman"/>
        </w:rPr>
        <w:t xml:space="preserve">a significant heterogeneity </w:t>
      </w:r>
      <w:r w:rsidR="006E12E6" w:rsidRPr="00774395">
        <w:rPr>
          <w:rFonts w:cs="Times New Roman"/>
        </w:rPr>
        <w:t xml:space="preserve">among studies </w:t>
      </w:r>
      <w:r w:rsidR="0005694C" w:rsidRPr="00774395">
        <w:rPr>
          <w:rFonts w:cs="Times New Roman"/>
        </w:rPr>
        <w:t>(</w:t>
      </w:r>
      <w:r w:rsidR="006E12E6" w:rsidRPr="00774395">
        <w:t>Q = 740, p &lt; 0.01, I</w:t>
      </w:r>
      <w:r w:rsidR="006E12E6" w:rsidRPr="00774395">
        <w:rPr>
          <w:vertAlign w:val="superscript"/>
        </w:rPr>
        <w:t>2</w:t>
      </w:r>
      <w:r w:rsidR="006E12E6" w:rsidRPr="00774395">
        <w:t xml:space="preserve"> = 81.1% and Q = 807, p &lt; 0.01, I</w:t>
      </w:r>
      <w:r w:rsidR="006E12E6" w:rsidRPr="00774395">
        <w:rPr>
          <w:vertAlign w:val="superscript"/>
        </w:rPr>
        <w:t>2</w:t>
      </w:r>
      <w:r w:rsidR="006E12E6" w:rsidRPr="00774395">
        <w:t xml:space="preserve"> = 84.2%, respectively</w:t>
      </w:r>
      <w:r w:rsidR="0005694C" w:rsidRPr="00774395">
        <w:rPr>
          <w:rFonts w:cs="Times New Roman"/>
        </w:rPr>
        <w:t>)</w:t>
      </w:r>
      <w:r w:rsidR="004E03C6" w:rsidRPr="00774395">
        <w:rPr>
          <w:rFonts w:cs="Times New Roman"/>
        </w:rPr>
        <w:t>.</w:t>
      </w:r>
      <w:r w:rsidR="006E12E6" w:rsidRPr="00774395">
        <w:rPr>
          <w:rFonts w:cs="Times New Roman"/>
        </w:rPr>
        <w:t xml:space="preserve"> Overall, BC supplementation can significantly enhance and accelerate methane production during </w:t>
      </w:r>
      <w:r w:rsidR="00E01529" w:rsidRPr="00774395">
        <w:rPr>
          <w:rFonts w:cs="Times New Roman"/>
        </w:rPr>
        <w:t xml:space="preserve">AD </w:t>
      </w:r>
      <w:r w:rsidR="006E12E6" w:rsidRPr="00774395">
        <w:rPr>
          <w:rFonts w:cs="Times New Roman"/>
        </w:rPr>
        <w:t>in batch mode.</w:t>
      </w:r>
    </w:p>
    <w:p w14:paraId="09487432" w14:textId="0EB11EC5" w:rsidR="00714342" w:rsidRPr="00774395" w:rsidRDefault="0085577A" w:rsidP="00265A4E">
      <w:pPr>
        <w:jc w:val="both"/>
      </w:pPr>
      <w:r w:rsidRPr="00774395">
        <w:rPr>
          <w:rFonts w:cs="Times New Roman"/>
        </w:rPr>
        <w:t>I</w:t>
      </w:r>
      <w:r w:rsidR="00872A14" w:rsidRPr="00774395">
        <w:t xml:space="preserve">n case of semi-continuous </w:t>
      </w:r>
      <w:r w:rsidR="00F43D1A" w:rsidRPr="00774395">
        <w:t>AD</w:t>
      </w:r>
      <w:r w:rsidR="00A92600" w:rsidRPr="00774395">
        <w:t xml:space="preserve"> studies</w:t>
      </w:r>
      <w:r w:rsidR="00872A14" w:rsidRPr="00774395">
        <w:t xml:space="preserve">, an additional meta-analysis was conducted to assess the effect of BC on </w:t>
      </w:r>
      <w:r w:rsidR="00A92600" w:rsidRPr="00774395">
        <w:t>CH</w:t>
      </w:r>
      <w:r w:rsidR="00A92600" w:rsidRPr="00774395">
        <w:rPr>
          <w:vertAlign w:val="subscript"/>
        </w:rPr>
        <w:t>4</w:t>
      </w:r>
      <w:r w:rsidR="00872A14" w:rsidRPr="00774395">
        <w:t xml:space="preserve"> production rate</w:t>
      </w:r>
      <w:r w:rsidR="001B56E7" w:rsidRPr="00774395">
        <w:t>. Consistently with previous results, BC supplementation significantly improve</w:t>
      </w:r>
      <w:r w:rsidR="00F43D1A" w:rsidRPr="00774395">
        <w:t>d</w:t>
      </w:r>
      <w:r w:rsidR="001B56E7" w:rsidRPr="00774395">
        <w:t xml:space="preserve"> CH</w:t>
      </w:r>
      <w:r w:rsidR="001B56E7" w:rsidRPr="00774395">
        <w:rPr>
          <w:vertAlign w:val="subscript"/>
        </w:rPr>
        <w:t>4</w:t>
      </w:r>
      <w:r w:rsidR="001B56E7" w:rsidRPr="00774395">
        <w:t xml:space="preserve"> production rate </w:t>
      </w:r>
      <w:r w:rsidR="009574F5" w:rsidRPr="00774395">
        <w:t>(g = 2.21, 95% CIs = 1.42-3.01)</w:t>
      </w:r>
      <w:r w:rsidR="00E01529" w:rsidRPr="00774395">
        <w:t xml:space="preserve">. Therefore, </w:t>
      </w:r>
      <w:r w:rsidR="00595770" w:rsidRPr="00774395">
        <w:t xml:space="preserve">the overall </w:t>
      </w:r>
      <w:r w:rsidR="00E01529" w:rsidRPr="00774395">
        <w:t xml:space="preserve">positive </w:t>
      </w:r>
      <w:r w:rsidR="00595770" w:rsidRPr="00774395">
        <w:t>impact</w:t>
      </w:r>
      <w:r w:rsidR="00E01529" w:rsidRPr="00774395">
        <w:t xml:space="preserve"> of BC addition on AD performance was confirmed i</w:t>
      </w:r>
      <w:r w:rsidR="001B56E7" w:rsidRPr="00774395">
        <w:t>n feeding conditions closer to the full</w:t>
      </w:r>
      <w:r w:rsidR="00F43D1A" w:rsidRPr="00774395">
        <w:t>-</w:t>
      </w:r>
      <w:r w:rsidR="001B56E7" w:rsidRPr="00774395">
        <w:t>scale</w:t>
      </w:r>
      <w:r w:rsidR="00A054C7" w:rsidRPr="00774395">
        <w:t xml:space="preserve"> than batch tests</w:t>
      </w:r>
      <w:r w:rsidR="001B56E7" w:rsidRPr="00774395">
        <w:t>.</w:t>
      </w:r>
    </w:p>
    <w:p w14:paraId="3D5A7087" w14:textId="77777777" w:rsidR="00FA01F2" w:rsidRPr="00774395" w:rsidRDefault="00FA01F2" w:rsidP="00265A4E">
      <w:pPr>
        <w:jc w:val="both"/>
      </w:pPr>
    </w:p>
    <w:p w14:paraId="4F429659" w14:textId="49B23098" w:rsidR="00BC0132" w:rsidRPr="00774395" w:rsidRDefault="00BC0132" w:rsidP="00FA01F2">
      <w:pPr>
        <w:pStyle w:val="Didascalia"/>
        <w:jc w:val="center"/>
      </w:pPr>
    </w:p>
    <w:p w14:paraId="1E56B4FB" w14:textId="751BACD8" w:rsidR="009A7E97" w:rsidRPr="00774395" w:rsidRDefault="009A7E97" w:rsidP="002F551A">
      <w:pPr>
        <w:jc w:val="center"/>
      </w:pPr>
      <w:r w:rsidRPr="00774395">
        <w:rPr>
          <w:noProof/>
        </w:rPr>
        <w:lastRenderedPageBreak/>
        <w:drawing>
          <wp:inline distT="0" distB="0" distL="0" distR="0" wp14:anchorId="499221CE" wp14:editId="30EA5A7E">
            <wp:extent cx="6114013" cy="4905955"/>
            <wp:effectExtent l="0" t="0" r="127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t="12569" b="2207"/>
                    <a:stretch/>
                  </pic:blipFill>
                  <pic:spPr bwMode="auto">
                    <a:xfrm>
                      <a:off x="0" y="0"/>
                      <a:ext cx="6114415" cy="4906278"/>
                    </a:xfrm>
                    <a:prstGeom prst="rect">
                      <a:avLst/>
                    </a:prstGeom>
                    <a:noFill/>
                    <a:ln>
                      <a:noFill/>
                    </a:ln>
                    <a:extLst>
                      <a:ext uri="{53640926-AAD7-44D8-BBD7-CCE9431645EC}">
                        <a14:shadowObscured xmlns:a14="http://schemas.microsoft.com/office/drawing/2010/main"/>
                      </a:ext>
                    </a:extLst>
                  </pic:spPr>
                </pic:pic>
              </a:graphicData>
            </a:graphic>
          </wp:inline>
        </w:drawing>
      </w:r>
    </w:p>
    <w:p w14:paraId="6FBCA1D7" w14:textId="68CD1A08" w:rsidR="00446335" w:rsidRPr="00774395" w:rsidRDefault="00F11E6B" w:rsidP="00265A4E">
      <w:pPr>
        <w:pStyle w:val="Didascalia"/>
        <w:spacing w:line="480" w:lineRule="auto"/>
        <w:jc w:val="both"/>
      </w:pPr>
      <w:bookmarkStart w:id="6" w:name="_Ref86844698"/>
      <w:r w:rsidRPr="00774395">
        <w:rPr>
          <w:sz w:val="22"/>
          <w:szCs w:val="22"/>
        </w:rPr>
        <w:t>Figure 3</w:t>
      </w:r>
      <w:bookmarkEnd w:id="6"/>
      <w:r w:rsidR="00561385" w:rsidRPr="00774395">
        <w:rPr>
          <w:sz w:val="22"/>
          <w:szCs w:val="22"/>
        </w:rPr>
        <w:t xml:space="preserve">. Forest plot of </w:t>
      </w:r>
      <w:r w:rsidR="0085577A" w:rsidRPr="00774395">
        <w:rPr>
          <w:sz w:val="22"/>
          <w:szCs w:val="22"/>
        </w:rPr>
        <w:t xml:space="preserve">the </w:t>
      </w:r>
      <w:r w:rsidR="00A054C7" w:rsidRPr="00774395">
        <w:rPr>
          <w:sz w:val="22"/>
          <w:szCs w:val="22"/>
        </w:rPr>
        <w:t>summary</w:t>
      </w:r>
      <w:r w:rsidR="00561385" w:rsidRPr="00774395">
        <w:rPr>
          <w:sz w:val="22"/>
          <w:szCs w:val="22"/>
        </w:rPr>
        <w:t xml:space="preserve"> effects (</w:t>
      </w:r>
      <w:r w:rsidR="00561385" w:rsidRPr="00774395">
        <w:rPr>
          <w:i/>
          <w:sz w:val="22"/>
          <w:szCs w:val="22"/>
        </w:rPr>
        <w:t xml:space="preserve">g - </w:t>
      </w:r>
      <w:r w:rsidR="00561385" w:rsidRPr="00774395">
        <w:rPr>
          <w:iCs w:val="0"/>
          <w:sz w:val="22"/>
          <w:szCs w:val="22"/>
        </w:rPr>
        <w:t>Hedges’ standardized mean difference</w:t>
      </w:r>
      <w:r w:rsidR="00561385" w:rsidRPr="00774395">
        <w:rPr>
          <w:sz w:val="22"/>
          <w:szCs w:val="22"/>
        </w:rPr>
        <w:t>): influence of biochar addition on CH</w:t>
      </w:r>
      <w:r w:rsidR="00561385" w:rsidRPr="00774395">
        <w:rPr>
          <w:sz w:val="22"/>
          <w:szCs w:val="22"/>
          <w:vertAlign w:val="subscript"/>
        </w:rPr>
        <w:t>4</w:t>
      </w:r>
      <w:r w:rsidR="00561385" w:rsidRPr="00774395">
        <w:rPr>
          <w:sz w:val="22"/>
          <w:szCs w:val="22"/>
        </w:rPr>
        <w:t xml:space="preserve"> yield, maximum CH</w:t>
      </w:r>
      <w:r w:rsidR="00561385" w:rsidRPr="00774395">
        <w:rPr>
          <w:sz w:val="22"/>
          <w:szCs w:val="22"/>
          <w:vertAlign w:val="subscript"/>
        </w:rPr>
        <w:t>4</w:t>
      </w:r>
      <w:r w:rsidR="00561385" w:rsidRPr="00774395">
        <w:rPr>
          <w:sz w:val="22"/>
          <w:szCs w:val="22"/>
        </w:rPr>
        <w:t xml:space="preserve"> production rate (R</w:t>
      </w:r>
      <w:r w:rsidR="00561385" w:rsidRPr="00774395">
        <w:rPr>
          <w:sz w:val="22"/>
          <w:szCs w:val="22"/>
          <w:vertAlign w:val="subscript"/>
        </w:rPr>
        <w:t>max</w:t>
      </w:r>
      <w:r w:rsidR="00561385" w:rsidRPr="00774395">
        <w:rPr>
          <w:sz w:val="22"/>
          <w:szCs w:val="22"/>
        </w:rPr>
        <w:t>) and lag-phase (</w:t>
      </w:r>
      <w:r w:rsidR="00561385" w:rsidRPr="00774395">
        <w:rPr>
          <w:rFonts w:cs="Times New Roman"/>
          <w:sz w:val="22"/>
          <w:szCs w:val="22"/>
        </w:rPr>
        <w:t>λ</w:t>
      </w:r>
      <w:r w:rsidR="00561385" w:rsidRPr="00774395">
        <w:rPr>
          <w:sz w:val="22"/>
          <w:szCs w:val="22"/>
        </w:rPr>
        <w:t xml:space="preserve">) from </w:t>
      </w:r>
      <w:r w:rsidR="0085577A" w:rsidRPr="00774395">
        <w:rPr>
          <w:sz w:val="22"/>
          <w:szCs w:val="22"/>
        </w:rPr>
        <w:t>m</w:t>
      </w:r>
      <w:r w:rsidR="00561385" w:rsidRPr="00774395">
        <w:rPr>
          <w:sz w:val="22"/>
          <w:szCs w:val="22"/>
        </w:rPr>
        <w:t xml:space="preserve">odified Gompertz fitting during batch </w:t>
      </w:r>
      <w:r w:rsidR="0085577A" w:rsidRPr="00774395">
        <w:rPr>
          <w:sz w:val="22"/>
          <w:szCs w:val="22"/>
        </w:rPr>
        <w:t>AD</w:t>
      </w:r>
      <w:r w:rsidR="00561385" w:rsidRPr="00774395">
        <w:rPr>
          <w:sz w:val="22"/>
          <w:szCs w:val="22"/>
        </w:rPr>
        <w:t xml:space="preserve"> tests; influence of biochar addition on CH</w:t>
      </w:r>
      <w:r w:rsidR="00561385" w:rsidRPr="00774395">
        <w:rPr>
          <w:sz w:val="22"/>
          <w:szCs w:val="22"/>
          <w:vertAlign w:val="subscript"/>
        </w:rPr>
        <w:t>4</w:t>
      </w:r>
      <w:r w:rsidR="00561385" w:rsidRPr="00774395">
        <w:rPr>
          <w:sz w:val="22"/>
          <w:szCs w:val="22"/>
        </w:rPr>
        <w:t xml:space="preserve"> production rate during semi-continuous AD tests. The position of a diamond stays for the </w:t>
      </w:r>
      <w:r w:rsidR="0085577A" w:rsidRPr="00774395">
        <w:rPr>
          <w:sz w:val="22"/>
          <w:szCs w:val="22"/>
        </w:rPr>
        <w:t>average</w:t>
      </w:r>
      <w:r w:rsidR="00561385" w:rsidRPr="00774395">
        <w:rPr>
          <w:sz w:val="22"/>
          <w:szCs w:val="22"/>
        </w:rPr>
        <w:t xml:space="preserve"> effect size and its vertices for the lower and upper 95% confidence intervals; the dashed line identifies the 95% prediction intervals.</w:t>
      </w:r>
    </w:p>
    <w:p w14:paraId="0C63E3CB" w14:textId="77777777" w:rsidR="00D9656E" w:rsidRPr="00774395" w:rsidRDefault="00D9656E" w:rsidP="00446335"/>
    <w:p w14:paraId="64B078EF" w14:textId="7FC1DBFD" w:rsidR="00714342" w:rsidRPr="00774395" w:rsidRDefault="00931735" w:rsidP="00714342">
      <w:pPr>
        <w:pStyle w:val="Titolo3"/>
      </w:pPr>
      <w:r w:rsidRPr="00774395">
        <w:t>4</w:t>
      </w:r>
      <w:r w:rsidR="006B61C4" w:rsidRPr="00774395">
        <w:t>.</w:t>
      </w:r>
      <w:r w:rsidR="00D304E5" w:rsidRPr="00774395">
        <w:t>2</w:t>
      </w:r>
      <w:r w:rsidR="006B61C4" w:rsidRPr="00774395">
        <w:t>.</w:t>
      </w:r>
      <w:r w:rsidR="00714342" w:rsidRPr="00774395">
        <w:t>2</w:t>
      </w:r>
      <w:r w:rsidR="006B61C4" w:rsidRPr="00774395">
        <w:t xml:space="preserve">. </w:t>
      </w:r>
      <w:r w:rsidR="003E1313" w:rsidRPr="00774395">
        <w:t xml:space="preserve">Effect of moderator variables on </w:t>
      </w:r>
      <w:r w:rsidR="00BA362C" w:rsidRPr="00774395">
        <w:t>CH</w:t>
      </w:r>
      <w:r w:rsidR="00BA362C" w:rsidRPr="00774395">
        <w:rPr>
          <w:vertAlign w:val="subscript"/>
        </w:rPr>
        <w:t>4</w:t>
      </w:r>
      <w:r w:rsidR="003E1313" w:rsidRPr="00774395">
        <w:t xml:space="preserve"> yield, maximum </w:t>
      </w:r>
      <w:r w:rsidR="00BA362C" w:rsidRPr="00774395">
        <w:t>CH</w:t>
      </w:r>
      <w:r w:rsidR="00BA362C" w:rsidRPr="00774395">
        <w:rPr>
          <w:vertAlign w:val="subscript"/>
        </w:rPr>
        <w:t>4</w:t>
      </w:r>
      <w:r w:rsidR="003E1313" w:rsidRPr="00774395">
        <w:t xml:space="preserve"> production rate and lag-phase</w:t>
      </w:r>
    </w:p>
    <w:p w14:paraId="571ABFC6" w14:textId="7748A037" w:rsidR="0093575C" w:rsidRPr="00774395" w:rsidRDefault="00A054C7" w:rsidP="00265A4E">
      <w:pPr>
        <w:jc w:val="both"/>
        <w:rPr>
          <w:rFonts w:cs="Times New Roman"/>
        </w:rPr>
      </w:pPr>
      <w:r w:rsidRPr="00774395">
        <w:t>As just described</w:t>
      </w:r>
      <w:r w:rsidR="004F1E07" w:rsidRPr="00774395">
        <w:t xml:space="preserve">, </w:t>
      </w:r>
      <w:r w:rsidR="00C52EF6" w:rsidRPr="00774395">
        <w:t>in the meta-analysis with 40</w:t>
      </w:r>
      <w:r w:rsidR="005E761A" w:rsidRPr="00774395">
        <w:t>8</w:t>
      </w:r>
      <w:r w:rsidR="00C52EF6" w:rsidRPr="00774395">
        <w:t xml:space="preserve"> paired conditions in batch mode and 8</w:t>
      </w:r>
      <w:r w:rsidR="005E761A" w:rsidRPr="00774395">
        <w:t>3</w:t>
      </w:r>
      <w:r w:rsidR="00C52EF6" w:rsidRPr="00774395">
        <w:t xml:space="preserve"> </w:t>
      </w:r>
      <w:r w:rsidR="00F23D53" w:rsidRPr="00774395">
        <w:t xml:space="preserve">conditions </w:t>
      </w:r>
      <w:r w:rsidR="00C52EF6" w:rsidRPr="00774395">
        <w:t>in semi-continuous mode, BC supplementation to AD significantly enhanced CH</w:t>
      </w:r>
      <w:r w:rsidR="00C52EF6" w:rsidRPr="00774395">
        <w:rPr>
          <w:vertAlign w:val="subscript"/>
        </w:rPr>
        <w:t>4</w:t>
      </w:r>
      <w:r w:rsidR="00C52EF6" w:rsidRPr="00774395">
        <w:t xml:space="preserve"> yield, R</w:t>
      </w:r>
      <w:r w:rsidR="00C52EF6" w:rsidRPr="00774395">
        <w:rPr>
          <w:vertAlign w:val="subscript"/>
        </w:rPr>
        <w:t>max</w:t>
      </w:r>
      <w:r w:rsidR="00C52EF6" w:rsidRPr="00774395">
        <w:t>, and CH</w:t>
      </w:r>
      <w:r w:rsidR="00C52EF6" w:rsidRPr="00774395">
        <w:rPr>
          <w:vertAlign w:val="subscript"/>
        </w:rPr>
        <w:t>4</w:t>
      </w:r>
      <w:r w:rsidR="00C52EF6" w:rsidRPr="00774395">
        <w:t xml:space="preserve"> production rate, while reduced </w:t>
      </w:r>
      <w:r w:rsidR="00C52EF6" w:rsidRPr="00774395">
        <w:rPr>
          <w:rFonts w:cs="Times New Roman"/>
        </w:rPr>
        <w:t>λ</w:t>
      </w:r>
      <w:r w:rsidR="00F23D53" w:rsidRPr="00774395">
        <w:rPr>
          <w:rFonts w:cs="Times New Roman"/>
        </w:rPr>
        <w:t>.</w:t>
      </w:r>
      <w:r w:rsidR="00C52EF6" w:rsidRPr="00774395">
        <w:t xml:space="preserve"> </w:t>
      </w:r>
      <w:r w:rsidR="00F23D53" w:rsidRPr="00774395">
        <w:t>Therefore, globally</w:t>
      </w:r>
      <w:r w:rsidR="005E761A" w:rsidRPr="00774395">
        <w:t>,</w:t>
      </w:r>
      <w:r w:rsidR="00F23D53" w:rsidRPr="00774395">
        <w:t xml:space="preserve"> </w:t>
      </w:r>
      <w:r w:rsidR="004F1E07" w:rsidRPr="00774395">
        <w:t xml:space="preserve">BC addition to AD </w:t>
      </w:r>
      <w:r w:rsidR="00F23D53" w:rsidRPr="00774395">
        <w:t>can</w:t>
      </w:r>
      <w:r w:rsidR="004F1E07" w:rsidRPr="00774395">
        <w:t xml:space="preserve"> enhance and accelerate methane production. </w:t>
      </w:r>
      <w:r w:rsidR="00F23D53" w:rsidRPr="00774395">
        <w:t xml:space="preserve">However, </w:t>
      </w:r>
      <w:r w:rsidRPr="00774395">
        <w:t xml:space="preserve">the </w:t>
      </w:r>
      <w:r w:rsidR="00F23D53" w:rsidRPr="00774395">
        <w:t>summary effects exhibited a significant heterogeneity (</w:t>
      </w:r>
      <w:r w:rsidR="00F11E6B" w:rsidRPr="00774395">
        <w:t>Figure</w:t>
      </w:r>
      <w:r w:rsidR="00F11E6B" w:rsidRPr="00774395" w:rsidDel="00F11E6B">
        <w:t xml:space="preserve"> </w:t>
      </w:r>
      <w:r w:rsidR="00F11E6B" w:rsidRPr="00774395">
        <w:t>3</w:t>
      </w:r>
      <w:r w:rsidR="00F23D53" w:rsidRPr="00774395">
        <w:t xml:space="preserve">) due to the high variability of </w:t>
      </w:r>
      <w:r w:rsidR="00637EBA" w:rsidRPr="00774395">
        <w:lastRenderedPageBreak/>
        <w:t xml:space="preserve">the employed </w:t>
      </w:r>
      <w:r w:rsidR="00F23D53" w:rsidRPr="00774395">
        <w:t xml:space="preserve">BCs and AD conditions. In this section, the influence of different moderator variables </w:t>
      </w:r>
      <w:r w:rsidR="00E0632C" w:rsidRPr="00774395">
        <w:t>was</w:t>
      </w:r>
      <w:r w:rsidR="00502A04" w:rsidRPr="00774395">
        <w:t xml:space="preserve"> assessed and discussed through subgroups analysis</w:t>
      </w:r>
      <w:r w:rsidR="00637EBA" w:rsidRPr="00774395">
        <w:t>. T</w:t>
      </w:r>
      <w:r w:rsidR="00502A04" w:rsidRPr="00774395">
        <w:t>he</w:t>
      </w:r>
      <w:r w:rsidR="00C525EC" w:rsidRPr="00774395">
        <w:t xml:space="preserve"> </w:t>
      </w:r>
      <w:r w:rsidR="00502A04" w:rsidRPr="00774395">
        <w:t xml:space="preserve">variables </w:t>
      </w:r>
      <w:r w:rsidR="005E761A" w:rsidRPr="00774395">
        <w:t xml:space="preserve">considered </w:t>
      </w:r>
      <w:r w:rsidR="00502A04" w:rsidRPr="00774395">
        <w:t>were</w:t>
      </w:r>
      <w:r w:rsidR="007E550C" w:rsidRPr="00774395">
        <w:t xml:space="preserve"> as follows</w:t>
      </w:r>
      <w:r w:rsidR="00502A04" w:rsidRPr="00774395">
        <w:t xml:space="preserve">: </w:t>
      </w:r>
      <w:r w:rsidR="00C525EC" w:rsidRPr="00774395">
        <w:t xml:space="preserve">AD </w:t>
      </w:r>
      <w:r w:rsidR="00502A04" w:rsidRPr="00774395">
        <w:t xml:space="preserve">temperature and substrates, </w:t>
      </w:r>
      <w:r w:rsidR="00C525EC" w:rsidRPr="00774395">
        <w:t xml:space="preserve">BC </w:t>
      </w:r>
      <w:r w:rsidR="00502A04" w:rsidRPr="00774395">
        <w:t xml:space="preserve">dose, temperature and feedstocks for BC production, </w:t>
      </w:r>
      <w:r w:rsidR="00F55952" w:rsidRPr="00774395">
        <w:t xml:space="preserve">and </w:t>
      </w:r>
      <w:r w:rsidR="00C525EC" w:rsidRPr="00774395">
        <w:t xml:space="preserve">BC </w:t>
      </w:r>
      <w:r w:rsidR="00502A04" w:rsidRPr="00774395">
        <w:t>physi</w:t>
      </w:r>
      <w:r w:rsidR="00216A35" w:rsidRPr="00774395">
        <w:t>c</w:t>
      </w:r>
      <w:r w:rsidR="00502A04" w:rsidRPr="00774395">
        <w:t>o-chemical properties (ash, pH, surface area, O/C and H/C molar ratios, C,</w:t>
      </w:r>
      <w:r w:rsidR="00F55952" w:rsidRPr="00774395">
        <w:t xml:space="preserve"> </w:t>
      </w:r>
      <w:r w:rsidR="00502A04" w:rsidRPr="00774395">
        <w:t>H,</w:t>
      </w:r>
      <w:r w:rsidR="00F55952" w:rsidRPr="00774395">
        <w:t xml:space="preserve"> </w:t>
      </w:r>
      <w:r w:rsidR="00502A04" w:rsidRPr="00774395">
        <w:t>O, N</w:t>
      </w:r>
      <w:r w:rsidR="00C525EC" w:rsidRPr="00774395">
        <w:t xml:space="preserve"> contents</w:t>
      </w:r>
      <w:r w:rsidR="00502A04" w:rsidRPr="00774395">
        <w:t>).</w:t>
      </w:r>
      <w:r w:rsidR="004E5EAC" w:rsidRPr="00774395">
        <w:t xml:space="preserve"> </w:t>
      </w:r>
      <w:r w:rsidR="00434460" w:rsidRPr="00774395">
        <w:t>T</w:t>
      </w:r>
      <w:r w:rsidR="004E5EAC" w:rsidRPr="00774395">
        <w:t>he impact of the moderator variables on CH</w:t>
      </w:r>
      <w:r w:rsidR="004E5EAC" w:rsidRPr="00774395">
        <w:rPr>
          <w:vertAlign w:val="subscript"/>
        </w:rPr>
        <w:t>4</w:t>
      </w:r>
      <w:r w:rsidR="004E5EAC" w:rsidRPr="00774395">
        <w:t xml:space="preserve"> yield is</w:t>
      </w:r>
      <w:r w:rsidR="00434460" w:rsidRPr="00774395">
        <w:t xml:space="preserve"> discussed as follows</w:t>
      </w:r>
      <w:r w:rsidR="004E5EAC" w:rsidRPr="00774395">
        <w:t>, while their effect on R</w:t>
      </w:r>
      <w:r w:rsidR="004E5EAC" w:rsidRPr="00774395">
        <w:rPr>
          <w:vertAlign w:val="subscript"/>
        </w:rPr>
        <w:t>max</w:t>
      </w:r>
      <w:r w:rsidR="004E5EAC" w:rsidRPr="00774395">
        <w:t xml:space="preserve"> and </w:t>
      </w:r>
      <w:r w:rsidR="004E5EAC" w:rsidRPr="00774395">
        <w:rPr>
          <w:rFonts w:cs="Times New Roman"/>
        </w:rPr>
        <w:t xml:space="preserve">λ is </w:t>
      </w:r>
      <w:r w:rsidR="00434460" w:rsidRPr="00774395">
        <w:rPr>
          <w:rFonts w:cs="Times New Roman"/>
        </w:rPr>
        <w:t xml:space="preserve">exposed in Appendix B </w:t>
      </w:r>
      <w:r w:rsidR="004E5EAC" w:rsidRPr="00774395">
        <w:rPr>
          <w:rFonts w:cs="Times New Roman"/>
        </w:rPr>
        <w:t xml:space="preserve">(Figure B1 and B2). </w:t>
      </w:r>
    </w:p>
    <w:p w14:paraId="7213C088" w14:textId="77777777" w:rsidR="00EB4CEB" w:rsidRPr="00774395" w:rsidRDefault="00EB4CEB" w:rsidP="00265A4E">
      <w:pPr>
        <w:jc w:val="both"/>
      </w:pPr>
    </w:p>
    <w:p w14:paraId="090A7014" w14:textId="1A90B764" w:rsidR="00AB1C43" w:rsidRPr="00774395" w:rsidRDefault="00D669C2" w:rsidP="00265A4E">
      <w:pPr>
        <w:pStyle w:val="Titolo4"/>
        <w:jc w:val="both"/>
        <w:rPr>
          <w:sz w:val="24"/>
          <w:szCs w:val="24"/>
        </w:rPr>
      </w:pPr>
      <w:r>
        <w:rPr>
          <w:sz w:val="24"/>
          <w:szCs w:val="24"/>
        </w:rPr>
        <w:t xml:space="preserve">4.2.3. </w:t>
      </w:r>
      <w:r w:rsidR="00AB1C43" w:rsidRPr="00774395">
        <w:rPr>
          <w:sz w:val="24"/>
          <w:szCs w:val="24"/>
        </w:rPr>
        <w:t>Impact on methane yield</w:t>
      </w:r>
    </w:p>
    <w:p w14:paraId="21C17967" w14:textId="3E110F3D" w:rsidR="00A77B9A" w:rsidRPr="00774395" w:rsidRDefault="003E0143" w:rsidP="00265A4E">
      <w:pPr>
        <w:jc w:val="both"/>
        <w:rPr>
          <w:lang w:val="en-US"/>
        </w:rPr>
      </w:pPr>
      <w:r w:rsidRPr="00774395">
        <w:rPr>
          <w:lang w:val="en-US"/>
        </w:rPr>
        <w:t xml:space="preserve">In </w:t>
      </w:r>
      <w:r w:rsidR="00F11E6B" w:rsidRPr="00774395">
        <w:t>Figure</w:t>
      </w:r>
      <w:r w:rsidR="00F11E6B" w:rsidRPr="00774395" w:rsidDel="00F11E6B">
        <w:t xml:space="preserve"> </w:t>
      </w:r>
      <w:r w:rsidR="00F11E6B" w:rsidRPr="00774395">
        <w:t>4</w:t>
      </w:r>
      <w:r w:rsidRPr="00774395">
        <w:rPr>
          <w:lang w:val="en-US"/>
        </w:rPr>
        <w:t xml:space="preserve">, </w:t>
      </w:r>
      <w:r w:rsidRPr="00774395">
        <w:t xml:space="preserve">the results of </w:t>
      </w:r>
      <w:r w:rsidR="00C525EC" w:rsidRPr="00774395">
        <w:t xml:space="preserve">the </w:t>
      </w:r>
      <w:r w:rsidRPr="00774395">
        <w:t>subgroups analysis on CH</w:t>
      </w:r>
      <w:r w:rsidRPr="00774395">
        <w:rPr>
          <w:vertAlign w:val="subscript"/>
        </w:rPr>
        <w:t>4</w:t>
      </w:r>
      <w:r w:rsidRPr="00774395">
        <w:t xml:space="preserve"> yield </w:t>
      </w:r>
      <w:r w:rsidR="00815C18" w:rsidRPr="00774395">
        <w:t xml:space="preserve">are presented, </w:t>
      </w:r>
      <w:r w:rsidRPr="00774395">
        <w:t xml:space="preserve">focusing on the influence of different moderator variables. </w:t>
      </w:r>
      <w:r w:rsidR="00EA008D" w:rsidRPr="00774395">
        <w:t xml:space="preserve">Considering </w:t>
      </w:r>
      <w:r w:rsidR="00814E3C" w:rsidRPr="00774395">
        <w:t xml:space="preserve">AD </w:t>
      </w:r>
      <w:r w:rsidR="00915C19" w:rsidRPr="00774395">
        <w:t>temperature</w:t>
      </w:r>
      <w:r w:rsidR="007C44EE" w:rsidRPr="00774395">
        <w:t xml:space="preserve"> (</w:t>
      </w:r>
      <w:r w:rsidR="00F11E6B" w:rsidRPr="00774395">
        <w:t>Figure</w:t>
      </w:r>
      <w:r w:rsidR="00F11E6B" w:rsidRPr="00774395" w:rsidDel="00F11E6B">
        <w:t xml:space="preserve"> </w:t>
      </w:r>
      <w:r w:rsidR="00F11E6B" w:rsidRPr="00774395">
        <w:t>4</w:t>
      </w:r>
      <w:r w:rsidR="007C44EE" w:rsidRPr="00774395">
        <w:rPr>
          <w:lang w:val="en-US"/>
        </w:rPr>
        <w:t>A</w:t>
      </w:r>
      <w:r w:rsidR="007C44EE" w:rsidRPr="00774395">
        <w:t>)</w:t>
      </w:r>
      <w:r w:rsidR="00915C19" w:rsidRPr="00774395">
        <w:t xml:space="preserve">, both mesophilic and thermophilic conditions </w:t>
      </w:r>
      <w:r w:rsidR="007C44EE" w:rsidRPr="00774395">
        <w:t>show</w:t>
      </w:r>
      <w:r w:rsidR="00814E3C" w:rsidRPr="00774395">
        <w:t>ed</w:t>
      </w:r>
      <w:r w:rsidR="007C44EE" w:rsidRPr="00774395">
        <w:t xml:space="preserve"> positive effects of BC on CH</w:t>
      </w:r>
      <w:r w:rsidR="007C44EE" w:rsidRPr="00774395">
        <w:rPr>
          <w:vertAlign w:val="subscript"/>
        </w:rPr>
        <w:t>4</w:t>
      </w:r>
      <w:r w:rsidR="007C44EE" w:rsidRPr="00774395">
        <w:t xml:space="preserve"> yield, slightly larger at mesophilic temperatures. </w:t>
      </w:r>
      <w:r w:rsidR="00934FDB" w:rsidRPr="00774395">
        <w:t>Further,</w:t>
      </w:r>
      <w:r w:rsidR="00A77B9A" w:rsidRPr="00774395">
        <w:t xml:space="preserve"> </w:t>
      </w:r>
      <w:bookmarkStart w:id="7" w:name="_Hlk87001663"/>
      <w:r w:rsidR="006E39B1" w:rsidRPr="00774395">
        <w:t>a positive effect of BC addition was observed for most</w:t>
      </w:r>
      <w:r w:rsidR="006E39B1" w:rsidRPr="00774395">
        <w:rPr>
          <w:b/>
          <w:bCs/>
        </w:rPr>
        <w:t xml:space="preserve"> </w:t>
      </w:r>
      <w:r w:rsidR="00C525EC" w:rsidRPr="00774395">
        <w:t>AD</w:t>
      </w:r>
      <w:r w:rsidR="00C525EC" w:rsidRPr="00774395">
        <w:rPr>
          <w:b/>
          <w:bCs/>
        </w:rPr>
        <w:t xml:space="preserve"> </w:t>
      </w:r>
      <w:r w:rsidR="00A77B9A" w:rsidRPr="00774395">
        <w:t xml:space="preserve">substrates except </w:t>
      </w:r>
      <w:r w:rsidR="006E39B1" w:rsidRPr="00774395">
        <w:t xml:space="preserve">in the case of </w:t>
      </w:r>
      <w:r w:rsidR="00A77B9A" w:rsidRPr="00774395">
        <w:t>wastewater</w:t>
      </w:r>
      <w:r w:rsidR="00C525EC" w:rsidRPr="00774395">
        <w:t>,</w:t>
      </w:r>
      <w:r w:rsidR="00934FDB" w:rsidRPr="00774395">
        <w:t xml:space="preserve"> which did</w:t>
      </w:r>
      <w:r w:rsidR="00814E3C" w:rsidRPr="00774395">
        <w:t xml:space="preserve"> not</w:t>
      </w:r>
      <w:r w:rsidR="00934FDB" w:rsidRPr="00774395">
        <w:t xml:space="preserve"> exhibit a statistically </w:t>
      </w:r>
      <w:r w:rsidR="006E39B1" w:rsidRPr="00774395">
        <w:t xml:space="preserve">significant </w:t>
      </w:r>
      <w:r w:rsidR="00934FDB" w:rsidRPr="00774395">
        <w:t>difference from the null effect</w:t>
      </w:r>
      <w:bookmarkEnd w:id="7"/>
      <w:r w:rsidR="00A77B9A" w:rsidRPr="00774395">
        <w:t xml:space="preserve">. </w:t>
      </w:r>
      <w:r w:rsidR="00E762B7" w:rsidRPr="00774395">
        <w:t>The lowest</w:t>
      </w:r>
      <w:r w:rsidR="006C2EF4" w:rsidRPr="00774395">
        <w:t xml:space="preserve"> effect </w:t>
      </w:r>
      <w:r w:rsidR="00E762B7" w:rsidRPr="00774395">
        <w:t xml:space="preserve">was </w:t>
      </w:r>
      <w:r w:rsidR="006C2EF4" w:rsidRPr="00774395">
        <w:t xml:space="preserve">for simple substrates, </w:t>
      </w:r>
      <w:r w:rsidR="00F00A4E" w:rsidRPr="00774395">
        <w:t>the largest</w:t>
      </w:r>
      <w:r w:rsidR="006C2EF4" w:rsidRPr="00774395">
        <w:t xml:space="preserve"> for co-digestion. </w:t>
      </w:r>
      <w:r w:rsidR="00F00A4E" w:rsidRPr="00774395">
        <w:t xml:space="preserve">The relatively large </w:t>
      </w:r>
      <w:r w:rsidR="006C2EF4" w:rsidRPr="00774395">
        <w:t xml:space="preserve">CIs of co-digestion and wastewater </w:t>
      </w:r>
      <w:r w:rsidR="00F00A4E" w:rsidRPr="00774395">
        <w:t xml:space="preserve">may be </w:t>
      </w:r>
      <w:r w:rsidR="006E39B1" w:rsidRPr="00774395">
        <w:t>attributed</w:t>
      </w:r>
      <w:r w:rsidR="006C2EF4" w:rsidRPr="00774395">
        <w:t xml:space="preserve"> to the </w:t>
      </w:r>
      <w:r w:rsidR="006A3269" w:rsidRPr="00774395">
        <w:t>limited</w:t>
      </w:r>
      <w:r w:rsidR="006C2EF4" w:rsidRPr="00774395">
        <w:t xml:space="preserve"> </w:t>
      </w:r>
      <w:r w:rsidR="00DF0A7D" w:rsidRPr="00774395">
        <w:t>sample size</w:t>
      </w:r>
      <w:r w:rsidR="00F00A4E" w:rsidRPr="00774395">
        <w:t xml:space="preserve">, but also to </w:t>
      </w:r>
      <w:r w:rsidR="006C2EF4" w:rsidRPr="00774395">
        <w:t>the high</w:t>
      </w:r>
      <w:r w:rsidR="00F00A4E" w:rsidRPr="00774395">
        <w:t>ly</w:t>
      </w:r>
      <w:r w:rsidR="006C2EF4" w:rsidRPr="00774395">
        <w:t xml:space="preserve"> heterogene</w:t>
      </w:r>
      <w:r w:rsidR="00F00A4E" w:rsidRPr="00774395">
        <w:t>ous nature</w:t>
      </w:r>
      <w:r w:rsidR="006C2EF4" w:rsidRPr="00774395">
        <w:t xml:space="preserve"> of </w:t>
      </w:r>
      <w:r w:rsidR="00F00A4E" w:rsidRPr="00774395">
        <w:t xml:space="preserve">these </w:t>
      </w:r>
      <w:r w:rsidR="006C2EF4" w:rsidRPr="00774395">
        <w:t>substrate</w:t>
      </w:r>
      <w:r w:rsidR="006A3269" w:rsidRPr="00774395">
        <w:t>s</w:t>
      </w:r>
      <w:r w:rsidR="006C2EF4" w:rsidRPr="00774395">
        <w:t xml:space="preserve">. </w:t>
      </w:r>
      <w:r w:rsidR="006A3269" w:rsidRPr="00774395">
        <w:t>T</w:t>
      </w:r>
      <w:r w:rsidR="00682CEC" w:rsidRPr="00774395">
        <w:t xml:space="preserve">he effect for </w:t>
      </w:r>
      <w:r w:rsidR="006C2EF4" w:rsidRPr="00774395">
        <w:t xml:space="preserve">sewage sludge </w:t>
      </w:r>
      <w:r w:rsidR="00682CEC" w:rsidRPr="00774395">
        <w:t xml:space="preserve">was </w:t>
      </w:r>
      <w:r w:rsidR="006C2EF4" w:rsidRPr="00774395">
        <w:t xml:space="preserve">slightly lower than </w:t>
      </w:r>
      <w:r w:rsidR="00682CEC" w:rsidRPr="00774395">
        <w:t xml:space="preserve">for </w:t>
      </w:r>
      <w:r w:rsidR="006C2EF4" w:rsidRPr="00774395">
        <w:t>other</w:t>
      </w:r>
      <w:r w:rsidR="00682CEC" w:rsidRPr="00774395">
        <w:t xml:space="preserve"> substrates</w:t>
      </w:r>
      <w:r w:rsidR="006E39B1" w:rsidRPr="00774395">
        <w:t>,</w:t>
      </w:r>
      <w:r w:rsidR="00682CEC" w:rsidRPr="00774395">
        <w:t xml:space="preserve"> as </w:t>
      </w:r>
      <w:r w:rsidR="006E39B1" w:rsidRPr="00774395">
        <w:t xml:space="preserve">for </w:t>
      </w:r>
      <w:r w:rsidR="006C2EF4" w:rsidRPr="00774395">
        <w:t xml:space="preserve">OFMSW, manure, </w:t>
      </w:r>
      <w:r w:rsidR="00C845B3" w:rsidRPr="00774395">
        <w:t>food waste</w:t>
      </w:r>
      <w:r w:rsidR="00682CEC" w:rsidRPr="00774395">
        <w:t xml:space="preserve"> </w:t>
      </w:r>
      <w:r w:rsidR="00D130E2" w:rsidRPr="00774395">
        <w:t>with</w:t>
      </w:r>
      <w:r w:rsidR="00682CEC" w:rsidRPr="00774395">
        <w:t xml:space="preserve"> </w:t>
      </w:r>
      <w:r w:rsidR="006C2EF4" w:rsidRPr="00774395">
        <w:t>manure</w:t>
      </w:r>
      <w:r w:rsidR="00D130E2" w:rsidRPr="00774395">
        <w:t xml:space="preserve"> or </w:t>
      </w:r>
      <w:r w:rsidR="006C2EF4" w:rsidRPr="00774395">
        <w:t xml:space="preserve">sludge. </w:t>
      </w:r>
    </w:p>
    <w:p w14:paraId="3B9A0057" w14:textId="1022B19A" w:rsidR="006C2EF4" w:rsidRPr="00774395" w:rsidRDefault="006C2EF4" w:rsidP="00265A4E">
      <w:pPr>
        <w:jc w:val="both"/>
      </w:pPr>
      <w:r w:rsidRPr="00774395">
        <w:t>Overall,</w:t>
      </w:r>
      <w:r w:rsidR="00D45927" w:rsidRPr="00774395">
        <w:t xml:space="preserve"> </w:t>
      </w:r>
      <w:r w:rsidR="006E39B1" w:rsidRPr="00774395">
        <w:t xml:space="preserve">the </w:t>
      </w:r>
      <w:r w:rsidR="00D45927" w:rsidRPr="00774395">
        <w:t>BC</w:t>
      </w:r>
      <w:r w:rsidRPr="00774395">
        <w:t xml:space="preserve"> dose</w:t>
      </w:r>
      <w:r w:rsidRPr="00774395">
        <w:rPr>
          <w:b/>
          <w:bCs/>
        </w:rPr>
        <w:t xml:space="preserve"> </w:t>
      </w:r>
      <w:r w:rsidR="006E39B1" w:rsidRPr="00774395">
        <w:t>resulted in</w:t>
      </w:r>
      <w:r w:rsidR="00A73EDE" w:rsidRPr="00774395">
        <w:t xml:space="preserve"> </w:t>
      </w:r>
      <w:r w:rsidR="006E39B1" w:rsidRPr="00774395">
        <w:t xml:space="preserve">significantly </w:t>
      </w:r>
      <w:r w:rsidR="00A73EDE" w:rsidRPr="00774395">
        <w:t>positive</w:t>
      </w:r>
      <w:r w:rsidRPr="00774395">
        <w:t xml:space="preserve"> effect</w:t>
      </w:r>
      <w:r w:rsidR="00917FAE" w:rsidRPr="00774395">
        <w:t>s</w:t>
      </w:r>
      <w:r w:rsidR="009F0F87" w:rsidRPr="00774395">
        <w:t xml:space="preserve"> </w:t>
      </w:r>
      <w:r w:rsidR="00BF1BA8" w:rsidRPr="00774395">
        <w:t>on CH</w:t>
      </w:r>
      <w:r w:rsidR="00BF1BA8" w:rsidRPr="00774395">
        <w:rPr>
          <w:vertAlign w:val="subscript"/>
        </w:rPr>
        <w:t>4</w:t>
      </w:r>
      <w:r w:rsidR="00BF1BA8" w:rsidRPr="00774395">
        <w:t xml:space="preserve"> yield, </w:t>
      </w:r>
      <w:r w:rsidR="009F0F87" w:rsidRPr="00774395">
        <w:t xml:space="preserve">except </w:t>
      </w:r>
      <w:r w:rsidR="00DF0A7D" w:rsidRPr="00774395">
        <w:t>for</w:t>
      </w:r>
      <w:r w:rsidR="00BF1BA8" w:rsidRPr="00774395">
        <w:t xml:space="preserve"> the range </w:t>
      </w:r>
      <w:r w:rsidR="009F0F87" w:rsidRPr="00774395">
        <w:t xml:space="preserve">15-20 g </w:t>
      </w:r>
      <w:r w:rsidR="00BF1BA8" w:rsidRPr="00774395">
        <w:t>L</w:t>
      </w:r>
      <w:r w:rsidR="00BF1BA8" w:rsidRPr="00774395">
        <w:rPr>
          <w:vertAlign w:val="superscript"/>
        </w:rPr>
        <w:t>-1</w:t>
      </w:r>
      <w:r w:rsidRPr="00774395">
        <w:t xml:space="preserve">. </w:t>
      </w:r>
      <w:r w:rsidR="00D45927" w:rsidRPr="00774395">
        <w:t xml:space="preserve">The largest effect was observed for </w:t>
      </w:r>
      <w:r w:rsidR="00EE57B1" w:rsidRPr="00774395">
        <w:t>the lowest doses</w:t>
      </w:r>
      <w:r w:rsidR="00A1619F" w:rsidRPr="00774395">
        <w:t xml:space="preserve"> (&lt;</w:t>
      </w:r>
      <w:r w:rsidR="00BF1BA8" w:rsidRPr="00774395">
        <w:t>5 g L</w:t>
      </w:r>
      <w:r w:rsidR="00BF1BA8" w:rsidRPr="00774395">
        <w:rPr>
          <w:vertAlign w:val="superscript"/>
        </w:rPr>
        <w:t>-1</w:t>
      </w:r>
      <w:r w:rsidR="00A1619F" w:rsidRPr="00774395">
        <w:t>)</w:t>
      </w:r>
      <w:r w:rsidR="00AF6177" w:rsidRPr="00774395">
        <w:t>, followed by the range 5-10 g L</w:t>
      </w:r>
      <w:r w:rsidR="00AF6177" w:rsidRPr="00774395">
        <w:rPr>
          <w:vertAlign w:val="superscript"/>
        </w:rPr>
        <w:t>-1</w:t>
      </w:r>
      <w:r w:rsidR="00214941" w:rsidRPr="00774395">
        <w:t xml:space="preserve">. </w:t>
      </w:r>
      <w:r w:rsidR="00734692" w:rsidRPr="00774395">
        <w:t>Conversely,</w:t>
      </w:r>
      <w:r w:rsidR="00214941" w:rsidRPr="00774395">
        <w:t xml:space="preserve"> a previous </w:t>
      </w:r>
      <w:r w:rsidR="00637EBA" w:rsidRPr="00774395">
        <w:t>meta-analysis by Xiao et al. (2021)</w:t>
      </w:r>
      <w:r w:rsidR="00214941" w:rsidRPr="00774395">
        <w:t xml:space="preserve"> </w:t>
      </w:r>
      <w:r w:rsidR="00214941" w:rsidRPr="00774395">
        <w:fldChar w:fldCharType="begin" w:fldLock="1"/>
      </w:r>
      <w:r w:rsidR="00101137" w:rsidRPr="00774395">
        <w:instrText>ADDIN CSL_CITATION {"citationItems":[{"id":"ITEM-1","itemData":{"DOI":"10.1007/s10311-021-01251-6","ISSN":"16103661","abstract":"Climate change and energy demand are calling for more sustainable fuels such as biomethane produced by anaerobic digestion of organic waste. Biochar addition to waste is presumed to enhance the efficiency of methane production, yet individual reports disclose contradictory results. Therefore, we performed a meta-analysis of 27 selected publications containing 156 paired measurements of control and biochar-amended treatments to assess the impact of biochar on the methanogenic performance. Results show that biochar promotes biomethane production substantially with a high Hedge's d value of 5.7 ± 1.04, yet sporadic publications report a methane decline. Methanogenic performance is statistically controlled by feedstock type, pyrolysis temperature and biochar concentration, but not controlled by pH, size, surface area and methanogen species. These findings should help to tune the parameters of anaerobic digestion with biochar to optimize biomethane productions. Moreover, our results cast some doubt on the efficiency of adding biochar to soil to sequester carbon in soils because biochar promotes methane generation and, in turn, emissions of methane, a greenhouse gas, to the atmosphere.","author":[{"dropping-particle":"","family":"Xiao","given":"Leilei","non-dropping-particle":"","parse-names":false,"suffix":""},{"dropping-particle":"","family":"Lichtfouse","given":"Eric","non-dropping-particle":"","parse-names":false,"suffix":""},{"dropping-particle":"","family":"Kumar","given":"P. Senthil","non-dropping-particle":"","parse-names":false,"suffix":""},{"dropping-particle":"","family":"Wang","given":"Quan","non-dropping-particle":"","parse-names":false,"suffix":""},{"dropping-particle":"","family":"Liu","given":"Fanghua","non-dropping-particle":"","parse-names":false,"suffix":""}],"container-title":"Environmental Chemistry Letters","id":"ITEM-1","issue":"5","issued":{"date-parts":[["2021","5","1"]]},"page":"3557-3564","publisher":"Springer","title":"Biochar promotes methane production during anaerobic digestion of organic waste","type":"article-journal","volume":"19"},"uris":["http://www.mendeley.com/documents/?uuid=8db66765-0cc0-4fcf-aa38-c8e4a43aed7b"]}],"mendeley":{"formattedCitation":"[27]","plainTextFormattedCitation":"[27]","previouslyFormattedCitation":"[27]"},"properties":{"noteIndex":0},"schema":"https://github.com/citation-style-language/schema/raw/master/csl-citation.json"}</w:instrText>
      </w:r>
      <w:r w:rsidR="00214941" w:rsidRPr="00774395">
        <w:fldChar w:fldCharType="separate"/>
      </w:r>
      <w:r w:rsidR="00A90022" w:rsidRPr="00774395">
        <w:rPr>
          <w:noProof/>
        </w:rPr>
        <w:t>[27]</w:t>
      </w:r>
      <w:r w:rsidR="00214941" w:rsidRPr="00774395">
        <w:fldChar w:fldCharType="end"/>
      </w:r>
      <w:r w:rsidR="00214941" w:rsidRPr="00774395">
        <w:t xml:space="preserve"> </w:t>
      </w:r>
      <w:r w:rsidR="00734692" w:rsidRPr="00774395">
        <w:t>found</w:t>
      </w:r>
      <w:r w:rsidR="00214941" w:rsidRPr="00774395">
        <w:t xml:space="preserve"> a larger impact </w:t>
      </w:r>
      <w:r w:rsidR="00734692" w:rsidRPr="00774395">
        <w:t>on methane production for BC</w:t>
      </w:r>
      <w:r w:rsidR="00214941" w:rsidRPr="00774395">
        <w:t xml:space="preserve"> doses exceeding 10 g L</w:t>
      </w:r>
      <w:r w:rsidR="00214941" w:rsidRPr="00774395">
        <w:rPr>
          <w:vertAlign w:val="superscript"/>
        </w:rPr>
        <w:t>-1</w:t>
      </w:r>
      <w:r w:rsidR="00214941" w:rsidRPr="00774395">
        <w:t xml:space="preserve">. </w:t>
      </w:r>
      <w:r w:rsidR="00F262B7" w:rsidRPr="00774395">
        <w:t xml:space="preserve">Excessive </w:t>
      </w:r>
      <w:r w:rsidR="00A1619F" w:rsidRPr="00774395">
        <w:t xml:space="preserve">BC </w:t>
      </w:r>
      <w:r w:rsidR="00F262B7" w:rsidRPr="00774395">
        <w:t xml:space="preserve">doses can inhibit methane production, possibly due to the non-selective adsorption of gases or intermediate AD </w:t>
      </w:r>
      <w:r w:rsidR="00A1619F" w:rsidRPr="00774395">
        <w:t>products</w:t>
      </w:r>
      <w:r w:rsidR="006E39B1" w:rsidRPr="00774395">
        <w:t>,</w:t>
      </w:r>
      <w:r w:rsidR="00474C16" w:rsidRPr="00774395">
        <w:t xml:space="preserve"> or to the presence of </w:t>
      </w:r>
      <w:r w:rsidR="006E39B1" w:rsidRPr="00774395">
        <w:t xml:space="preserve">excessive </w:t>
      </w:r>
      <w:r w:rsidR="00474C16" w:rsidRPr="00774395">
        <w:t xml:space="preserve">concentrations of metals </w:t>
      </w:r>
      <w:r w:rsidR="002117A4" w:rsidRPr="00774395">
        <w:t>in</w:t>
      </w:r>
      <w:r w:rsidR="00474C16" w:rsidRPr="00774395">
        <w:t xml:space="preserve"> </w:t>
      </w:r>
      <w:r w:rsidR="006E39B1" w:rsidRPr="00774395">
        <w:t xml:space="preserve">the </w:t>
      </w:r>
      <w:r w:rsidR="00474C16" w:rsidRPr="00774395">
        <w:t>BC</w:t>
      </w:r>
      <w:r w:rsidR="002117A4" w:rsidRPr="00774395">
        <w:t xml:space="preserve"> </w:t>
      </w:r>
      <w:r w:rsidR="002117A4" w:rsidRPr="00774395">
        <w:fldChar w:fldCharType="begin" w:fldLock="1"/>
      </w:r>
      <w:r w:rsidR="00520099">
        <w:instrText>ADDIN CSL_CITATION {"citationItems":[{"id":"ITEM-1","itemData":{"DOI":"10.1016/j.biortech.2019.122354","ISSN":"18732976","abstract":"Anaerobic digestion (AD) is commonly used to treat biowastes, however, there are challenges in AD such as low methane yield, intermediate inhibition, and system instability. In this study, the effects of typical biochars on methane yield and microbial variation for AD with straw and cow manure were explored. The results indicated that cumulative methane yield with coconut shell biochar was higher than that without a biochar (319.44 vs. 282.77 mL/g VS). Interestingly, AD with biochars had a secondary methane yield peak, whereas control groups did not show this phenomenon. A suitable dosage (e.g., straw biochar of 2%) improved cumulative methane yield, but excessive addition (4%) could inhibit AD. AD system with biochar was more helpful for the growth of acetoclastic methanogens rather than hydrogenotrophic methanogens. The study demonstrated biochar can indeed enhance AD performance, and microbial community analyses could supply valuable information to elucidate the mechanism of enhancement.","author":[{"dropping-particle":"","family":"Shen","given":"Ruixia","non-dropping-particle":"","parse-names":false,"suffix":""},{"dropping-particle":"","family":"Jing","given":"Yong","non-dropping-particle":"","parse-names":false,"suffix":""},{"dropping-particle":"","family":"Feng","given":"Jing","non-dropping-particle":"","parse-names":false,"suffix":""},{"dropping-particle":"","family":"Luo","given":"Juan","non-dropping-particle":"","parse-names":false,"suffix":""},{"dropping-particle":"","family":"Yu","given":"Jiadong","non-dropping-particle":"","parse-names":false,"suffix":""},{"dropping-particle":"","family":"Zhao","given":"Lixin","non-dropping-particle":"","parse-names":false,"suffix":""}],"container-title":"Bioresource Technology","id":"ITEM-1","issued":{"date-parts":[["2020","1","1"]]},"page":"122354","publisher":"Elsevier Ltd","title":"Performance of enhanced anaerobic digestion with different pyrolysis biochars and microbial communities","type":"article-journal","volume":"296"},"uris":["http://www.mendeley.com/documents/?uuid=1a1d2816-5468-4c78-9d68-ff156609cb65"]},{"id":"ITEM-2","itemData":{"DOI":"10.1016/j.biortech.2021.124697","ISSN":"18732976","author":[{"dropping-particle":"","family":"Ma","given":"Junyi","non-dropping-particle":"","parse-names":false,"suffix":""},{"dropping-particle":"","family":"Chen","given":"Fengfen","non-dropping-particle":"","parse-names":false,"suffix":""},{"dropping-particle":"","family":"Xue","given":"Shuaixing","non-dropping-particle":"","parse-names":false,"suffix":""},{"dropping-particle":"","family":"Pan","given":"Junting","non-dropping-particle":"","parse-names":false,"suffix":""},{"dropping-particle":"","family":"Khoshnevisan","given":"Benyamin","non-dropping-particle":"","parse-names":false,"suffix":""},{"dropping-particle":"","family":"Yang","given":"Yadong","non-dropping-particle":"","parse-names":false,"suffix":""},{"dropping-particle":"","family":"Liu","given":"Hongbin","non-dropping-particle":"","parse-names":false,"suffix":""},{"dropping-particle":"","family":"Qiu","given":"Ling","non-dropping-particle":"","parse-names":false,"suffix":""}],"container-title":"Bioresource Technology","id":"ITEM-2","issued":{"date-parts":[["2021","4","1"]]},"page":"124697","publisher":"Elsevier Ltd","title":"Improving anaerobic digestion of chicken manure under optimized biochar supplementation strategies","type":"article-journal","volume":"325"},"uris":["http://www.mendeley.com/documents/?uuid=e0396ea6-e962-478e-a380-e1fdc7d71103"]},{"id":"ITEM-3","itemData":{"DOI":"10.1016/j.enconman.2020.112654","abstract":"Effectiveness of biochar addition to enhance thermophilic semi-continuous anaerobic digestion (AD) of food waste for methane production was investigated with a focus on dosage and particle size of biochar, pilot-scale application and elucidation of methanogenic pathways. Optimal dosage range of biochar was determined as 7.5 to 15 g per L working volume based on lab-scale batch AD. Effects of biochar with different particle sizes at a model dosage of 15 g/L were evaluated in a semi-continuous AD experiment, results of which showed that all the examined biochars with different particle sizes (&lt;50 μm to 3 cm) substantially enhanced the average methane yields (0.465–0.543 L/gVS) compared to control digesters which failed due to overloading (≥3.04 gVS/L/d). No significant difference in methane yields, however, was observed among digesters with different particle sizes of biochars, except for 1–3 cm. The core reason for this phenomenon was that the biochars with different particle sizes had similar properties (e.g. density, surface area and pore size) and that the floating of large particle size (1–3 cm) of biochar with a density of 847 kg/m was not conducive to microbial growth. Metagenomic analysis was performed to determine the predominant microbial species and to explain the main methanogenic pathways in biochar-amended digesters using 16S rRNA sequencing. In the biochar-amended digester, bacterial phylum Thermotogae containing a major genus of Defluviitoga was selectively enriched with gradual increase of organic loadings, while simultaneously enriched methanogen genera Methanothermobacter and Methanosarcina, which showed a synergy of hydrogenotrophic and acetoclastic methanogenic pathways, jointly enhanced the methane productivity. Both technical feasibility and economic feasibility of adding biochar with simple pretreatment (e.g. smash) were validated in the pilot-scale thermophilic semi-continuous AD operations. 3","author":[{"dropping-particle":"","family":"Zhang","given":"L.","non-dropping-particle":"","parse-names":false,"suffix":""},{"dropping-particle":"","family":"Lim","given":"E.Y.","non-dropping-particle":"","parse-names":false,"suffix":""},{"dropping-particle":"","family":"Loh","given":"K.-C.","non-dropping-particle":"","parse-names":false,"suffix":""},{"dropping-particle":"","family":"Ok","given":"Y.S.","non-dropping-particle":"","parse-names":false,"suffix":""},{"dropping-particle":"","family":"Lee","given":"J.T.E.","non-dropping-particle":"","parse-names":false,"suffix":""},{"dropping-particle":"","family":"Shen","given":"Y.","non-dropping-particle":"","parse-names":false,"suffix":""},{"dropping-particle":"","family":"Wang","given":"C.-H.","non-dropping-particle":"","parse-names":false,"suffix":""},{"dropping-particle":"","family":"Dai","given":"Y.","non-dropping-particle":"","parse-names":false,"suffix":""},{"dropping-particle":"","family":"Tong","given":"Y.W.","non-dropping-particle":"","parse-names":false,"suffix":""}],"container-title":"Energy Conversion and Management","id":"ITEM-3","issued":{"date-parts":[["2020"]]},"page":"112654","title":"Biochar enhanced thermophilic anaerobic digestion of food waste: Focusing on biochar particle size, microbial community analysis and pilot-scale application","type":"article-journal","volume":"209"},"uris":["http://www.mendeley.com/documents/?uuid=2e4c11be-833b-38b6-a414-e8771b1110e1"]},{"id":"ITEM-4","itemData":{"DOI":"10.1177/0734242X17704716","ISSN":"0734-242X","abstract":"A modified version of an in-situ CO2 removal process was applied during anaerobic digestion of food waste with two types of walnut shell biochar at bench scale under batch operating mode. Compared with the coarse walnut shell biochar, the fine walnut shell biochar has a higher ash content (43 vs. 36 wt%) and higher concentrations of calcium (31 vs. 19 wt% of ash), magnesium (8.4 vs. 5.6 wt% of ash) and sodium (23.4 vs. 0.3 wt% of ash), but a lower potassium concentration (0.2 vs. 40% wt% of ash). The 0.96–3.83 g biochar (g VSadded)-1 fine walnut shell biochar amended digesters produced biogas with 77.5%–98.1% CH4 content by removing 40%–96% of the CO2 compared with the control digesters at mesophilic and thermophilic temperature conditions. In a direct comparison at 1.83 g biochar (g VSadded)-1, the fine walnut shell biochar amended digesters (85.7% CH4 content and 61% CO2 removal) outperformed the coarse walnut shell biochar amended digesters (78.9% CH4 content and 51% CO2 removal). Biochar addition also...","author":[{"dropping-particle":"","family":"Linville","given":"J.L.","non-dropping-particle":"","parse-names":false,"suffix":""},{"dropping-particle":"","family":"Shen","given":"Y.","non-dropping-particle":"","parse-names":false,"suffix":""},{"dropping-particle":"","family":"Ignacio-de Leon","given":"P.A.","non-dropping-particle":"","parse-names":false,"suffix":""},{"dropping-particle":"","family":"Schoene","given":"R.P.","non-dropping-particle":"","parse-names":false,"suffix":""},{"dropping-particle":"","family":"Urgun-Demirtas","given":"M.","non-dropping-particle":"","parse-names":false,"suffix":""}],"container-title":"Waste Management &amp; Research","id":"ITEM-4","issue":"6","issued":{"date-parts":[["2017","6","10"]]},"page":"669-679","title":"In-situ biogas upgrading during anaerobic digestion of food waste amended with walnut shell biochar at bench scale","type":"article-journal","volume":"35"},"uris":["http://www.mendeley.com/documents/?uuid=aa1106cc-25be-4d8c-8140-3df5af823acd"]}],"mendeley":{"formattedCitation":"[40,60–62]","plainTextFormattedCitation":"[40,60–62]","previouslyFormattedCitation":"[40,60–62]"},"properties":{"noteIndex":0},"schema":"https://github.com/citation-style-language/schema/raw/master/csl-citation.json"}</w:instrText>
      </w:r>
      <w:r w:rsidR="002117A4" w:rsidRPr="00774395">
        <w:fldChar w:fldCharType="separate"/>
      </w:r>
      <w:r w:rsidR="00830B48" w:rsidRPr="00830B48">
        <w:rPr>
          <w:noProof/>
          <w:lang w:val="en-CA"/>
        </w:rPr>
        <w:t>[40,60–62]</w:t>
      </w:r>
      <w:r w:rsidR="002117A4" w:rsidRPr="00774395">
        <w:fldChar w:fldCharType="end"/>
      </w:r>
      <w:r w:rsidR="002117A4" w:rsidRPr="00774395">
        <w:rPr>
          <w:lang w:val="en-CA"/>
        </w:rPr>
        <w:t>.</w:t>
      </w:r>
      <w:r w:rsidR="00474C16" w:rsidRPr="00774395">
        <w:rPr>
          <w:lang w:val="en-CA"/>
        </w:rPr>
        <w:t xml:space="preserve"> </w:t>
      </w:r>
      <w:r w:rsidR="0075173D" w:rsidRPr="00774395">
        <w:t>T</w:t>
      </w:r>
      <w:r w:rsidR="002B34CE" w:rsidRPr="00774395">
        <w:t xml:space="preserve">he optimization of BC dose is a crucial step to </w:t>
      </w:r>
      <w:r w:rsidR="00A1619F" w:rsidRPr="00774395">
        <w:t>apply</w:t>
      </w:r>
      <w:r w:rsidR="002B34CE" w:rsidRPr="00774395">
        <w:t xml:space="preserve"> BC to AD</w:t>
      </w:r>
      <w:r w:rsidR="00A1619F" w:rsidRPr="00774395">
        <w:t xml:space="preserve"> at full-scale</w:t>
      </w:r>
      <w:r w:rsidR="00C25EAE" w:rsidRPr="00774395">
        <w:t>.</w:t>
      </w:r>
      <w:r w:rsidR="0075173D" w:rsidRPr="00774395">
        <w:t xml:space="preserve"> </w:t>
      </w:r>
    </w:p>
    <w:p w14:paraId="701CF880" w14:textId="2F825D25" w:rsidR="001008BE" w:rsidRPr="00774395" w:rsidRDefault="001008BE" w:rsidP="00265A4E">
      <w:pPr>
        <w:jc w:val="both"/>
      </w:pPr>
      <w:r w:rsidRPr="00774395">
        <w:t>The impact of BC production temperature on CH</w:t>
      </w:r>
      <w:r w:rsidRPr="00774395">
        <w:rPr>
          <w:vertAlign w:val="subscript"/>
        </w:rPr>
        <w:t>4</w:t>
      </w:r>
      <w:r w:rsidRPr="00774395">
        <w:t xml:space="preserve"> yield was </w:t>
      </w:r>
      <w:r w:rsidR="0012288F" w:rsidRPr="00774395">
        <w:t xml:space="preserve">positive but </w:t>
      </w:r>
      <w:r w:rsidRPr="00774395">
        <w:t xml:space="preserve">remarkably diversified. </w:t>
      </w:r>
      <w:r w:rsidR="0012288F" w:rsidRPr="00774395">
        <w:t>BCs produced at temperatures below 400 °C d</w:t>
      </w:r>
      <w:r w:rsidR="006E39B1" w:rsidRPr="00774395">
        <w:t>isplayed</w:t>
      </w:r>
      <w:r w:rsidR="0012288F" w:rsidRPr="00774395">
        <w:t xml:space="preserve"> the highest improvements, followed by BCs </w:t>
      </w:r>
      <w:r w:rsidR="00333A3E" w:rsidRPr="00774395">
        <w:t xml:space="preserve">produced at </w:t>
      </w:r>
      <w:r w:rsidR="0012288F" w:rsidRPr="00774395">
        <w:t>550</w:t>
      </w:r>
      <w:r w:rsidR="00F8677A" w:rsidRPr="00774395">
        <w:t xml:space="preserve"> </w:t>
      </w:r>
      <w:r w:rsidR="00333A3E" w:rsidRPr="00774395">
        <w:t xml:space="preserve">- </w:t>
      </w:r>
      <w:r w:rsidR="0012288F" w:rsidRPr="00774395">
        <w:t xml:space="preserve">700 °C. BCs </w:t>
      </w:r>
      <w:r w:rsidR="005313AC" w:rsidRPr="00774395">
        <w:t>synthetized</w:t>
      </w:r>
      <w:r w:rsidR="0012288F" w:rsidRPr="00774395">
        <w:t xml:space="preserve"> at temperatures above 700 °C </w:t>
      </w:r>
      <w:r w:rsidR="00061202" w:rsidRPr="00774395">
        <w:t xml:space="preserve">had the lowest impact. </w:t>
      </w:r>
      <w:r w:rsidR="00CF7358" w:rsidRPr="00774395">
        <w:t>The d</w:t>
      </w:r>
      <w:r w:rsidR="00F8677A" w:rsidRPr="00774395">
        <w:t xml:space="preserve">iverse response can be linked to </w:t>
      </w:r>
      <w:r w:rsidR="00CF7358" w:rsidRPr="00774395">
        <w:t>the variation of BC physi</w:t>
      </w:r>
      <w:r w:rsidR="00216A35" w:rsidRPr="00774395">
        <w:t>c</w:t>
      </w:r>
      <w:r w:rsidR="00CF7358" w:rsidRPr="00774395">
        <w:t xml:space="preserve">o-chemical properties controlled by changes </w:t>
      </w:r>
      <w:r w:rsidR="00B854E6" w:rsidRPr="00774395">
        <w:t xml:space="preserve">in </w:t>
      </w:r>
      <w:r w:rsidR="00CF7358" w:rsidRPr="00774395">
        <w:t>pyrolysis temperature</w:t>
      </w:r>
      <w:r w:rsidR="00B854E6" w:rsidRPr="00774395">
        <w:t xml:space="preserve"> (s</w:t>
      </w:r>
      <w:r w:rsidR="00F8677A" w:rsidRPr="00774395">
        <w:t>ection</w:t>
      </w:r>
      <w:r w:rsidR="0075173D" w:rsidRPr="00774395">
        <w:t xml:space="preserve"> 3.</w:t>
      </w:r>
      <w:r w:rsidR="004066E8" w:rsidRPr="00774395">
        <w:t>1</w:t>
      </w:r>
      <w:r w:rsidR="00B854E6" w:rsidRPr="00774395">
        <w:t>)</w:t>
      </w:r>
      <w:r w:rsidR="00F8677A" w:rsidRPr="00774395">
        <w:t>.</w:t>
      </w:r>
    </w:p>
    <w:p w14:paraId="39F4AB50" w14:textId="373C20F2" w:rsidR="000F7A45" w:rsidRPr="00774395" w:rsidRDefault="00C97D40" w:rsidP="00265A4E">
      <w:pPr>
        <w:jc w:val="both"/>
      </w:pPr>
      <w:r w:rsidRPr="00774395">
        <w:lastRenderedPageBreak/>
        <w:t>Overall, a</w:t>
      </w:r>
      <w:r w:rsidR="00A936B1" w:rsidRPr="00774395">
        <w:t>ll feedstocks</w:t>
      </w:r>
      <w:r w:rsidRPr="00774395">
        <w:t xml:space="preserve"> for BC production exhibited positive impacts on CH</w:t>
      </w:r>
      <w:r w:rsidRPr="00774395">
        <w:rPr>
          <w:vertAlign w:val="subscript"/>
        </w:rPr>
        <w:t>4</w:t>
      </w:r>
      <w:r w:rsidRPr="00774395">
        <w:t xml:space="preserve"> yield. </w:t>
      </w:r>
      <w:r w:rsidR="00EB4AC6" w:rsidRPr="00774395">
        <w:t>T</w:t>
      </w:r>
      <w:r w:rsidRPr="00774395">
        <w:t xml:space="preserve">he largest effects </w:t>
      </w:r>
      <w:r w:rsidR="00EB4AC6" w:rsidRPr="00774395">
        <w:t xml:space="preserve">were </w:t>
      </w:r>
      <w:r w:rsidRPr="00774395">
        <w:t>slightly different from each other</w:t>
      </w:r>
      <w:r w:rsidR="00B854E6" w:rsidRPr="00774395">
        <w:t xml:space="preserve">: </w:t>
      </w:r>
      <w:r w:rsidRPr="00774395">
        <w:t>sludge</w:t>
      </w:r>
      <w:r w:rsidR="00A213ED" w:rsidRPr="00774395">
        <w:t>&gt;</w:t>
      </w:r>
      <w:r w:rsidRPr="00774395">
        <w:t>manure</w:t>
      </w:r>
      <w:r w:rsidR="00A213ED" w:rsidRPr="00774395">
        <w:t>&gt;</w:t>
      </w:r>
      <w:r w:rsidRPr="00774395">
        <w:t>lignocellulosic residues</w:t>
      </w:r>
      <w:r w:rsidR="00A213ED" w:rsidRPr="00774395">
        <w:t>&gt;</w:t>
      </w:r>
      <w:r w:rsidRPr="00774395">
        <w:t>herbaceous</w:t>
      </w:r>
      <w:r w:rsidR="00EB4AC6" w:rsidRPr="00774395">
        <w:t xml:space="preserve">. Instead, BCs from wood feedstocks presented the lowest </w:t>
      </w:r>
      <w:r w:rsidR="00EB4AC6" w:rsidRPr="00774395">
        <w:rPr>
          <w:i/>
          <w:iCs/>
        </w:rPr>
        <w:t>g</w:t>
      </w:r>
      <w:r w:rsidR="00E72DAF" w:rsidRPr="00774395">
        <w:t xml:space="preserve">, significantly lower than </w:t>
      </w:r>
      <w:r w:rsidR="00A213ED" w:rsidRPr="00774395">
        <w:t xml:space="preserve">the </w:t>
      </w:r>
      <w:r w:rsidR="00E72DAF" w:rsidRPr="00774395">
        <w:t>others</w:t>
      </w:r>
      <w:r w:rsidR="00EB4AC6" w:rsidRPr="00774395">
        <w:t xml:space="preserve">. </w:t>
      </w:r>
      <w:r w:rsidR="0075173D" w:rsidRPr="00774395">
        <w:t>Again, t</w:t>
      </w:r>
      <w:r w:rsidR="008164A5" w:rsidRPr="00774395">
        <w:t>h</w:t>
      </w:r>
      <w:r w:rsidR="00C315CB" w:rsidRPr="00774395">
        <w:t>e</w:t>
      </w:r>
      <w:r w:rsidR="008164A5" w:rsidRPr="00774395">
        <w:t xml:space="preserve"> diverse </w:t>
      </w:r>
      <w:r w:rsidR="00C315CB" w:rsidRPr="00774395">
        <w:t>influence of feedstocks can be related to the different physi</w:t>
      </w:r>
      <w:r w:rsidR="00216A35" w:rsidRPr="00774395">
        <w:t>c</w:t>
      </w:r>
      <w:r w:rsidR="00C315CB" w:rsidRPr="00774395">
        <w:t>o-chemical properties of BCs</w:t>
      </w:r>
      <w:r w:rsidR="0075173D" w:rsidRPr="00774395">
        <w:t xml:space="preserve"> (section 3.</w:t>
      </w:r>
      <w:r w:rsidR="004066E8" w:rsidRPr="00774395">
        <w:t>1</w:t>
      </w:r>
      <w:r w:rsidR="0075173D" w:rsidRPr="00774395">
        <w:t>)</w:t>
      </w:r>
      <w:r w:rsidR="00C315CB" w:rsidRPr="00774395">
        <w:t xml:space="preserve">. </w:t>
      </w:r>
    </w:p>
    <w:p w14:paraId="037033D7" w14:textId="3349BB18" w:rsidR="00027725" w:rsidRPr="00774395" w:rsidRDefault="00A213ED" w:rsidP="00265A4E">
      <w:pPr>
        <w:jc w:val="both"/>
      </w:pPr>
      <w:r w:rsidRPr="00774395">
        <w:t>Considering the</w:t>
      </w:r>
      <w:r w:rsidR="000F7A45" w:rsidRPr="00774395">
        <w:t xml:space="preserve"> BC physi</w:t>
      </w:r>
      <w:r w:rsidR="00216A35" w:rsidRPr="00774395">
        <w:t>c</w:t>
      </w:r>
      <w:r w:rsidR="000F7A45" w:rsidRPr="00774395">
        <w:t xml:space="preserve">o-chemical properties, larger ash contents </w:t>
      </w:r>
      <w:r w:rsidRPr="00774395">
        <w:t>resulted in</w:t>
      </w:r>
      <w:r w:rsidR="000F7A45" w:rsidRPr="00774395">
        <w:t xml:space="preserve"> the highe</w:t>
      </w:r>
      <w:r w:rsidR="0002239E" w:rsidRPr="00774395">
        <w:t>st</w:t>
      </w:r>
      <w:r w:rsidR="000F7A45" w:rsidRPr="00774395">
        <w:t xml:space="preserve"> </w:t>
      </w:r>
      <w:r w:rsidR="000F7A45" w:rsidRPr="00774395">
        <w:rPr>
          <w:i/>
          <w:iCs/>
        </w:rPr>
        <w:t>g</w:t>
      </w:r>
      <w:r w:rsidR="000F7A45" w:rsidRPr="00774395">
        <w:t xml:space="preserve">, equal to 4.10 for </w:t>
      </w:r>
      <w:r w:rsidR="00653AC9" w:rsidRPr="00774395">
        <w:t xml:space="preserve">ash </w:t>
      </w:r>
      <w:r w:rsidR="000F7A45" w:rsidRPr="00774395">
        <w:t>contents in the range 20-50% and 5.12 for ash</w:t>
      </w:r>
      <w:r w:rsidR="00DE2277" w:rsidRPr="00774395">
        <w:t xml:space="preserve"> contents</w:t>
      </w:r>
      <w:r w:rsidR="000F7A45" w:rsidRPr="00774395">
        <w:t xml:space="preserve"> beyond</w:t>
      </w:r>
      <w:r w:rsidR="00251827">
        <w:t xml:space="preserve"> </w:t>
      </w:r>
      <w:r w:rsidR="000F7A45" w:rsidRPr="00774395">
        <w:t xml:space="preserve">50%. </w:t>
      </w:r>
      <w:r w:rsidR="00413D21" w:rsidRPr="00774395">
        <w:t>Significantly l</w:t>
      </w:r>
      <w:r w:rsidR="000F7A45" w:rsidRPr="00774395">
        <w:t xml:space="preserve">ower </w:t>
      </w:r>
      <w:r w:rsidR="000F7A45" w:rsidRPr="00774395">
        <w:rPr>
          <w:i/>
          <w:iCs/>
        </w:rPr>
        <w:t>g</w:t>
      </w:r>
      <w:r w:rsidRPr="00774395">
        <w:t>,</w:t>
      </w:r>
      <w:r w:rsidR="000F7A45" w:rsidRPr="00774395">
        <w:t xml:space="preserve"> around </w:t>
      </w:r>
      <w:r w:rsidR="00413D21" w:rsidRPr="00774395">
        <w:t>0.82-1.94</w:t>
      </w:r>
      <w:r w:rsidRPr="00774395">
        <w:t>,</w:t>
      </w:r>
      <w:r w:rsidR="00413D21" w:rsidRPr="00774395">
        <w:t xml:space="preserve"> were found for ash contents below 20%</w:t>
      </w:r>
      <w:r w:rsidR="00653AC9" w:rsidRPr="00774395">
        <w:t>.</w:t>
      </w:r>
      <w:r w:rsidR="00DE2277" w:rsidRPr="00774395">
        <w:t xml:space="preserve"> These findings </w:t>
      </w:r>
      <w:r w:rsidRPr="00774395">
        <w:t>are</w:t>
      </w:r>
      <w:r w:rsidR="00DE2277" w:rsidRPr="00774395">
        <w:t xml:space="preserve"> consistent with previous observations</w:t>
      </w:r>
      <w:r w:rsidR="005313AC" w:rsidRPr="00774395">
        <w:t>:</w:t>
      </w:r>
      <w:r w:rsidR="00DB5236" w:rsidRPr="00774395">
        <w:t xml:space="preserve"> </w:t>
      </w:r>
      <w:r w:rsidR="00653AC9" w:rsidRPr="00774395">
        <w:t>wood</w:t>
      </w:r>
      <w:r w:rsidR="00DE2277" w:rsidRPr="00774395">
        <w:t>-based</w:t>
      </w:r>
      <w:r w:rsidR="00653AC9" w:rsidRPr="00774395">
        <w:t xml:space="preserve"> BC</w:t>
      </w:r>
      <w:r w:rsidR="00DE2277" w:rsidRPr="00774395">
        <w:t>s</w:t>
      </w:r>
      <w:r w:rsidR="00653AC9" w:rsidRPr="00774395">
        <w:t xml:space="preserve"> </w:t>
      </w:r>
      <w:r w:rsidR="00DE2277" w:rsidRPr="00774395">
        <w:t>with the lowest ash contents (</w:t>
      </w:r>
      <w:r w:rsidR="00F11E6B" w:rsidRPr="00774395">
        <w:t>Figure</w:t>
      </w:r>
      <w:r w:rsidR="00F11E6B" w:rsidRPr="00774395" w:rsidDel="00F11E6B">
        <w:t xml:space="preserve"> </w:t>
      </w:r>
      <w:r w:rsidR="00F11E6B" w:rsidRPr="00774395">
        <w:t>1</w:t>
      </w:r>
      <w:r w:rsidR="00DB5236" w:rsidRPr="00774395">
        <w:t>C</w:t>
      </w:r>
      <w:r w:rsidR="00DE2277" w:rsidRPr="00774395">
        <w:t xml:space="preserve">) </w:t>
      </w:r>
      <w:r w:rsidR="00027725" w:rsidRPr="00774395">
        <w:t>had</w:t>
      </w:r>
      <w:r w:rsidR="00DE2277" w:rsidRPr="00774395">
        <w:t xml:space="preserve"> the lowest impact</w:t>
      </w:r>
      <w:r w:rsidR="00653AC9" w:rsidRPr="00774395">
        <w:t xml:space="preserve"> </w:t>
      </w:r>
      <w:r w:rsidR="00DE2277" w:rsidRPr="00774395">
        <w:t>compared</w:t>
      </w:r>
      <w:r w:rsidR="00653AC9" w:rsidRPr="00774395">
        <w:t xml:space="preserve"> to other BC feedstocks</w:t>
      </w:r>
      <w:r w:rsidR="005313AC" w:rsidRPr="00774395">
        <w:t>; instead</w:t>
      </w:r>
      <w:r w:rsidR="004C5866" w:rsidRPr="00774395">
        <w:t>,</w:t>
      </w:r>
      <w:r w:rsidR="00885FE3" w:rsidRPr="00774395">
        <w:t xml:space="preserve"> </w:t>
      </w:r>
      <w:r w:rsidR="00DB5236" w:rsidRPr="00774395">
        <w:t xml:space="preserve">BCs from sludge and manure </w:t>
      </w:r>
      <w:r w:rsidR="00885FE3" w:rsidRPr="00774395">
        <w:t>characterized by large ash contents</w:t>
      </w:r>
      <w:r w:rsidR="002132C1" w:rsidRPr="00774395">
        <w:t xml:space="preserve"> show</w:t>
      </w:r>
      <w:r w:rsidR="00820EFA" w:rsidRPr="00774395">
        <w:t>ed</w:t>
      </w:r>
      <w:r w:rsidR="002132C1" w:rsidRPr="00774395">
        <w:t xml:space="preserve"> the largest </w:t>
      </w:r>
      <w:r w:rsidR="002132C1" w:rsidRPr="00774395">
        <w:rPr>
          <w:i/>
          <w:iCs/>
        </w:rPr>
        <w:t>g</w:t>
      </w:r>
      <w:r w:rsidR="002132C1" w:rsidRPr="00774395">
        <w:t xml:space="preserve"> values</w:t>
      </w:r>
      <w:r w:rsidR="00885FE3" w:rsidRPr="00774395">
        <w:t xml:space="preserve">. </w:t>
      </w:r>
      <w:r w:rsidR="002132C1" w:rsidRPr="00774395">
        <w:t xml:space="preserve">BCs having large O/C molar ratios, over 0.3, </w:t>
      </w:r>
      <w:r w:rsidR="00784B99" w:rsidRPr="00774395">
        <w:t xml:space="preserve">exhibited the largest </w:t>
      </w:r>
      <w:r w:rsidR="00784B99" w:rsidRPr="00774395">
        <w:rPr>
          <w:i/>
          <w:iCs/>
        </w:rPr>
        <w:t>g</w:t>
      </w:r>
      <w:r w:rsidR="00784B99" w:rsidRPr="00774395">
        <w:t xml:space="preserve"> of 3.71</w:t>
      </w:r>
      <w:r w:rsidR="00005FCF" w:rsidRPr="00774395">
        <w:t xml:space="preserve"> (</w:t>
      </w:r>
      <w:r w:rsidR="00F11E6B" w:rsidRPr="00774395">
        <w:t>Figure</w:t>
      </w:r>
      <w:r w:rsidR="00F11E6B" w:rsidRPr="00774395" w:rsidDel="00F11E6B">
        <w:t xml:space="preserve"> </w:t>
      </w:r>
      <w:r w:rsidR="00F11E6B" w:rsidRPr="00774395">
        <w:t>4</w:t>
      </w:r>
      <w:r w:rsidR="00005FCF" w:rsidRPr="00774395">
        <w:rPr>
          <w:lang w:val="en-US"/>
        </w:rPr>
        <w:t>B</w:t>
      </w:r>
      <w:r w:rsidR="00005FCF" w:rsidRPr="00774395">
        <w:t>)</w:t>
      </w:r>
      <w:r w:rsidR="00784B99" w:rsidRPr="00774395">
        <w:t xml:space="preserve">, significantly different from </w:t>
      </w:r>
      <w:r w:rsidR="00E37646" w:rsidRPr="00774395">
        <w:t xml:space="preserve">BCs having O/C below 0.15. Therefore, BCs </w:t>
      </w:r>
      <w:r w:rsidR="00027725" w:rsidRPr="00774395">
        <w:t>with</w:t>
      </w:r>
      <w:r w:rsidR="00F8659F" w:rsidRPr="00774395">
        <w:t xml:space="preserve"> more polar O-containing functional groups and hydrophilicity may be more favourable for methane production. </w:t>
      </w:r>
      <w:r w:rsidR="00005FCF" w:rsidRPr="00774395">
        <w:t xml:space="preserve">Again, consistently with previous findings, </w:t>
      </w:r>
      <w:r w:rsidR="00364E21" w:rsidRPr="00774395">
        <w:t xml:space="preserve">sludge-based BCs </w:t>
      </w:r>
      <w:r w:rsidR="00FF3C2D" w:rsidRPr="00774395">
        <w:t>show</w:t>
      </w:r>
      <w:r w:rsidR="00820EFA" w:rsidRPr="00774395">
        <w:t>ed</w:t>
      </w:r>
      <w:r w:rsidR="00FF3C2D" w:rsidRPr="00774395">
        <w:t xml:space="preserve"> the largest impacts on CH</w:t>
      </w:r>
      <w:r w:rsidR="00FF3C2D" w:rsidRPr="00774395">
        <w:rPr>
          <w:vertAlign w:val="subscript"/>
        </w:rPr>
        <w:t>4</w:t>
      </w:r>
      <w:r w:rsidR="00FF3C2D" w:rsidRPr="00774395">
        <w:t xml:space="preserve"> yield </w:t>
      </w:r>
      <w:r w:rsidR="00390B39" w:rsidRPr="00774395">
        <w:t>having larger O/C molar ratios than wood-based BCs (</w:t>
      </w:r>
      <w:r w:rsidR="00F11E6B" w:rsidRPr="00774395">
        <w:t>Figure</w:t>
      </w:r>
      <w:r w:rsidR="00F11E6B" w:rsidRPr="00774395" w:rsidDel="00F11E6B">
        <w:t xml:space="preserve"> </w:t>
      </w:r>
      <w:r w:rsidR="00F11E6B" w:rsidRPr="00774395">
        <w:t>1</w:t>
      </w:r>
      <w:r w:rsidR="00390B39" w:rsidRPr="00774395">
        <w:t>T)</w:t>
      </w:r>
      <w:r w:rsidR="00FF3C2D" w:rsidRPr="00774395">
        <w:t xml:space="preserve">. Furthermore, </w:t>
      </w:r>
      <w:r w:rsidR="00376F75" w:rsidRPr="00774395">
        <w:t xml:space="preserve">pyrolysis temperatures below 400 °C </w:t>
      </w:r>
      <w:r w:rsidR="006F3985" w:rsidRPr="00774395">
        <w:t>resulted in</w:t>
      </w:r>
      <w:r w:rsidR="00376F75" w:rsidRPr="00774395">
        <w:t xml:space="preserve"> the highest </w:t>
      </w:r>
      <w:r w:rsidR="00376F75" w:rsidRPr="00774395">
        <w:rPr>
          <w:i/>
          <w:iCs/>
        </w:rPr>
        <w:t>g</w:t>
      </w:r>
      <w:r w:rsidR="00376F75" w:rsidRPr="00774395">
        <w:t xml:space="preserve"> values, having large</w:t>
      </w:r>
      <w:r w:rsidR="00FF3C2D" w:rsidRPr="00774395">
        <w:t xml:space="preserve"> O/C</w:t>
      </w:r>
      <w:r w:rsidR="00376F75" w:rsidRPr="00774395">
        <w:t xml:space="preserve"> which tends to</w:t>
      </w:r>
      <w:r w:rsidR="00FF3C2D" w:rsidRPr="00774395">
        <w:t xml:space="preserve"> decrease with </w:t>
      </w:r>
      <w:r w:rsidR="00CB046D" w:rsidRPr="00774395">
        <w:t>ri</w:t>
      </w:r>
      <w:r w:rsidR="00376F75" w:rsidRPr="00774395">
        <w:t>sing</w:t>
      </w:r>
      <w:r w:rsidR="00FF3C2D" w:rsidRPr="00774395">
        <w:t xml:space="preserve"> temperature</w:t>
      </w:r>
      <w:r w:rsidR="00376F75" w:rsidRPr="00774395">
        <w:t>s</w:t>
      </w:r>
      <w:r w:rsidR="00CB046D" w:rsidRPr="00774395">
        <w:t xml:space="preserve"> (</w:t>
      </w:r>
      <w:r w:rsidR="00F11E6B" w:rsidRPr="00774395">
        <w:t>Figure</w:t>
      </w:r>
      <w:r w:rsidR="00F11E6B" w:rsidRPr="00774395" w:rsidDel="00F11E6B">
        <w:t xml:space="preserve"> </w:t>
      </w:r>
      <w:r w:rsidR="00F11E6B" w:rsidRPr="00774395">
        <w:t>2</w:t>
      </w:r>
      <w:r w:rsidR="00CB046D" w:rsidRPr="00774395">
        <w:t>T).</w:t>
      </w:r>
      <w:r w:rsidR="007B45B6" w:rsidRPr="00774395">
        <w:t xml:space="preserve"> </w:t>
      </w:r>
      <w:r w:rsidR="00A71DC9" w:rsidRPr="00774395">
        <w:t xml:space="preserve">Except </w:t>
      </w:r>
      <w:r w:rsidR="006F3985" w:rsidRPr="00774395">
        <w:t xml:space="preserve">for the </w:t>
      </w:r>
      <w:r w:rsidR="00A71DC9" w:rsidRPr="00774395">
        <w:t xml:space="preserve">BCs having H/C molar ratios ranging 0.5-1, other </w:t>
      </w:r>
      <w:r w:rsidR="00C93D75" w:rsidRPr="00774395">
        <w:t xml:space="preserve">BCs </w:t>
      </w:r>
      <w:r w:rsidR="006F3985" w:rsidRPr="00774395">
        <w:t>led to</w:t>
      </w:r>
      <w:r w:rsidR="00C93D75" w:rsidRPr="00774395">
        <w:t xml:space="preserve"> </w:t>
      </w:r>
      <w:r w:rsidR="00D83671" w:rsidRPr="00774395">
        <w:t xml:space="preserve">significant </w:t>
      </w:r>
      <w:r w:rsidR="00C93D75" w:rsidRPr="00774395">
        <w:t xml:space="preserve">positive effects </w:t>
      </w:r>
      <w:r w:rsidR="00D83671" w:rsidRPr="00774395">
        <w:t>on CH</w:t>
      </w:r>
      <w:r w:rsidR="00D83671" w:rsidRPr="00774395">
        <w:rPr>
          <w:vertAlign w:val="subscript"/>
        </w:rPr>
        <w:t>4</w:t>
      </w:r>
      <w:r w:rsidR="00D83671" w:rsidRPr="00774395">
        <w:t xml:space="preserve"> yield</w:t>
      </w:r>
      <w:r w:rsidR="00583B0C" w:rsidRPr="00774395">
        <w:t xml:space="preserve"> </w:t>
      </w:r>
      <w:r w:rsidR="002E3A76" w:rsidRPr="00774395">
        <w:t>without net differences between categories.</w:t>
      </w:r>
      <w:r w:rsidR="00014C99" w:rsidRPr="00774395">
        <w:t xml:space="preserve"> </w:t>
      </w:r>
    </w:p>
    <w:p w14:paraId="0B4DBF63" w14:textId="0C64AF6E" w:rsidR="000C68B3" w:rsidRPr="00774395" w:rsidRDefault="006F3985" w:rsidP="00265A4E">
      <w:pPr>
        <w:jc w:val="both"/>
      </w:pPr>
      <w:r w:rsidRPr="00774395">
        <w:t xml:space="preserve">Regarding the </w:t>
      </w:r>
      <w:r w:rsidR="00B854E6" w:rsidRPr="00774395">
        <w:t xml:space="preserve">C </w:t>
      </w:r>
      <w:r w:rsidR="003153CF" w:rsidRPr="00774395">
        <w:t>content</w:t>
      </w:r>
      <w:r w:rsidR="00DC5DA5" w:rsidRPr="00774395">
        <w:t>,</w:t>
      </w:r>
      <w:r w:rsidR="003153CF" w:rsidRPr="00774395">
        <w:t xml:space="preserve"> </w:t>
      </w:r>
      <w:r w:rsidRPr="00774395">
        <w:t>the largest impact on CH</w:t>
      </w:r>
      <w:r w:rsidRPr="00774395">
        <w:rPr>
          <w:vertAlign w:val="subscript"/>
        </w:rPr>
        <w:t>4</w:t>
      </w:r>
      <w:r w:rsidRPr="00774395">
        <w:t xml:space="preserve"> was</w:t>
      </w:r>
      <w:r w:rsidR="00B854E6" w:rsidRPr="00774395">
        <w:t xml:space="preserve"> found</w:t>
      </w:r>
      <w:r w:rsidRPr="00774395">
        <w:t xml:space="preserve"> for BCs having C </w:t>
      </w:r>
      <w:r w:rsidR="00B854E6" w:rsidRPr="00774395">
        <w:t>&lt;</w:t>
      </w:r>
      <w:r w:rsidRPr="00774395">
        <w:t xml:space="preserve">50%, </w:t>
      </w:r>
      <w:r w:rsidR="003153CF" w:rsidRPr="00774395">
        <w:t xml:space="preserve">consistently with ash content </w:t>
      </w:r>
      <w:r w:rsidR="002D591E" w:rsidRPr="00774395">
        <w:t>(</w:t>
      </w:r>
      <w:r w:rsidR="008B6BA5" w:rsidRPr="00774395">
        <w:t>as</w:t>
      </w:r>
      <w:r w:rsidR="002D591E" w:rsidRPr="00774395">
        <w:t xml:space="preserve"> sludge</w:t>
      </w:r>
      <w:r w:rsidR="007E550C" w:rsidRPr="00774395">
        <w:t>-</w:t>
      </w:r>
      <w:r w:rsidR="002D591E" w:rsidRPr="00774395">
        <w:t xml:space="preserve">based BCs, </w:t>
      </w:r>
      <w:r w:rsidR="00F11E6B" w:rsidRPr="00774395">
        <w:t>Figure</w:t>
      </w:r>
      <w:r w:rsidR="00F11E6B" w:rsidRPr="00774395" w:rsidDel="00F11E6B">
        <w:t xml:space="preserve"> </w:t>
      </w:r>
      <w:r w:rsidR="00F11E6B" w:rsidRPr="00774395">
        <w:t>1</w:t>
      </w:r>
      <w:r w:rsidR="002D591E" w:rsidRPr="00774395">
        <w:t>H)</w:t>
      </w:r>
      <w:r w:rsidR="00B854E6" w:rsidRPr="00774395">
        <w:t>. T</w:t>
      </w:r>
      <w:r w:rsidR="001B3A6A" w:rsidRPr="00774395">
        <w:t xml:space="preserve">he lowest effect was for C </w:t>
      </w:r>
      <w:r w:rsidR="00B854E6" w:rsidRPr="00774395">
        <w:t>&gt;</w:t>
      </w:r>
      <w:r w:rsidR="001B3A6A" w:rsidRPr="00774395">
        <w:t>80%</w:t>
      </w:r>
      <w:r w:rsidR="00F90266" w:rsidRPr="00774395">
        <w:t xml:space="preserve"> (</w:t>
      </w:r>
      <w:r w:rsidR="008B6BA5" w:rsidRPr="00774395">
        <w:t xml:space="preserve">as </w:t>
      </w:r>
      <w:r w:rsidR="00F90266" w:rsidRPr="00774395">
        <w:t xml:space="preserve">wood-based BCs, </w:t>
      </w:r>
      <w:r w:rsidR="00F11E6B" w:rsidRPr="00774395">
        <w:t>Figure</w:t>
      </w:r>
      <w:r w:rsidR="00F11E6B" w:rsidRPr="00774395" w:rsidDel="00F11E6B">
        <w:t xml:space="preserve"> </w:t>
      </w:r>
      <w:r w:rsidR="00F11E6B" w:rsidRPr="00774395">
        <w:t>1</w:t>
      </w:r>
      <w:r w:rsidR="00F90266" w:rsidRPr="00774395">
        <w:t>H)</w:t>
      </w:r>
      <w:r w:rsidR="002D591E" w:rsidRPr="00774395">
        <w:t>.</w:t>
      </w:r>
      <w:r w:rsidR="001E4BF4" w:rsidRPr="00774395">
        <w:t xml:space="preserve"> </w:t>
      </w:r>
      <w:r w:rsidR="002A65E4" w:rsidRPr="00774395">
        <w:t xml:space="preserve">BCs with </w:t>
      </w:r>
      <w:r w:rsidR="001E4BF4" w:rsidRPr="00774395">
        <w:t>higher content of O</w:t>
      </w:r>
      <w:r w:rsidR="002A65E4" w:rsidRPr="00774395">
        <w:t xml:space="preserve"> (</w:t>
      </w:r>
      <w:r w:rsidR="002A65E4" w:rsidRPr="00774395">
        <w:rPr>
          <w:rFonts w:ascii="Calibri" w:hAnsi="Calibri" w:cs="Calibri"/>
        </w:rPr>
        <w:t>≥</w:t>
      </w:r>
      <w:r w:rsidR="002A65E4" w:rsidRPr="00774395">
        <w:t xml:space="preserve">20%) </w:t>
      </w:r>
      <w:r w:rsidR="00991265" w:rsidRPr="00774395">
        <w:t>and N (</w:t>
      </w:r>
      <w:r w:rsidR="00991265" w:rsidRPr="00774395">
        <w:rPr>
          <w:rFonts w:ascii="Calibri" w:hAnsi="Calibri" w:cs="Calibri"/>
        </w:rPr>
        <w:t>≥</w:t>
      </w:r>
      <w:r w:rsidR="00991265" w:rsidRPr="00774395">
        <w:t xml:space="preserve">0.6%) </w:t>
      </w:r>
      <w:r w:rsidR="002A65E4" w:rsidRPr="00774395">
        <w:t xml:space="preserve">exhibited </w:t>
      </w:r>
      <w:r w:rsidR="00991265" w:rsidRPr="00774395">
        <w:t>larger</w:t>
      </w:r>
      <w:r w:rsidR="002A65E4" w:rsidRPr="00774395">
        <w:t xml:space="preserve"> improvements of CH</w:t>
      </w:r>
      <w:r w:rsidR="002A65E4" w:rsidRPr="00774395">
        <w:rPr>
          <w:vertAlign w:val="subscript"/>
        </w:rPr>
        <w:t>4</w:t>
      </w:r>
      <w:r w:rsidR="002A65E4" w:rsidRPr="00774395">
        <w:t xml:space="preserve"> yield</w:t>
      </w:r>
      <w:r w:rsidR="00991265" w:rsidRPr="00774395">
        <w:t xml:space="preserve">. </w:t>
      </w:r>
      <w:bookmarkStart w:id="8" w:name="_Hlk87267666"/>
      <w:r w:rsidR="00B854E6" w:rsidRPr="00774395">
        <w:t>A</w:t>
      </w:r>
      <w:r w:rsidR="009D5659" w:rsidRPr="00774395">
        <w:t xml:space="preserve">n </w:t>
      </w:r>
      <w:r w:rsidR="003E44BE" w:rsidRPr="00774395">
        <w:t xml:space="preserve">increasing </w:t>
      </w:r>
      <w:r w:rsidR="00765F4D" w:rsidRPr="00774395">
        <w:t xml:space="preserve">content of H </w:t>
      </w:r>
      <w:r w:rsidR="009D5659" w:rsidRPr="00774395">
        <w:t xml:space="preserve">resulted in </w:t>
      </w:r>
      <w:r w:rsidRPr="00774395">
        <w:t>improvements</w:t>
      </w:r>
      <w:r w:rsidR="009D5659" w:rsidRPr="00774395">
        <w:t xml:space="preserve"> up to a range of 2-3%</w:t>
      </w:r>
      <w:r w:rsidR="00C3718B" w:rsidRPr="00774395">
        <w:t>,</w:t>
      </w:r>
      <w:r w:rsidR="00330F01" w:rsidRPr="00774395">
        <w:t xml:space="preserve"> </w:t>
      </w:r>
      <w:r w:rsidR="00C3718B" w:rsidRPr="00774395">
        <w:t xml:space="preserve">though </w:t>
      </w:r>
      <w:r w:rsidR="00330F01" w:rsidRPr="00774395">
        <w:t xml:space="preserve">higher H contents exhibited </w:t>
      </w:r>
      <w:r w:rsidRPr="00774395">
        <w:t>in</w:t>
      </w:r>
      <w:r w:rsidR="00330F01" w:rsidRPr="00774395">
        <w:t xml:space="preserve">significant </w:t>
      </w:r>
      <w:r w:rsidR="00C3718B" w:rsidRPr="00774395">
        <w:t>(</w:t>
      </w:r>
      <w:r w:rsidR="00707A69" w:rsidRPr="00774395">
        <w:t xml:space="preserve">H </w:t>
      </w:r>
      <w:r w:rsidR="00C3718B" w:rsidRPr="00774395">
        <w:t xml:space="preserve">3-4%) </w:t>
      </w:r>
      <w:r w:rsidR="00330F01" w:rsidRPr="00774395">
        <w:t xml:space="preserve">or </w:t>
      </w:r>
      <w:r w:rsidR="00C3718B" w:rsidRPr="00774395">
        <w:t>low g (</w:t>
      </w:r>
      <w:r w:rsidR="00707A69" w:rsidRPr="00774395">
        <w:t xml:space="preserve">H </w:t>
      </w:r>
      <w:r w:rsidR="00C3718B" w:rsidRPr="00774395">
        <w:t xml:space="preserve">≥ 4%). </w:t>
      </w:r>
      <w:bookmarkEnd w:id="8"/>
      <w:r w:rsidR="00707A69" w:rsidRPr="00774395">
        <w:t>Regarding the role of pH on</w:t>
      </w:r>
      <w:r w:rsidR="00707A69" w:rsidRPr="00774395">
        <w:rPr>
          <w:b/>
          <w:bCs/>
        </w:rPr>
        <w:t xml:space="preserve"> </w:t>
      </w:r>
      <w:r w:rsidR="00707A69" w:rsidRPr="00774395">
        <w:t>CH</w:t>
      </w:r>
      <w:r w:rsidR="00707A69" w:rsidRPr="00774395">
        <w:rPr>
          <w:vertAlign w:val="subscript"/>
        </w:rPr>
        <w:t>4</w:t>
      </w:r>
      <w:r w:rsidR="00707A69" w:rsidRPr="00774395">
        <w:t xml:space="preserve"> yield, the largest </w:t>
      </w:r>
      <w:r w:rsidR="00707A69" w:rsidRPr="00774395">
        <w:rPr>
          <w:i/>
          <w:iCs/>
        </w:rPr>
        <w:t>g</w:t>
      </w:r>
      <w:r w:rsidR="00707A69" w:rsidRPr="00774395">
        <w:t xml:space="preserve"> value</w:t>
      </w:r>
      <w:r w:rsidR="00672855" w:rsidRPr="00774395">
        <w:t xml:space="preserve"> was observed for BCs with an acidic pH, while BCs having pH 8.0 </w:t>
      </w:r>
      <w:r w:rsidR="00B854E6" w:rsidRPr="00774395">
        <w:t xml:space="preserve">- </w:t>
      </w:r>
      <w:r w:rsidR="00672855" w:rsidRPr="00774395">
        <w:t xml:space="preserve">9.0 </w:t>
      </w:r>
      <w:r w:rsidRPr="00774395">
        <w:t>resulted in</w:t>
      </w:r>
      <w:r w:rsidR="00672855" w:rsidRPr="00774395">
        <w:t xml:space="preserve"> the lowest </w:t>
      </w:r>
      <w:r w:rsidR="002C7036" w:rsidRPr="00774395">
        <w:rPr>
          <w:i/>
          <w:iCs/>
        </w:rPr>
        <w:t>g</w:t>
      </w:r>
      <w:r w:rsidR="002C7036" w:rsidRPr="00774395">
        <w:t xml:space="preserve">, which became slightly larger for BCs having </w:t>
      </w:r>
      <w:r w:rsidR="00421559" w:rsidRPr="00774395">
        <w:t xml:space="preserve">a </w:t>
      </w:r>
      <w:r w:rsidR="002C7036" w:rsidRPr="00774395">
        <w:t>pH</w:t>
      </w:r>
      <w:r w:rsidR="0015118D" w:rsidRPr="00774395">
        <w:t xml:space="preserve"> </w:t>
      </w:r>
      <w:r w:rsidR="002C7036" w:rsidRPr="00774395">
        <w:t xml:space="preserve">≥9. </w:t>
      </w:r>
      <w:r w:rsidR="00D818D9" w:rsidRPr="00774395">
        <w:t xml:space="preserve">Therefore, </w:t>
      </w:r>
      <w:r w:rsidR="00BB3952" w:rsidRPr="00774395">
        <w:t xml:space="preserve">there is no evidence that </w:t>
      </w:r>
      <w:r w:rsidR="00100952" w:rsidRPr="00774395">
        <w:t>BCs with basic pH</w:t>
      </w:r>
      <w:r w:rsidR="00D818D9" w:rsidRPr="00774395">
        <w:t xml:space="preserve"> </w:t>
      </w:r>
      <w:r w:rsidR="00BB3952" w:rsidRPr="00774395">
        <w:t xml:space="preserve">can </w:t>
      </w:r>
      <w:r w:rsidR="00100952" w:rsidRPr="00774395">
        <w:t>determine</w:t>
      </w:r>
      <w:r w:rsidR="00C342A6" w:rsidRPr="00774395">
        <w:t xml:space="preserve"> </w:t>
      </w:r>
      <w:r w:rsidR="00100952" w:rsidRPr="00774395">
        <w:t>better</w:t>
      </w:r>
      <w:r w:rsidR="00C342A6" w:rsidRPr="00774395">
        <w:t xml:space="preserve"> </w:t>
      </w:r>
      <w:r w:rsidR="00100952" w:rsidRPr="00774395">
        <w:t>enhancements</w:t>
      </w:r>
      <w:r w:rsidR="00C342A6" w:rsidRPr="00774395">
        <w:t xml:space="preserve"> of CH</w:t>
      </w:r>
      <w:r w:rsidR="00C342A6" w:rsidRPr="00774395">
        <w:rPr>
          <w:vertAlign w:val="subscript"/>
        </w:rPr>
        <w:t>4</w:t>
      </w:r>
      <w:r w:rsidR="00C342A6" w:rsidRPr="00774395">
        <w:t xml:space="preserve"> yield</w:t>
      </w:r>
      <w:r w:rsidR="00100952" w:rsidRPr="00774395">
        <w:t xml:space="preserve"> </w:t>
      </w:r>
      <w:r w:rsidRPr="00774395">
        <w:t xml:space="preserve">when </w:t>
      </w:r>
      <w:r w:rsidR="00100952" w:rsidRPr="00774395">
        <w:t>compared to acidic BCs</w:t>
      </w:r>
      <w:r w:rsidR="00C342A6" w:rsidRPr="00774395">
        <w:t>.</w:t>
      </w:r>
      <w:r w:rsidR="00F726C9" w:rsidRPr="00774395">
        <w:t xml:space="preserve"> </w:t>
      </w:r>
    </w:p>
    <w:p w14:paraId="073E6A63" w14:textId="528806E9" w:rsidR="007C01F0" w:rsidRPr="00774395" w:rsidRDefault="00D31D43" w:rsidP="00265A4E">
      <w:pPr>
        <w:jc w:val="both"/>
      </w:pPr>
      <w:r w:rsidRPr="00774395">
        <w:t xml:space="preserve">All specific surface area categories </w:t>
      </w:r>
      <w:r w:rsidR="000C68B3" w:rsidRPr="00774395">
        <w:t xml:space="preserve">resulted into positive effects of BC. The </w:t>
      </w:r>
      <w:r w:rsidR="00D219FB" w:rsidRPr="00774395">
        <w:t>largest</w:t>
      </w:r>
      <w:r w:rsidR="000C68B3" w:rsidRPr="00774395">
        <w:t xml:space="preserve"> effect was for </w:t>
      </w:r>
      <w:r w:rsidR="00D219FB" w:rsidRPr="00774395">
        <w:t xml:space="preserve">BCs with SA </w:t>
      </w:r>
      <w:r w:rsidR="004B2DDD" w:rsidRPr="00774395">
        <w:t>&lt;</w:t>
      </w:r>
      <w:r w:rsidR="00D219FB" w:rsidRPr="00774395">
        <w:t>10 m</w:t>
      </w:r>
      <w:r w:rsidR="00D219FB" w:rsidRPr="00774395">
        <w:rPr>
          <w:vertAlign w:val="superscript"/>
        </w:rPr>
        <w:t>2</w:t>
      </w:r>
      <w:r w:rsidR="00D219FB" w:rsidRPr="00774395">
        <w:t xml:space="preserve"> g</w:t>
      </w:r>
      <w:r w:rsidR="00D219FB" w:rsidRPr="00774395">
        <w:rPr>
          <w:vertAlign w:val="superscript"/>
        </w:rPr>
        <w:t>-1</w:t>
      </w:r>
      <w:r w:rsidR="000C68B3" w:rsidRPr="00774395">
        <w:t xml:space="preserve">, the </w:t>
      </w:r>
      <w:r w:rsidR="00D219FB" w:rsidRPr="00774395">
        <w:t>lowest</w:t>
      </w:r>
      <w:r w:rsidR="000C68B3" w:rsidRPr="00774395">
        <w:t xml:space="preserve"> for </w:t>
      </w:r>
      <w:r w:rsidR="00D219FB" w:rsidRPr="00774395">
        <w:t xml:space="preserve">BCs with SA </w:t>
      </w:r>
      <w:r w:rsidR="004B2DDD" w:rsidRPr="00774395">
        <w:t>&gt;</w:t>
      </w:r>
      <w:r w:rsidR="00D219FB" w:rsidRPr="00774395">
        <w:t>100 m</w:t>
      </w:r>
      <w:r w:rsidR="00D219FB" w:rsidRPr="00774395">
        <w:rPr>
          <w:vertAlign w:val="superscript"/>
        </w:rPr>
        <w:t>2</w:t>
      </w:r>
      <w:r w:rsidR="00D219FB" w:rsidRPr="00774395">
        <w:t xml:space="preserve"> g</w:t>
      </w:r>
      <w:r w:rsidR="00D219FB" w:rsidRPr="00774395">
        <w:rPr>
          <w:vertAlign w:val="superscript"/>
        </w:rPr>
        <w:t>-1</w:t>
      </w:r>
      <w:r w:rsidR="002C560E" w:rsidRPr="00774395">
        <w:t xml:space="preserve">, </w:t>
      </w:r>
      <w:r w:rsidR="00017354" w:rsidRPr="00774395">
        <w:t>consistent</w:t>
      </w:r>
      <w:r w:rsidR="002C560E" w:rsidRPr="00774395">
        <w:t>ly</w:t>
      </w:r>
      <w:r w:rsidR="00017354" w:rsidRPr="00774395">
        <w:t xml:space="preserve"> with </w:t>
      </w:r>
      <w:r w:rsidR="004B2DDD" w:rsidRPr="00774395">
        <w:t>previous</w:t>
      </w:r>
      <w:r w:rsidR="00017354" w:rsidRPr="00774395">
        <w:t xml:space="preserve"> observations about feedstocks and pyrolysis temperature.</w:t>
      </w:r>
      <w:r w:rsidR="002C560E" w:rsidRPr="00774395">
        <w:t xml:space="preserve"> </w:t>
      </w:r>
      <w:r w:rsidR="007C01F0" w:rsidRPr="00774395">
        <w:t>W</w:t>
      </w:r>
      <w:r w:rsidR="00017354" w:rsidRPr="00774395">
        <w:t xml:space="preserve">ood-based BCs having large SA </w:t>
      </w:r>
      <w:r w:rsidR="007C01F0" w:rsidRPr="00774395">
        <w:t>r</w:t>
      </w:r>
      <w:r w:rsidR="00017354" w:rsidRPr="00774395">
        <w:t xml:space="preserve">esulted </w:t>
      </w:r>
      <w:r w:rsidR="00265A4E" w:rsidRPr="00774395">
        <w:t>in the</w:t>
      </w:r>
      <w:r w:rsidR="00017354" w:rsidRPr="00774395">
        <w:t xml:space="preserve"> lowest effects </w:t>
      </w:r>
      <w:r w:rsidR="00671EA8" w:rsidRPr="00774395">
        <w:t xml:space="preserve">among </w:t>
      </w:r>
      <w:r w:rsidR="002C560E" w:rsidRPr="00774395">
        <w:lastRenderedPageBreak/>
        <w:t>different feedstocks</w:t>
      </w:r>
      <w:r w:rsidR="00017354" w:rsidRPr="00774395">
        <w:t>.</w:t>
      </w:r>
      <w:r w:rsidR="007C01F0" w:rsidRPr="00774395">
        <w:t xml:space="preserve"> BCs from low </w:t>
      </w:r>
      <w:r w:rsidR="004B2DDD" w:rsidRPr="00774395">
        <w:t xml:space="preserve">pyrolysis </w:t>
      </w:r>
      <w:r w:rsidR="007C01F0" w:rsidRPr="00774395">
        <w:t xml:space="preserve">temperature exhibited the highest impacts as for </w:t>
      </w:r>
      <w:r w:rsidR="00967692" w:rsidRPr="00774395">
        <w:t xml:space="preserve">BCs having </w:t>
      </w:r>
      <w:r w:rsidR="004C5866" w:rsidRPr="00774395">
        <w:t>low</w:t>
      </w:r>
      <w:r w:rsidR="00967692" w:rsidRPr="00774395">
        <w:t xml:space="preserve"> SA, </w:t>
      </w:r>
      <w:r w:rsidR="00E173CA" w:rsidRPr="00774395">
        <w:t>likely</w:t>
      </w:r>
      <w:r w:rsidR="00CC57D3" w:rsidRPr="00774395">
        <w:t xml:space="preserve"> because</w:t>
      </w:r>
      <w:r w:rsidR="00967692" w:rsidRPr="00774395">
        <w:t xml:space="preserve"> an increasing temperature tends to enhance SA of BCs (</w:t>
      </w:r>
      <w:r w:rsidR="00F11E6B" w:rsidRPr="00774395">
        <w:t>Figure</w:t>
      </w:r>
      <w:r w:rsidR="00F11E6B" w:rsidRPr="00774395" w:rsidDel="00F11E6B">
        <w:t xml:space="preserve"> </w:t>
      </w:r>
      <w:r w:rsidR="00F11E6B" w:rsidRPr="00774395">
        <w:t>2</w:t>
      </w:r>
      <w:r w:rsidR="00967692" w:rsidRPr="00774395">
        <w:t xml:space="preserve">A). </w:t>
      </w:r>
      <w:r w:rsidR="00231148" w:rsidRPr="00774395">
        <w:t xml:space="preserve">Despite </w:t>
      </w:r>
      <w:r w:rsidR="00076ED6" w:rsidRPr="00774395">
        <w:t xml:space="preserve">large </w:t>
      </w:r>
      <w:r w:rsidR="00231148" w:rsidRPr="00774395">
        <w:t xml:space="preserve">SA was reported to enhance </w:t>
      </w:r>
      <w:r w:rsidR="004B2DDD" w:rsidRPr="00774395">
        <w:t xml:space="preserve">the BC </w:t>
      </w:r>
      <w:r w:rsidR="00231148" w:rsidRPr="00774395">
        <w:t xml:space="preserve">absorption </w:t>
      </w:r>
      <w:r w:rsidR="006A0C45" w:rsidRPr="00774395">
        <w:t xml:space="preserve">capacity </w:t>
      </w:r>
      <w:r w:rsidR="00231148" w:rsidRPr="00774395">
        <w:t xml:space="preserve">and </w:t>
      </w:r>
      <w:r w:rsidR="006A0C45" w:rsidRPr="00774395">
        <w:t xml:space="preserve">favour </w:t>
      </w:r>
      <w:r w:rsidR="00231148" w:rsidRPr="00774395">
        <w:t>microbial attachment</w:t>
      </w:r>
      <w:r w:rsidR="00076ED6" w:rsidRPr="00774395">
        <w:t xml:space="preserve"> on BC</w:t>
      </w:r>
      <w:r w:rsidR="00231148" w:rsidRPr="00774395">
        <w:t xml:space="preserve"> </w:t>
      </w:r>
      <w:r w:rsidR="00231148" w:rsidRPr="00774395">
        <w:fldChar w:fldCharType="begin" w:fldLock="1"/>
      </w:r>
      <w:r w:rsidR="00753EF6" w:rsidRPr="00774395">
        <w:instrText>ADDIN CSL_CITATION {"citationItems":[{"id":"ITEM-1","itemData":{"DOI":"10.1016/j.rser.2020.110037","ISSN":"1364-0321","abstract":"Anaerobic digestion (AD) could be considered as a mature technology and nowadays it can still play a pivot role because of the urgent need to provide renewable energy sources and efficiently manage the continuously growing amount of organic waste. Biochar (BC) is an extremely versatile material, which could be produced by carbonization of organic materials, including biomass and wastes, consistently with Circular Economy principles, and “tailor-made” for specific applications. The potential BC role as additive in the control of the many well-known critical issues of AD processes has been increasingly explored over the past few years. However, a clear and comprehensive understanding of the connections between BC and AD is still missing. This review paper analyses and discusses significant references (review articles, research papers and international databases and reports), mostly published in the last 10 years. This review is aimed at addressing three key issues related to the better understanding of the BC role in AD processes: 1. Investigation of the influence of BC properties on AD performances and of their ability to counteract its main challenges; 2. Assessment of the optimal BC production chain (i.e. feedstock-pyrolysis-activation) to achieve the desired features; 3. Evaluation of the economic and environmental advantages connected to BC use in AD processes, compared to conventional solutions applied to address AD challenges.","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Reviews","id":"ITEM-1","issued":{"date-parts":[["2020","10","1"]]},"page":"110037","publisher":"Pergamon","title":"Review of biochar role as additive in anaerobic digestion processes","type":"article-journal","volume":"131"},"uris":["http://www.mendeley.com/documents/?uuid=c723083b-d34b-38ab-be81-44a38ae5279d"]}],"mendeley":{"formattedCitation":"[18]","plainTextFormattedCitation":"[18]","previouslyFormattedCitation":"[18]"},"properties":{"noteIndex":0},"schema":"https://github.com/citation-style-language/schema/raw/master/csl-citation.json"}</w:instrText>
      </w:r>
      <w:r w:rsidR="00231148" w:rsidRPr="00774395">
        <w:fldChar w:fldCharType="separate"/>
      </w:r>
      <w:r w:rsidR="00A90022" w:rsidRPr="00774395">
        <w:rPr>
          <w:noProof/>
        </w:rPr>
        <w:t>[18]</w:t>
      </w:r>
      <w:r w:rsidR="00231148" w:rsidRPr="00774395">
        <w:fldChar w:fldCharType="end"/>
      </w:r>
      <w:r w:rsidR="006A0C45" w:rsidRPr="00774395">
        <w:t xml:space="preserve">, </w:t>
      </w:r>
      <w:r w:rsidR="005330C7" w:rsidRPr="00774395">
        <w:t>there is no evidence of an enhancement</w:t>
      </w:r>
      <w:r w:rsidR="00076ED6" w:rsidRPr="00774395">
        <w:t xml:space="preserve"> of BC effect on CH</w:t>
      </w:r>
      <w:r w:rsidR="00076ED6" w:rsidRPr="00774395">
        <w:rPr>
          <w:vertAlign w:val="subscript"/>
        </w:rPr>
        <w:t>4</w:t>
      </w:r>
      <w:r w:rsidR="00076ED6" w:rsidRPr="00774395">
        <w:t xml:space="preserve"> yield due to high SA. </w:t>
      </w:r>
    </w:p>
    <w:p w14:paraId="538927D3" w14:textId="3C2D3D8C" w:rsidR="00DB6263" w:rsidRPr="00774395" w:rsidRDefault="001E699D" w:rsidP="00265A4E">
      <w:pPr>
        <w:jc w:val="both"/>
      </w:pPr>
      <w:r w:rsidRPr="00774395">
        <w:t>Overall</w:t>
      </w:r>
      <w:r w:rsidR="00446335" w:rsidRPr="00774395">
        <w:t xml:space="preserve">, </w:t>
      </w:r>
      <w:r w:rsidR="007F4504" w:rsidRPr="00774395">
        <w:t xml:space="preserve">based on the subgroups </w:t>
      </w:r>
      <w:r w:rsidR="00791686" w:rsidRPr="00774395">
        <w:t>meta-</w:t>
      </w:r>
      <w:r w:rsidR="007F4504" w:rsidRPr="00774395">
        <w:t>analysis, the optimal range of BC physi</w:t>
      </w:r>
      <w:r w:rsidR="00216A35" w:rsidRPr="00774395">
        <w:t>c</w:t>
      </w:r>
      <w:r w:rsidR="007F4504" w:rsidRPr="00774395">
        <w:t>o-chemical properties to enhance CH</w:t>
      </w:r>
      <w:r w:rsidR="007F4504" w:rsidRPr="00774395">
        <w:rPr>
          <w:vertAlign w:val="subscript"/>
        </w:rPr>
        <w:t>4</w:t>
      </w:r>
      <w:r w:rsidR="007F4504" w:rsidRPr="00774395">
        <w:t xml:space="preserve"> yields may be as follows: </w:t>
      </w:r>
      <w:r w:rsidR="001F2A67" w:rsidRPr="00774395">
        <w:t>high</w:t>
      </w:r>
      <w:r w:rsidR="00B60530" w:rsidRPr="00774395">
        <w:t xml:space="preserve"> ash contents (</w:t>
      </w:r>
      <w:r w:rsidR="007F4504" w:rsidRPr="00774395">
        <w:rPr>
          <w:rFonts w:ascii="Calibri" w:hAnsi="Calibri" w:cs="Calibri"/>
        </w:rPr>
        <w:t>≥</w:t>
      </w:r>
      <w:r w:rsidR="00B60530" w:rsidRPr="00774395">
        <w:t>20%) and low C contents (</w:t>
      </w:r>
      <w:r w:rsidR="007F4504" w:rsidRPr="00774395">
        <w:t>&lt;50%</w:t>
      </w:r>
      <w:r w:rsidR="00B60530" w:rsidRPr="00774395">
        <w:t>)</w:t>
      </w:r>
      <w:r w:rsidR="007F4504" w:rsidRPr="00774395">
        <w:t xml:space="preserve">, </w:t>
      </w:r>
      <w:r w:rsidR="001F2A67" w:rsidRPr="00774395">
        <w:t>high</w:t>
      </w:r>
      <w:r w:rsidR="007F4504" w:rsidRPr="00774395">
        <w:t xml:space="preserve"> O/C molar ratios (</w:t>
      </w:r>
      <w:r w:rsidR="007F4504" w:rsidRPr="00774395">
        <w:rPr>
          <w:rFonts w:ascii="Calibri" w:hAnsi="Calibri" w:cs="Calibri"/>
        </w:rPr>
        <w:t>≥</w:t>
      </w:r>
      <w:r w:rsidR="007F4504" w:rsidRPr="00774395">
        <w:t>0.3), high contents of O (</w:t>
      </w:r>
      <w:r w:rsidR="007F4504" w:rsidRPr="00774395">
        <w:rPr>
          <w:rFonts w:ascii="Calibri" w:hAnsi="Calibri" w:cs="Calibri"/>
        </w:rPr>
        <w:t>≥</w:t>
      </w:r>
      <w:r w:rsidR="007F4504" w:rsidRPr="00774395">
        <w:t>20%) and N (</w:t>
      </w:r>
      <w:r w:rsidR="007F4504" w:rsidRPr="00774395">
        <w:rPr>
          <w:rFonts w:ascii="Calibri" w:hAnsi="Calibri" w:cs="Calibri"/>
        </w:rPr>
        <w:t>≥</w:t>
      </w:r>
      <w:r w:rsidR="007F4504" w:rsidRPr="00774395">
        <w:t>0.6%), acidic pH (&lt;7.0), and modest values of SA (&lt;10 m</w:t>
      </w:r>
      <w:r w:rsidR="007F4504" w:rsidRPr="00774395">
        <w:rPr>
          <w:vertAlign w:val="superscript"/>
        </w:rPr>
        <w:t>2</w:t>
      </w:r>
      <w:r w:rsidR="007F4504" w:rsidRPr="00774395">
        <w:t xml:space="preserve"> g</w:t>
      </w:r>
      <w:r w:rsidR="007F4504" w:rsidRPr="00774395">
        <w:rPr>
          <w:vertAlign w:val="superscript"/>
        </w:rPr>
        <w:t>-1</w:t>
      </w:r>
      <w:r w:rsidR="007F4504" w:rsidRPr="00774395">
        <w:t xml:space="preserve">). </w:t>
      </w:r>
      <w:r w:rsidR="001F2A67" w:rsidRPr="00774395">
        <w:t>To</w:t>
      </w:r>
      <w:r w:rsidR="00791686" w:rsidRPr="00774395">
        <w:t xml:space="preserve"> synthetize BCs having these range of properties, </w:t>
      </w:r>
      <w:r w:rsidR="00906E9F" w:rsidRPr="00774395">
        <w:t>the selection of feedstocks as manure or sludge may be recommended, as well as the us</w:t>
      </w:r>
      <w:r w:rsidR="001F2A67" w:rsidRPr="00774395">
        <w:t>e</w:t>
      </w:r>
      <w:r w:rsidR="00906E9F" w:rsidRPr="00774395">
        <w:t xml:space="preserve"> of moderate pyrolysis temperatures (see section 3.</w:t>
      </w:r>
      <w:r w:rsidR="004066E8" w:rsidRPr="00774395">
        <w:t>1</w:t>
      </w:r>
      <w:r w:rsidR="00906E9F" w:rsidRPr="00774395">
        <w:t xml:space="preserve">). The results of the subgroups meta-analysis of BC feedstocks and pyrolysis temperature support these observations. Our findings are in partial agreements with </w:t>
      </w:r>
      <w:r w:rsidR="001F2A67" w:rsidRPr="00774395">
        <w:t xml:space="preserve">the </w:t>
      </w:r>
      <w:r w:rsidR="00906E9F" w:rsidRPr="00774395">
        <w:t>literature</w:t>
      </w:r>
      <w:r w:rsidR="00C750C2" w:rsidRPr="00774395">
        <w:t xml:space="preserve">. Masebinu et al. (2019) </w:t>
      </w:r>
      <w:r w:rsidR="00C750C2" w:rsidRPr="00774395">
        <w:fldChar w:fldCharType="begin" w:fldLock="1"/>
      </w:r>
      <w:r w:rsidR="00753EF6" w:rsidRPr="00774395">
        <w:instrText>ADDIN CSL_CITATION {"citationItems":[{"id":"ITEM-1","itemData":{"DOI":"10.1016/j.rser.2018.12.048","ISSN":"1364-0321","abstract":"Anaerobic digestion (AD) is an established organic waste management technology, producing biogas and organic fertiliser as end-products. Despite being an established technology, AD still faces key challenges, including process inefficiencies due to substrate-induced instability and product quality assurance; inability to digest highly lignocellulosic biomass without pre-treatment; and management of effluents and emissions. Commercial grade carbon-based materials have been employed as stabilising agent to improve process efficiency. Biochar, a by-product from biomass pyrolysis, has recently been identified as a sustainable alternative material to commercial grade carbon-based adsorbent used in AD. This review highlights the challenges with the AD process and the limitations of the various conventional approaches in its management. An exposition of the characteristics of biochar and the physico-chemical properties of biochar, that can simultaneously promote AD process stability, increase biomethane yield rate and the agronomic quality of digestate, are presented and discussed.","author":[{"dropping-particle":"","family":"Masebinu","given":"S.O.","non-dropping-particle":"","parse-names":false,"suffix":""},{"dropping-particle":"","family":"Akinlabi","given":"E.T.","non-dropping-particle":"","parse-names":false,"suffix":""},{"dropping-particle":"","family":"Muzenda","given":"E.","non-dropping-particle":"","parse-names":false,"suffix":""},{"dropping-particle":"","family":"Aboyade","given":"A.O.","non-dropping-particle":"","parse-names":false,"suffix":""}],"container-title":"Renewable and Sustainable Energy Reviews","id":"ITEM-1","issued":{"date-parts":[["2019","4","1"]]},"page":"291-307","publisher":"Elsevier","title":"A review of biochar properties and their roles in mitigating challenges with anaerobic digestion","type":"article-journal","volume":"103"},"uris":["http://www.mendeley.com/documents/?uuid=0d958a49-b794-3eae-b815-f221c7dc33f8"]}],"mendeley":{"formattedCitation":"[21]","plainTextFormattedCitation":"[21]","previouslyFormattedCitation":"[21]"},"properties":{"noteIndex":0},"schema":"https://github.com/citation-style-language/schema/raw/master/csl-citation.json"}</w:instrText>
      </w:r>
      <w:r w:rsidR="00C750C2" w:rsidRPr="00774395">
        <w:fldChar w:fldCharType="separate"/>
      </w:r>
      <w:r w:rsidR="00A90022" w:rsidRPr="00774395">
        <w:rPr>
          <w:noProof/>
        </w:rPr>
        <w:t>[21]</w:t>
      </w:r>
      <w:r w:rsidR="00C750C2" w:rsidRPr="00774395">
        <w:fldChar w:fldCharType="end"/>
      </w:r>
      <w:r w:rsidR="00C750C2" w:rsidRPr="00774395">
        <w:t xml:space="preserve"> suggested </w:t>
      </w:r>
      <w:r w:rsidR="004B2DDD" w:rsidRPr="00774395">
        <w:t xml:space="preserve">that </w:t>
      </w:r>
      <w:r w:rsidR="00C750C2" w:rsidRPr="00774395">
        <w:t xml:space="preserve">BCs with diverse functional groups, increased SA and porosity, abundance of micropores over other pore sizes, high electrical conductivity, and large alkalinity </w:t>
      </w:r>
      <w:r w:rsidR="004B2DDD" w:rsidRPr="00774395">
        <w:t xml:space="preserve">can </w:t>
      </w:r>
      <w:r w:rsidR="00C750C2" w:rsidRPr="00774395">
        <w:t xml:space="preserve">favour the </w:t>
      </w:r>
      <w:r w:rsidR="004B2DDD" w:rsidRPr="00774395">
        <w:t xml:space="preserve">AD </w:t>
      </w:r>
      <w:r w:rsidR="00C750C2" w:rsidRPr="00774395">
        <w:t>stability and enhanc</w:t>
      </w:r>
      <w:r w:rsidR="004B2DDD" w:rsidRPr="00774395">
        <w:t>e</w:t>
      </w:r>
      <w:r w:rsidR="00C750C2" w:rsidRPr="00774395">
        <w:t xml:space="preserve"> CH</w:t>
      </w:r>
      <w:r w:rsidR="00C750C2" w:rsidRPr="00774395">
        <w:rPr>
          <w:vertAlign w:val="subscript"/>
        </w:rPr>
        <w:t>4</w:t>
      </w:r>
      <w:r w:rsidR="00C750C2" w:rsidRPr="00774395">
        <w:t xml:space="preserve"> content.</w:t>
      </w:r>
      <w:r w:rsidR="002A5A52" w:rsidRPr="00774395">
        <w:t xml:space="preserve"> </w:t>
      </w:r>
      <w:r w:rsidR="008D5F96" w:rsidRPr="00774395">
        <w:t>A</w:t>
      </w:r>
      <w:r w:rsidR="00140D1D" w:rsidRPr="00774395">
        <w:t xml:space="preserve"> meta-analysis by Xiao et al. (2021) </w:t>
      </w:r>
      <w:r w:rsidR="00140D1D" w:rsidRPr="00774395">
        <w:fldChar w:fldCharType="begin" w:fldLock="1"/>
      </w:r>
      <w:r w:rsidR="00101137" w:rsidRPr="00774395">
        <w:instrText>ADDIN CSL_CITATION {"citationItems":[{"id":"ITEM-1","itemData":{"DOI":"10.1007/s10311-021-01251-6","ISSN":"16103661","abstract":"Climate change and energy demand are calling for more sustainable fuels such as biomethane produced by anaerobic digestion of organic waste. Biochar addition to waste is presumed to enhance the efficiency of methane production, yet individual reports disclose contradictory results. Therefore, we performed a meta-analysis of 27 selected publications containing 156 paired measurements of control and biochar-amended treatments to assess the impact of biochar on the methanogenic performance. Results show that biochar promotes biomethane production substantially with a high Hedge's d value of 5.7 ± 1.04, yet sporadic publications report a methane decline. Methanogenic performance is statistically controlled by feedstock type, pyrolysis temperature and biochar concentration, but not controlled by pH, size, surface area and methanogen species. These findings should help to tune the parameters of anaerobic digestion with biochar to optimize biomethane productions. Moreover, our results cast some doubt on the efficiency of adding biochar to soil to sequester carbon in soils because biochar promotes methane generation and, in turn, emissions of methane, a greenhouse gas, to the atmosphere.","author":[{"dropping-particle":"","family":"Xiao","given":"Leilei","non-dropping-particle":"","parse-names":false,"suffix":""},{"dropping-particle":"","family":"Lichtfouse","given":"Eric","non-dropping-particle":"","parse-names":false,"suffix":""},{"dropping-particle":"","family":"Kumar","given":"P. Senthil","non-dropping-particle":"","parse-names":false,"suffix":""},{"dropping-particle":"","family":"Wang","given":"Quan","non-dropping-particle":"","parse-names":false,"suffix":""},{"dropping-particle":"","family":"Liu","given":"Fanghua","non-dropping-particle":"","parse-names":false,"suffix":""}],"container-title":"Environmental Chemistry Letters","id":"ITEM-1","issue":"5","issued":{"date-parts":[["2021","5","1"]]},"page":"3557-3564","publisher":"Springer","title":"Biochar promotes methane production during anaerobic digestion of organic waste","type":"article-journal","volume":"19"},"uris":["http://www.mendeley.com/documents/?uuid=8db66765-0cc0-4fcf-aa38-c8e4a43aed7b"]}],"mendeley":{"formattedCitation":"[27]","plainTextFormattedCitation":"[27]","previouslyFormattedCitation":"[27]"},"properties":{"noteIndex":0},"schema":"https://github.com/citation-style-language/schema/raw/master/csl-citation.json"}</w:instrText>
      </w:r>
      <w:r w:rsidR="00140D1D" w:rsidRPr="00774395">
        <w:fldChar w:fldCharType="separate"/>
      </w:r>
      <w:r w:rsidR="00A90022" w:rsidRPr="00774395">
        <w:rPr>
          <w:noProof/>
        </w:rPr>
        <w:t>[27]</w:t>
      </w:r>
      <w:r w:rsidR="00140D1D" w:rsidRPr="00774395">
        <w:fldChar w:fldCharType="end"/>
      </w:r>
      <w:r w:rsidR="00140D1D" w:rsidRPr="00774395">
        <w:t xml:space="preserve"> </w:t>
      </w:r>
      <w:r w:rsidR="00C80AF3" w:rsidRPr="00774395">
        <w:t>declared</w:t>
      </w:r>
      <w:r w:rsidR="00912686" w:rsidRPr="00774395">
        <w:t xml:space="preserve"> more favourable for AD</w:t>
      </w:r>
      <w:r w:rsidR="00C80AF3" w:rsidRPr="00774395">
        <w:t xml:space="preserve"> the</w:t>
      </w:r>
      <w:r w:rsidR="00912686" w:rsidRPr="00774395">
        <w:t xml:space="preserve"> BCs having low electrical conductivity (</w:t>
      </w:r>
      <w:r w:rsidR="00C80AF3" w:rsidRPr="00774395">
        <w:t>&lt;</w:t>
      </w:r>
      <w:r w:rsidR="00B3178F" w:rsidRPr="00774395">
        <w:t>450 μS/cm</w:t>
      </w:r>
      <w:r w:rsidR="00912686" w:rsidRPr="00774395">
        <w:t>)</w:t>
      </w:r>
      <w:r w:rsidR="00B3178F" w:rsidRPr="00774395">
        <w:t xml:space="preserve">, </w:t>
      </w:r>
      <w:r w:rsidR="00912686" w:rsidRPr="00774395">
        <w:t xml:space="preserve">synthetized at temperatures </w:t>
      </w:r>
      <w:r w:rsidR="00C80AF3" w:rsidRPr="00774395">
        <w:t>&lt;</w:t>
      </w:r>
      <w:r w:rsidR="00912686" w:rsidRPr="00774395">
        <w:t>700 °C</w:t>
      </w:r>
      <w:r w:rsidR="00C80AF3" w:rsidRPr="00774395">
        <w:t>.</w:t>
      </w:r>
      <w:r w:rsidR="008D5F96" w:rsidRPr="00774395">
        <w:t xml:space="preserve"> </w:t>
      </w:r>
      <w:r w:rsidR="00C80AF3" w:rsidRPr="00774395">
        <w:t>Conversely</w:t>
      </w:r>
      <w:r w:rsidR="00537D87" w:rsidRPr="00774395">
        <w:t>, the</w:t>
      </w:r>
      <w:r w:rsidR="001F2A67" w:rsidRPr="00774395">
        <w:t>y</w:t>
      </w:r>
      <w:r w:rsidR="00537D87" w:rsidRPr="00774395">
        <w:t xml:space="preserve"> did not find </w:t>
      </w:r>
      <w:r w:rsidR="001F2A67" w:rsidRPr="00774395">
        <w:t xml:space="preserve">any </w:t>
      </w:r>
      <w:r w:rsidR="00537D87" w:rsidRPr="00774395">
        <w:t xml:space="preserve">statistically significant impact </w:t>
      </w:r>
      <w:r w:rsidR="001F2A67" w:rsidRPr="00774395">
        <w:t xml:space="preserve">on the global effect of BC </w:t>
      </w:r>
      <w:r w:rsidR="00537D87" w:rsidRPr="00774395">
        <w:t>of</w:t>
      </w:r>
      <w:r w:rsidR="008D5F96" w:rsidRPr="00774395">
        <w:t xml:space="preserve"> </w:t>
      </w:r>
      <w:r w:rsidR="00537D87" w:rsidRPr="00774395">
        <w:t xml:space="preserve">properties as </w:t>
      </w:r>
      <w:r w:rsidR="00AA5223" w:rsidRPr="00774395">
        <w:t>pH, SA, and particle size</w:t>
      </w:r>
      <w:r w:rsidR="00C80AF3" w:rsidRPr="00774395">
        <w:t>;</w:t>
      </w:r>
      <w:r w:rsidR="00D3794D" w:rsidRPr="00774395">
        <w:t xml:space="preserve"> </w:t>
      </w:r>
      <w:r w:rsidR="00C80AF3" w:rsidRPr="00774395">
        <w:t>t</w:t>
      </w:r>
      <w:r w:rsidR="00D3794D" w:rsidRPr="00774395">
        <w:t>h</w:t>
      </w:r>
      <w:r w:rsidR="00C80AF3" w:rsidRPr="00774395">
        <w:t>is</w:t>
      </w:r>
      <w:r w:rsidR="000D5A79" w:rsidRPr="00774395">
        <w:t xml:space="preserve"> </w:t>
      </w:r>
      <w:r w:rsidR="00D3794D" w:rsidRPr="00774395">
        <w:t xml:space="preserve">may be </w:t>
      </w:r>
      <w:r w:rsidR="000D5A79" w:rsidRPr="00774395">
        <w:t>attributed to the restricted sample size compared to the present study.</w:t>
      </w:r>
    </w:p>
    <w:p w14:paraId="7E4F0096" w14:textId="77777777" w:rsidR="00C31F86" w:rsidRPr="00774395" w:rsidRDefault="00C31F86" w:rsidP="00265A4E">
      <w:pPr>
        <w:jc w:val="both"/>
      </w:pPr>
    </w:p>
    <w:p w14:paraId="44E8DFE5" w14:textId="30128A1F" w:rsidR="00350F49" w:rsidRPr="00774395" w:rsidRDefault="00B320BE" w:rsidP="00A179EB">
      <w:pPr>
        <w:jc w:val="center"/>
      </w:pPr>
      <w:r w:rsidRPr="00774395">
        <w:rPr>
          <w:noProof/>
        </w:rPr>
        <w:lastRenderedPageBreak/>
        <mc:AlternateContent>
          <mc:Choice Requires="wps">
            <w:drawing>
              <wp:anchor distT="0" distB="0" distL="114300" distR="114300" simplePos="0" relativeHeight="251669504" behindDoc="0" locked="0" layoutInCell="1" allowOverlap="1" wp14:anchorId="58AC03A4" wp14:editId="0F15C964">
                <wp:simplePos x="0" y="0"/>
                <wp:positionH relativeFrom="column">
                  <wp:posOffset>6105525</wp:posOffset>
                </wp:positionH>
                <wp:positionV relativeFrom="paragraph">
                  <wp:posOffset>414867</wp:posOffset>
                </wp:positionV>
                <wp:extent cx="397933" cy="296333"/>
                <wp:effectExtent l="0" t="0" r="0" b="0"/>
                <wp:wrapNone/>
                <wp:docPr id="17" name="Casella di testo 17"/>
                <wp:cNvGraphicFramePr/>
                <a:graphic xmlns:a="http://schemas.openxmlformats.org/drawingml/2006/main">
                  <a:graphicData uri="http://schemas.microsoft.com/office/word/2010/wordprocessingShape">
                    <wps:wsp>
                      <wps:cNvSpPr txBox="1"/>
                      <wps:spPr>
                        <a:xfrm>
                          <a:off x="0" y="0"/>
                          <a:ext cx="397933" cy="296333"/>
                        </a:xfrm>
                        <a:prstGeom prst="rect">
                          <a:avLst/>
                        </a:prstGeom>
                        <a:solidFill>
                          <a:schemeClr val="lt1"/>
                        </a:solidFill>
                        <a:ln w="6350">
                          <a:noFill/>
                        </a:ln>
                      </wps:spPr>
                      <wps:txbx>
                        <w:txbxContent>
                          <w:p w14:paraId="40B6B684" w14:textId="77777777" w:rsidR="00B320BE" w:rsidRDefault="00B320BE" w:rsidP="00B320BE">
                            <w:pPr>
                              <w:jc w:val="center"/>
                            </w:pPr>
                            <w:r>
                              <w:t>(A)</w:t>
                            </w:r>
                          </w:p>
                          <w:p w14:paraId="3C84BB99" w14:textId="77777777" w:rsidR="00B320BE" w:rsidRDefault="00B320BE" w:rsidP="00B320B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AC03A4" id="_x0000_t202" coordsize="21600,21600" o:spt="202" path="m,l,21600r21600,l21600,xe">
                <v:stroke joinstyle="miter"/>
                <v:path gradientshapeok="t" o:connecttype="rect"/>
              </v:shapetype>
              <v:shape id="Casella di testo 17" o:spid="_x0000_s1026" type="#_x0000_t202" style="position:absolute;left:0;text-align:left;margin-left:480.75pt;margin-top:32.65pt;width:31.35pt;height:23.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" fillcolor="white [3201]" stroked="f" strokeweight=".5pt">
                <v:textbox>
                  <w:txbxContent>
                    <w:p w14:paraId="40B6B684" w14:textId="77777777" w:rsidR="00B320BE" w:rsidRDefault="00B320BE" w:rsidP="00B320BE">
                      <w:pPr>
                        <w:jc w:val="center"/>
                      </w:pPr>
                      <w:r>
                        <w:t>(A)</w:t>
                      </w:r>
                    </w:p>
                    <w:p w14:paraId="3C84BB99" w14:textId="77777777" w:rsidR="00B320BE" w:rsidRDefault="00B320BE" w:rsidP="00B320BE"/>
                  </w:txbxContent>
                </v:textbox>
              </v:shape>
            </w:pict>
          </mc:Fallback>
        </mc:AlternateContent>
      </w:r>
      <w:r w:rsidR="00365FA0" w:rsidRPr="00774395">
        <w:t xml:space="preserve"> </w:t>
      </w:r>
      <w:r w:rsidR="00365FA0" w:rsidRPr="00774395">
        <w:rPr>
          <w:noProof/>
        </w:rPr>
        <w:drawing>
          <wp:inline distT="0" distB="0" distL="0" distR="0" wp14:anchorId="37E4DBE3" wp14:editId="6A49B3BD">
            <wp:extent cx="6120130" cy="6169218"/>
            <wp:effectExtent l="0" t="0" r="0" b="3175"/>
            <wp:docPr id="26" name="Picture 26"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Table&#10;&#10;Description automatically generated"/>
                    <pic:cNvPicPr>
                      <a:picLocks noChangeAspect="1" noChangeArrowheads="1"/>
                    </pic:cNvPicPr>
                  </pic:nvPicPr>
                  <pic:blipFill rotWithShape="1">
                    <a:blip r:embed="rId11">
                      <a:extLst>
                        <a:ext uri="{28A0092B-C50C-407E-A947-70E740481C1C}">
                          <a14:useLocalDpi xmlns:a14="http://schemas.microsoft.com/office/drawing/2010/main" val="0"/>
                        </a:ext>
                      </a:extLst>
                    </a:blip>
                    <a:srcRect t="6619"/>
                    <a:stretch/>
                  </pic:blipFill>
                  <pic:spPr bwMode="auto">
                    <a:xfrm>
                      <a:off x="0" y="0"/>
                      <a:ext cx="6120130" cy="6169218"/>
                    </a:xfrm>
                    <a:prstGeom prst="rect">
                      <a:avLst/>
                    </a:prstGeom>
                    <a:noFill/>
                    <a:ln>
                      <a:noFill/>
                    </a:ln>
                    <a:extLst>
                      <a:ext uri="{53640926-AAD7-44D8-BBD7-CCE9431645EC}">
                        <a14:shadowObscured xmlns:a14="http://schemas.microsoft.com/office/drawing/2010/main"/>
                      </a:ext>
                    </a:extLst>
                  </pic:spPr>
                </pic:pic>
              </a:graphicData>
            </a:graphic>
          </wp:inline>
        </w:drawing>
      </w:r>
    </w:p>
    <w:p w14:paraId="7F2ED9E1" w14:textId="3351446F" w:rsidR="00350F49" w:rsidRPr="00774395" w:rsidRDefault="00B320BE" w:rsidP="00A179EB">
      <w:pPr>
        <w:jc w:val="center"/>
      </w:pPr>
      <w:r w:rsidRPr="00774395">
        <w:rPr>
          <w:noProof/>
        </w:rPr>
        <w:lastRenderedPageBreak/>
        <mc:AlternateContent>
          <mc:Choice Requires="wps">
            <w:drawing>
              <wp:anchor distT="0" distB="0" distL="114300" distR="114300" simplePos="0" relativeHeight="251667456" behindDoc="0" locked="0" layoutInCell="1" allowOverlap="1" wp14:anchorId="4FA5E24E" wp14:editId="6CD7FC99">
                <wp:simplePos x="0" y="0"/>
                <wp:positionH relativeFrom="column">
                  <wp:posOffset>6189134</wp:posOffset>
                </wp:positionH>
                <wp:positionV relativeFrom="paragraph">
                  <wp:posOffset>499533</wp:posOffset>
                </wp:positionV>
                <wp:extent cx="397933" cy="296333"/>
                <wp:effectExtent l="0" t="0" r="0" b="0"/>
                <wp:wrapNone/>
                <wp:docPr id="16" name="Casella di testo 16"/>
                <wp:cNvGraphicFramePr/>
                <a:graphic xmlns:a="http://schemas.openxmlformats.org/drawingml/2006/main">
                  <a:graphicData uri="http://schemas.microsoft.com/office/word/2010/wordprocessingShape">
                    <wps:wsp>
                      <wps:cNvSpPr txBox="1"/>
                      <wps:spPr>
                        <a:xfrm>
                          <a:off x="0" y="0"/>
                          <a:ext cx="397933" cy="296333"/>
                        </a:xfrm>
                        <a:prstGeom prst="rect">
                          <a:avLst/>
                        </a:prstGeom>
                        <a:solidFill>
                          <a:schemeClr val="lt1"/>
                        </a:solidFill>
                        <a:ln w="6350">
                          <a:noFill/>
                        </a:ln>
                      </wps:spPr>
                      <wps:txbx>
                        <w:txbxContent>
                          <w:p w14:paraId="295FB96C" w14:textId="71C93FB5" w:rsidR="00B320BE" w:rsidRDefault="00B320BE" w:rsidP="00B320BE">
                            <w:pPr>
                              <w:jc w:val="center"/>
                            </w:pPr>
                            <w:r>
                              <w:t>(B)</w:t>
                            </w:r>
                          </w:p>
                          <w:p w14:paraId="58592F63" w14:textId="77777777" w:rsidR="00B320BE" w:rsidRDefault="00B320BE" w:rsidP="00B320B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A5E24E" id="Casella di testo 16" o:spid="_x0000_s1027" type="#_x0000_t202" style="position:absolute;left:0;text-align:left;margin-left:487.35pt;margin-top:39.35pt;width:31.35pt;height:23.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" fillcolor="white [3201]" stroked="f" strokeweight=".5pt">
                <v:textbox>
                  <w:txbxContent>
                    <w:p w14:paraId="295FB96C" w14:textId="71C93FB5" w:rsidR="00B320BE" w:rsidRDefault="00B320BE" w:rsidP="00B320BE">
                      <w:pPr>
                        <w:jc w:val="center"/>
                      </w:pPr>
                      <w:r>
                        <w:t>(B)</w:t>
                      </w:r>
                    </w:p>
                    <w:p w14:paraId="58592F63" w14:textId="77777777" w:rsidR="00B320BE" w:rsidRDefault="00B320BE" w:rsidP="00B320BE"/>
                  </w:txbxContent>
                </v:textbox>
              </v:shape>
            </w:pict>
          </mc:Fallback>
        </mc:AlternateContent>
      </w:r>
      <w:r w:rsidR="00365FA0" w:rsidRPr="00774395">
        <w:rPr>
          <w:noProof/>
        </w:rPr>
        <w:drawing>
          <wp:inline distT="0" distB="0" distL="0" distR="0" wp14:anchorId="49564D00" wp14:editId="47A5B601">
            <wp:extent cx="6106795" cy="6877850"/>
            <wp:effectExtent l="0" t="0" r="825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2">
                      <a:extLst>
                        <a:ext uri="{28A0092B-C50C-407E-A947-70E740481C1C}">
                          <a14:useLocalDpi xmlns:a14="http://schemas.microsoft.com/office/drawing/2010/main" val="0"/>
                        </a:ext>
                      </a:extLst>
                    </a:blip>
                    <a:srcRect t="6183"/>
                    <a:stretch/>
                  </pic:blipFill>
                  <pic:spPr bwMode="auto">
                    <a:xfrm>
                      <a:off x="0" y="0"/>
                      <a:ext cx="6106795" cy="6877850"/>
                    </a:xfrm>
                    <a:prstGeom prst="rect">
                      <a:avLst/>
                    </a:prstGeom>
                    <a:noFill/>
                    <a:ln>
                      <a:noFill/>
                    </a:ln>
                    <a:extLst>
                      <a:ext uri="{53640926-AAD7-44D8-BBD7-CCE9431645EC}">
                        <a14:shadowObscured xmlns:a14="http://schemas.microsoft.com/office/drawing/2010/main"/>
                      </a:ext>
                    </a:extLst>
                  </pic:spPr>
                </pic:pic>
              </a:graphicData>
            </a:graphic>
          </wp:inline>
        </w:drawing>
      </w:r>
    </w:p>
    <w:p w14:paraId="66452C37" w14:textId="091FB62C" w:rsidR="00820EFA" w:rsidRPr="00774395" w:rsidRDefault="00820EFA" w:rsidP="00265A4E">
      <w:pPr>
        <w:pStyle w:val="Didascalia"/>
        <w:spacing w:line="480" w:lineRule="auto"/>
        <w:jc w:val="both"/>
        <w:rPr>
          <w:sz w:val="22"/>
          <w:szCs w:val="22"/>
        </w:rPr>
      </w:pPr>
      <w:bookmarkStart w:id="9" w:name="_Ref86916417"/>
      <w:r w:rsidRPr="00774395">
        <w:rPr>
          <w:sz w:val="22"/>
          <w:szCs w:val="22"/>
        </w:rPr>
        <w:t xml:space="preserve">Figure </w:t>
      </w:r>
      <w:bookmarkEnd w:id="9"/>
      <w:r w:rsidR="00F11E6B" w:rsidRPr="00774395">
        <w:rPr>
          <w:sz w:val="22"/>
          <w:szCs w:val="22"/>
        </w:rPr>
        <w:t>4</w:t>
      </w:r>
      <w:r w:rsidRPr="00774395">
        <w:rPr>
          <w:sz w:val="22"/>
          <w:szCs w:val="22"/>
        </w:rPr>
        <w:t>. Forest plot with results of subgroups analysis on CH</w:t>
      </w:r>
      <w:r w:rsidRPr="00774395">
        <w:rPr>
          <w:sz w:val="22"/>
          <w:szCs w:val="22"/>
          <w:vertAlign w:val="subscript"/>
        </w:rPr>
        <w:t>4</w:t>
      </w:r>
      <w:r w:rsidRPr="00774395">
        <w:rPr>
          <w:sz w:val="22"/>
          <w:szCs w:val="22"/>
        </w:rPr>
        <w:t xml:space="preserve"> yield, influence of different moderator variables: (A) </w:t>
      </w:r>
      <w:r w:rsidR="00A03AA4" w:rsidRPr="00774395">
        <w:rPr>
          <w:sz w:val="22"/>
          <w:szCs w:val="22"/>
        </w:rPr>
        <w:t>AD t</w:t>
      </w:r>
      <w:r w:rsidRPr="00774395">
        <w:rPr>
          <w:sz w:val="22"/>
          <w:szCs w:val="22"/>
        </w:rPr>
        <w:t>emperature</w:t>
      </w:r>
      <w:r w:rsidR="00A03AA4" w:rsidRPr="00774395">
        <w:rPr>
          <w:sz w:val="22"/>
          <w:szCs w:val="22"/>
        </w:rPr>
        <w:t xml:space="preserve"> and </w:t>
      </w:r>
      <w:r w:rsidRPr="00774395">
        <w:rPr>
          <w:sz w:val="22"/>
          <w:szCs w:val="22"/>
        </w:rPr>
        <w:t xml:space="preserve">substrates, </w:t>
      </w:r>
      <w:r w:rsidR="00A03AA4" w:rsidRPr="00774395">
        <w:rPr>
          <w:sz w:val="22"/>
          <w:szCs w:val="22"/>
        </w:rPr>
        <w:t xml:space="preserve">BC </w:t>
      </w:r>
      <w:r w:rsidRPr="00774395">
        <w:rPr>
          <w:sz w:val="22"/>
          <w:szCs w:val="22"/>
        </w:rPr>
        <w:t xml:space="preserve">dose </w:t>
      </w:r>
      <w:r w:rsidR="00A03AA4" w:rsidRPr="00774395">
        <w:rPr>
          <w:sz w:val="22"/>
          <w:szCs w:val="22"/>
        </w:rPr>
        <w:t>and</w:t>
      </w:r>
      <w:r w:rsidRPr="00774395">
        <w:rPr>
          <w:sz w:val="22"/>
          <w:szCs w:val="22"/>
        </w:rPr>
        <w:t xml:space="preserve"> </w:t>
      </w:r>
      <w:r w:rsidR="00A03AA4" w:rsidRPr="00774395">
        <w:rPr>
          <w:sz w:val="22"/>
          <w:szCs w:val="22"/>
        </w:rPr>
        <w:t xml:space="preserve">production </w:t>
      </w:r>
      <w:r w:rsidRPr="00774395">
        <w:rPr>
          <w:sz w:val="22"/>
          <w:szCs w:val="22"/>
        </w:rPr>
        <w:t xml:space="preserve">temperature, </w:t>
      </w:r>
      <w:r w:rsidR="00A03AA4" w:rsidRPr="00774395">
        <w:rPr>
          <w:sz w:val="22"/>
          <w:szCs w:val="22"/>
        </w:rPr>
        <w:t xml:space="preserve">BC </w:t>
      </w:r>
      <w:r w:rsidRPr="00774395">
        <w:rPr>
          <w:sz w:val="22"/>
          <w:szCs w:val="22"/>
        </w:rPr>
        <w:t xml:space="preserve">feedstocks </w:t>
      </w:r>
      <w:r w:rsidR="00A03AA4" w:rsidRPr="00774395">
        <w:rPr>
          <w:sz w:val="22"/>
          <w:szCs w:val="22"/>
        </w:rPr>
        <w:t>and</w:t>
      </w:r>
      <w:r w:rsidRPr="00774395">
        <w:rPr>
          <w:sz w:val="22"/>
          <w:szCs w:val="22"/>
        </w:rPr>
        <w:t xml:space="preserve"> ash content; (B)</w:t>
      </w:r>
      <w:r w:rsidR="00A03AA4" w:rsidRPr="00774395">
        <w:rPr>
          <w:sz w:val="22"/>
          <w:szCs w:val="22"/>
        </w:rPr>
        <w:t xml:space="preserve"> BC characteristics:</w:t>
      </w:r>
      <w:r w:rsidRPr="00774395">
        <w:rPr>
          <w:sz w:val="22"/>
          <w:szCs w:val="22"/>
        </w:rPr>
        <w:t xml:space="preserve"> O/C and H/C molar ratios</w:t>
      </w:r>
      <w:r w:rsidR="00A03AA4" w:rsidRPr="00774395">
        <w:rPr>
          <w:sz w:val="22"/>
          <w:szCs w:val="22"/>
        </w:rPr>
        <w:t>,</w:t>
      </w:r>
      <w:r w:rsidRPr="00774395">
        <w:rPr>
          <w:sz w:val="22"/>
          <w:szCs w:val="22"/>
        </w:rPr>
        <w:t xml:space="preserve"> C, H, O, N </w:t>
      </w:r>
      <w:r w:rsidR="00A03AA4" w:rsidRPr="00774395">
        <w:rPr>
          <w:sz w:val="22"/>
          <w:szCs w:val="22"/>
        </w:rPr>
        <w:t>contents</w:t>
      </w:r>
      <w:r w:rsidRPr="00774395">
        <w:rPr>
          <w:sz w:val="22"/>
          <w:szCs w:val="22"/>
        </w:rPr>
        <w:t xml:space="preserve">, pH, surface area. For each subgroup the mean effect size and 95% confidence intervals are reported. The summary effect for each moderator variable is indicated by a diamond. The results of testing the significance of each moderator variable </w:t>
      </w:r>
      <w:r w:rsidR="00A03AA4" w:rsidRPr="00774395">
        <w:rPr>
          <w:sz w:val="22"/>
          <w:szCs w:val="22"/>
        </w:rPr>
        <w:t>are</w:t>
      </w:r>
      <w:r w:rsidRPr="00774395">
        <w:rPr>
          <w:sz w:val="22"/>
          <w:szCs w:val="22"/>
        </w:rPr>
        <w:t xml:space="preserve"> reported between brackets: </w:t>
      </w:r>
      <w:r w:rsidRPr="00774395">
        <w:rPr>
          <w:i/>
          <w:sz w:val="22"/>
          <w:szCs w:val="22"/>
        </w:rPr>
        <w:t>Q</w:t>
      </w:r>
      <w:r w:rsidRPr="00774395">
        <w:rPr>
          <w:i/>
          <w:sz w:val="22"/>
          <w:szCs w:val="22"/>
          <w:vertAlign w:val="subscript"/>
        </w:rPr>
        <w:t>M</w:t>
      </w:r>
      <w:r w:rsidRPr="00774395">
        <w:rPr>
          <w:sz w:val="22"/>
          <w:szCs w:val="22"/>
        </w:rPr>
        <w:t>, degrees of freedom and p-value (significant whe</w:t>
      </w:r>
      <w:r w:rsidR="00A03AA4" w:rsidRPr="00774395">
        <w:rPr>
          <w:sz w:val="22"/>
          <w:szCs w:val="22"/>
        </w:rPr>
        <w:t>n</w:t>
      </w:r>
      <w:r w:rsidRPr="00774395">
        <w:rPr>
          <w:sz w:val="22"/>
          <w:szCs w:val="22"/>
        </w:rPr>
        <w:t xml:space="preserve"> &lt;0.05).</w:t>
      </w:r>
    </w:p>
    <w:p w14:paraId="209C79DF" w14:textId="77777777" w:rsidR="002B2E1D" w:rsidRPr="00774395" w:rsidRDefault="002B2E1D" w:rsidP="002B2E1D"/>
    <w:p w14:paraId="04C7EF9A" w14:textId="5D081AEA" w:rsidR="005A769E" w:rsidRPr="00774395" w:rsidRDefault="00931735" w:rsidP="00F64637">
      <w:pPr>
        <w:pStyle w:val="Titolo2"/>
        <w:rPr>
          <w:b/>
          <w:bCs/>
          <w:sz w:val="24"/>
          <w:szCs w:val="24"/>
        </w:rPr>
      </w:pPr>
      <w:r w:rsidRPr="00774395">
        <w:rPr>
          <w:b/>
          <w:bCs/>
          <w:sz w:val="24"/>
          <w:szCs w:val="24"/>
        </w:rPr>
        <w:t>4</w:t>
      </w:r>
      <w:r w:rsidR="005A769E" w:rsidRPr="00774395">
        <w:rPr>
          <w:b/>
          <w:bCs/>
          <w:sz w:val="24"/>
          <w:szCs w:val="24"/>
        </w:rPr>
        <w:t xml:space="preserve">.3. </w:t>
      </w:r>
      <w:r w:rsidR="00643C91" w:rsidRPr="00774395">
        <w:rPr>
          <w:b/>
          <w:bCs/>
          <w:sz w:val="24"/>
          <w:szCs w:val="24"/>
        </w:rPr>
        <w:t>Economic analysis</w:t>
      </w:r>
    </w:p>
    <w:p w14:paraId="08F359BC" w14:textId="09EF6D97" w:rsidR="00637938" w:rsidRPr="00774395" w:rsidRDefault="00645AEF" w:rsidP="00265A4E">
      <w:pPr>
        <w:jc w:val="both"/>
      </w:pPr>
      <w:r w:rsidRPr="00774395">
        <w:t>A</w:t>
      </w:r>
      <w:r w:rsidR="004D336D" w:rsidRPr="00774395">
        <w:t>n</w:t>
      </w:r>
      <w:r w:rsidRPr="00774395">
        <w:t xml:space="preserve"> economic analysis was carried out using input data of semi-continuous AD tests at lab or pilot scale from recent studies </w:t>
      </w:r>
      <w:r w:rsidR="00181234" w:rsidRPr="00774395">
        <w:t xml:space="preserve">(Table </w:t>
      </w:r>
      <w:r w:rsidR="004D336D" w:rsidRPr="00774395">
        <w:t>B3</w:t>
      </w:r>
      <w:r w:rsidR="00EB4CEB" w:rsidRPr="00774395">
        <w:t xml:space="preserve"> in </w:t>
      </w:r>
      <w:r w:rsidR="004D336D" w:rsidRPr="00774395">
        <w:t>Appendix B</w:t>
      </w:r>
      <w:r w:rsidR="00181234" w:rsidRPr="00774395">
        <w:t xml:space="preserve">) </w:t>
      </w:r>
      <w:r w:rsidRPr="00774395">
        <w:t xml:space="preserve">to </w:t>
      </w:r>
      <w:r w:rsidR="00CB200C" w:rsidRPr="00774395">
        <w:t>compare</w:t>
      </w:r>
      <w:r w:rsidRPr="00774395">
        <w:t xml:space="preserve"> the </w:t>
      </w:r>
      <w:r w:rsidR="00CB200C" w:rsidRPr="00774395">
        <w:t xml:space="preserve">estimated </w:t>
      </w:r>
      <w:r w:rsidRPr="00774395">
        <w:t xml:space="preserve">maximum sustainable </w:t>
      </w:r>
      <w:r w:rsidR="004D336D" w:rsidRPr="00774395">
        <w:t xml:space="preserve">BC </w:t>
      </w:r>
      <w:r w:rsidRPr="00774395">
        <w:t xml:space="preserve">unit cost </w:t>
      </w:r>
      <w:r w:rsidR="002E2CB6" w:rsidRPr="00774395">
        <w:t>(C</w:t>
      </w:r>
      <w:r w:rsidR="002E2CB6" w:rsidRPr="00774395">
        <w:rPr>
          <w:vertAlign w:val="subscript"/>
        </w:rPr>
        <w:t>BC,max</w:t>
      </w:r>
      <w:r w:rsidR="002E2CB6" w:rsidRPr="00774395">
        <w:t xml:space="preserve">) </w:t>
      </w:r>
      <w:r w:rsidRPr="00774395">
        <w:t xml:space="preserve">with BC market price. </w:t>
      </w:r>
      <w:r w:rsidR="00F41C22" w:rsidRPr="00774395">
        <w:t>Assuming to add BC to an operating digester, t</w:t>
      </w:r>
      <w:r w:rsidRPr="00774395">
        <w:t xml:space="preserve">he </w:t>
      </w:r>
      <w:r w:rsidR="0053490E" w:rsidRPr="00774395">
        <w:t xml:space="preserve">higher </w:t>
      </w:r>
      <w:r w:rsidRPr="00774395">
        <w:t xml:space="preserve">revenues </w:t>
      </w:r>
      <w:r w:rsidR="0053490E" w:rsidRPr="00774395">
        <w:t>due to</w:t>
      </w:r>
      <w:r w:rsidRPr="00774395">
        <w:t xml:space="preserve"> the extra thermal </w:t>
      </w:r>
      <w:r w:rsidR="00CB200C" w:rsidRPr="00774395">
        <w:t>and electrical energy</w:t>
      </w:r>
      <w:r w:rsidRPr="00774395">
        <w:t xml:space="preserve"> from the enhanced methane production respect to the scenario without BC supplementation</w:t>
      </w:r>
      <w:r w:rsidR="004D336D" w:rsidRPr="00774395">
        <w:t xml:space="preserve"> were accounted</w:t>
      </w:r>
      <w:r w:rsidRPr="00774395">
        <w:t xml:space="preserve">. </w:t>
      </w:r>
      <w:r w:rsidR="005E25EA" w:rsidRPr="00774395">
        <w:t>As a result</w:t>
      </w:r>
      <w:r w:rsidR="00364B88" w:rsidRPr="00774395">
        <w:t>,</w:t>
      </w:r>
      <w:r w:rsidR="005E25EA" w:rsidRPr="00774395">
        <w:t xml:space="preserve"> a </w:t>
      </w:r>
      <w:r w:rsidR="002E2CB6" w:rsidRPr="00774395">
        <w:t xml:space="preserve">wide range of </w:t>
      </w:r>
      <w:r w:rsidR="008700CE" w:rsidRPr="00774395">
        <w:t>C</w:t>
      </w:r>
      <w:r w:rsidR="008700CE" w:rsidRPr="00774395">
        <w:rPr>
          <w:vertAlign w:val="subscript"/>
        </w:rPr>
        <w:t>BC,max</w:t>
      </w:r>
      <w:r w:rsidR="008700CE" w:rsidRPr="00774395">
        <w:t xml:space="preserve"> </w:t>
      </w:r>
      <w:r w:rsidR="004D336D" w:rsidRPr="00774395">
        <w:t>(</w:t>
      </w:r>
      <w:r w:rsidR="008700CE" w:rsidRPr="00774395">
        <w:t xml:space="preserve">0 </w:t>
      </w:r>
      <w:r w:rsidR="004D336D" w:rsidRPr="00774395">
        <w:t xml:space="preserve">– </w:t>
      </w:r>
      <w:r w:rsidR="008700CE" w:rsidRPr="00774395">
        <w:t>7</w:t>
      </w:r>
      <w:r w:rsidR="000E2BE0" w:rsidRPr="00774395">
        <w:t>,</w:t>
      </w:r>
      <w:r w:rsidR="008700CE" w:rsidRPr="00774395">
        <w:t xml:space="preserve">500 </w:t>
      </w:r>
      <w:r w:rsidR="004D336D" w:rsidRPr="00774395">
        <w:t xml:space="preserve">USD </w:t>
      </w:r>
      <w:r w:rsidR="008700CE" w:rsidRPr="00774395">
        <w:t>ton</w:t>
      </w:r>
      <w:r w:rsidR="008700CE" w:rsidRPr="00774395">
        <w:rPr>
          <w:vertAlign w:val="subscript"/>
        </w:rPr>
        <w:t>BC</w:t>
      </w:r>
      <w:r w:rsidR="008700CE" w:rsidRPr="00774395">
        <w:rPr>
          <w:vertAlign w:val="superscript"/>
        </w:rPr>
        <w:t>-1</w:t>
      </w:r>
      <w:r w:rsidR="004D336D" w:rsidRPr="00774395">
        <w:t>)</w:t>
      </w:r>
      <w:r w:rsidR="008700CE" w:rsidRPr="00774395">
        <w:t xml:space="preserve"> was found</w:t>
      </w:r>
      <w:r w:rsidR="00140365" w:rsidRPr="00774395">
        <w:t xml:space="preserve">. Compared with a typical range cost for BC of 50-500 </w:t>
      </w:r>
      <w:r w:rsidR="004D336D" w:rsidRPr="00774395">
        <w:t xml:space="preserve">USD </w:t>
      </w:r>
      <w:r w:rsidR="00140365" w:rsidRPr="00774395">
        <w:t>ton</w:t>
      </w:r>
      <w:r w:rsidR="00140365" w:rsidRPr="00774395">
        <w:rPr>
          <w:vertAlign w:val="subscript"/>
        </w:rPr>
        <w:t>BC</w:t>
      </w:r>
      <w:r w:rsidR="00140365" w:rsidRPr="00774395">
        <w:rPr>
          <w:vertAlign w:val="superscript"/>
        </w:rPr>
        <w:t>-1</w:t>
      </w:r>
      <w:r w:rsidR="00140365" w:rsidRPr="00774395">
        <w:t xml:space="preserve"> </w:t>
      </w:r>
      <w:r w:rsidR="00140365" w:rsidRPr="00774395">
        <w:fldChar w:fldCharType="begin" w:fldLock="1"/>
      </w:r>
      <w:r w:rsidR="00520099">
        <w:instrText>ADDIN CSL_CITATION {"citationItems":[{"id":"ITEM-1","itemData":{"DOI":"10.1016/j.rser.2020.110037","ISSN":"1364-0321","abstract":"Anaerobic digestion (AD) could be considered as a mature technology and nowadays it can still play a pivot role because of the urgent need to provide renewable energy sources and efficiently manage the continuously growing amount of organic waste. Biochar (BC) is an extremely versatile material, which could be produced by carbonization of organic materials, including biomass and wastes, consistently with Circular Economy principles, and “tailor-made” for specific applications. The potential BC role as additive in the control of the many well-known critical issues of AD processes has been increasingly explored over the past few years. However, a clear and comprehensive understanding of the connections between BC and AD is still missing. This review paper analyses and discusses significant references (review articles, research papers and international databases and reports), mostly published in the last 10 years. This review is aimed at addressing three key issues related to the better understanding of the BC role in AD processes: 1. Investigation of the influence of BC properties on AD performances and of their ability to counteract its main challenges; 2. Assessment of the optimal BC production chain (i.e. feedstock-pyrolysis-activation) to achieve the desired features; 3. Evaluation of the economic and environmental advantages connected to BC use in AD processes, compared to conventional solutions applied to address AD challenges.","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Reviews","id":"ITEM-1","issued":{"date-parts":[["2020","10","1"]]},"page":"110037","publisher":"Pergamon","title":"Review of biochar role as additive in anaerobic digestion processes","type":"article-journal","volume":"131"},"uris":["http://www.mendeley.com/documents/?uuid=c723083b-d34b-38ab-be81-44a38ae5279d"]},{"id":"ITEM-2","itemData":{"DOI":"10.1016/j.biortech.2021.125664","ISSN":"0960-8524","abstract":"This work analysed the effects of Biochar (BC) addition to the Anaerobic digestion (AD) of wastewater Mixed sludge (MS) in semi-continuous mode. A 3 L digester was operated at 37 °C for 100 days, feeding MS collected every three weeks in the same wastewater treatment plant, and 10 g L−1 of BC. The average performance of MS digestion (biogas 188 NmL d−1, 68% methane) improved in presence of BC (biogas 244 NmL d−1, 69% methane). According to the results of the multiple linear regression analysis performed on the experimental data, the 79% variation of the soluble COD in the MS was the driving factor for the 38% increase of biogas and methane yields. In conclusion, in the considered experimental conditions, the variability of the substrate's composition was the key factor driving the performances of the AD of MS, independently of the addition of BC.","author":[{"dropping-particle":"","family":"Chiappero","given":"Marco","non-dropping-particle":"","parse-names":false,"suffix":""},{"dropping-particle":"","family":"Berruti","given":"Franco","non-dropping-particle":"","parse-names":false,"suffix":""},{"dropping-particle":"","family":"Mašek","given":"Ondřej","non-dropping-particle":"","parse-names":false,"suffix":""},{"dropping-particle":"","family":"Fiore","given":"Silvia","non-dropping-particle":"","parse-names":false,"suffix":""}],"container-title":"Bioresource Technology","id":"ITEM-2","issued":{"date-parts":[["2021","11","1"]]},"page":"125664","publisher":"Elsevier","title":"Semi-continuous anaerobic digestion of mixed wastewater sludge with biochar addition","type":"article-journal","volume":"340"},"uris":["http://www.mendeley.com/documents/?uuid=64ecf3bb-7c2b-35da-b13a-66f3bec828d3"]}],"mendeley":{"formattedCitation":"[18,41]","plainTextFormattedCitation":"[18,41]","previouslyFormattedCitation":"[18,41]"},"properties":{"noteIndex":0},"schema":"https://github.com/citation-style-language/schema/raw/master/csl-citation.json"}</w:instrText>
      </w:r>
      <w:r w:rsidR="00140365" w:rsidRPr="00774395">
        <w:fldChar w:fldCharType="separate"/>
      </w:r>
      <w:r w:rsidR="00830B48" w:rsidRPr="00830B48">
        <w:rPr>
          <w:noProof/>
        </w:rPr>
        <w:t>[18,41]</w:t>
      </w:r>
      <w:r w:rsidR="00140365" w:rsidRPr="00774395">
        <w:fldChar w:fldCharType="end"/>
      </w:r>
      <w:r w:rsidR="00140365" w:rsidRPr="00774395">
        <w:t>, 49% of C</w:t>
      </w:r>
      <w:r w:rsidR="00140365" w:rsidRPr="00774395">
        <w:rPr>
          <w:vertAlign w:val="subscript"/>
        </w:rPr>
        <w:t>BC,max</w:t>
      </w:r>
      <w:r w:rsidR="00140365" w:rsidRPr="00774395">
        <w:t xml:space="preserve"> was below the lower limit, 30% between 50 and 500 </w:t>
      </w:r>
      <w:r w:rsidR="004D336D" w:rsidRPr="00774395">
        <w:t xml:space="preserve">USD </w:t>
      </w:r>
      <w:r w:rsidR="00140365" w:rsidRPr="00774395">
        <w:t>ton</w:t>
      </w:r>
      <w:r w:rsidR="00140365" w:rsidRPr="00774395">
        <w:rPr>
          <w:vertAlign w:val="subscript"/>
        </w:rPr>
        <w:t>BC</w:t>
      </w:r>
      <w:r w:rsidR="00140365" w:rsidRPr="00774395">
        <w:rPr>
          <w:vertAlign w:val="superscript"/>
        </w:rPr>
        <w:t>-1</w:t>
      </w:r>
      <w:r w:rsidR="00140365" w:rsidRPr="00774395">
        <w:t xml:space="preserve">, and 21% above the upper limit. </w:t>
      </w:r>
      <w:r w:rsidR="000E2BE0" w:rsidRPr="00774395">
        <w:t>Therefore, under</w:t>
      </w:r>
      <w:r w:rsidR="00F8132D" w:rsidRPr="00774395">
        <w:t xml:space="preserve"> certain conditions </w:t>
      </w:r>
      <w:r w:rsidR="004D336D" w:rsidRPr="00774395">
        <w:t xml:space="preserve">BC </w:t>
      </w:r>
      <w:r w:rsidR="00F8132D" w:rsidRPr="00774395">
        <w:t>addition to AD may be economic</w:t>
      </w:r>
      <w:r w:rsidR="000E2BE0" w:rsidRPr="00774395">
        <w:t>ally</w:t>
      </w:r>
      <w:r w:rsidR="00F8132D" w:rsidRPr="00774395">
        <w:t xml:space="preserve"> feasible. </w:t>
      </w:r>
      <w:r w:rsidR="000B7720" w:rsidRPr="00774395">
        <w:t xml:space="preserve">On the one hand, </w:t>
      </w:r>
      <w:r w:rsidR="005E3569" w:rsidRPr="00774395">
        <w:t xml:space="preserve">the choice of </w:t>
      </w:r>
      <w:r w:rsidR="00C3536C" w:rsidRPr="00774395">
        <w:t>the</w:t>
      </w:r>
      <w:r w:rsidR="005E3569" w:rsidRPr="00774395">
        <w:t xml:space="preserve"> proper BC is also crucial from the cost-effectiveness perspective, since </w:t>
      </w:r>
      <w:r w:rsidR="00637938" w:rsidRPr="00774395">
        <w:t xml:space="preserve">BC market price </w:t>
      </w:r>
      <w:r w:rsidR="00D8642A" w:rsidRPr="00774395">
        <w:t xml:space="preserve">may </w:t>
      </w:r>
      <w:r w:rsidR="007F5DF5" w:rsidRPr="00774395">
        <w:t>var</w:t>
      </w:r>
      <w:r w:rsidR="00D8642A" w:rsidRPr="00774395">
        <w:t>y</w:t>
      </w:r>
      <w:r w:rsidR="007F5DF5" w:rsidRPr="00774395">
        <w:t xml:space="preserve"> significantly based</w:t>
      </w:r>
      <w:r w:rsidR="001356C0" w:rsidRPr="00774395">
        <w:t xml:space="preserve"> on</w:t>
      </w:r>
      <w:r w:rsidR="00637938" w:rsidRPr="00774395">
        <w:t xml:space="preserve"> </w:t>
      </w:r>
      <w:r w:rsidR="007F5DF5" w:rsidRPr="00774395">
        <w:t xml:space="preserve">feedstock, production process, </w:t>
      </w:r>
      <w:r w:rsidR="000E2BE0" w:rsidRPr="00774395">
        <w:t xml:space="preserve">and </w:t>
      </w:r>
      <w:r w:rsidR="007F5DF5" w:rsidRPr="00774395">
        <w:t>location</w:t>
      </w:r>
      <w:r w:rsidR="00637938" w:rsidRPr="00774395">
        <w:t>.</w:t>
      </w:r>
      <w:r w:rsidR="00D8642A" w:rsidRPr="00774395">
        <w:t xml:space="preserve"> </w:t>
      </w:r>
      <w:r w:rsidR="00335648" w:rsidRPr="00774395">
        <w:t xml:space="preserve">For instance, lower pyrolysis temperature could reduce BC market price due to a larger BC yield </w:t>
      </w:r>
      <w:r w:rsidR="00335648" w:rsidRPr="00774395">
        <w:fldChar w:fldCharType="begin" w:fldLock="1"/>
      </w:r>
      <w:r w:rsidR="00520099">
        <w:instrText>ADDIN CSL_CITATION {"citationItems":[{"id":"ITEM-1","itemData":{"DOI":"10.1016/j.enconman.2020.113258","ISSN":"0196-8904","abstract":"Biochar sequestration has gained increasing attention as a negative emissions technology to mitigate climate change. Although pyrolysis is a commercial technology, comprehensive environmental and economic assessments have been difficult to perform since biochar can be produced from a wide range of feedstocks and pyrolysis conditions. Many researchers have evaluated the environmental and economic impacts of biochar-based CO2 sequestration systems. However, most studies either worked on a single type of biomass under varying pyrolysis conditions or multiple feedstocks under the same pyrolysis conditions. To address this knowledge gap, we evaluated the energy, climate change, and economic performance of slow pyrolysis of multiple feedstocks under various processing conditions via the integration of machine learning approaches, life cycle assessment (LCA), and economic analysis. Machine learning models (i.e., random forest) were developed by fitting existing laboratory data. The models were then used to predict the yields and characteristics of biochar produced from slow pyrolysis of different feedstocks under designed processing conditions. The results were further integrated with LCA and economic analysis to compute three important metrics: energy return on investment (EROI), net global warming potential (GWP), and minimum product selling price (MPSP). The results indicate that random forest models offer good prediction accuracy for laboratory-scale (R2 = 0.78–0.87) and pilot-scale pyrolysis data (R2 = 0.45–0.65). LCA and economic analyses reveal that feedstock characteristics and pyrolysis temperature affect energy, climate change, and financial performance. Our results demonstrate slow pyrolysis of crop residues and woody wastes holds promise as an energy-producing negative emissions technology, with EROI values from 1.9 to 3.6 (without substitution) and 2.4 to 4.3 (with substitution), and GWP values from −470 kg CO2 eq/t to −200 kg CO2 eq/t (without substitution) and −1050 kg CO2 eq/t to −770 kg CO2 eq/t (with substitution). The MSPS values evaluated in this study range from $774–1256/t, depending on temperature and feedstocks. A tradeoff between environmental and economic performance is observed. The best overall energy and climate change performances are achieved via pyrolysis of lignocellulosic biomass at high temperature, while the best MPSP is achieved with the pyrolysis of sludge at low temperature.","author":[{"dropping-particle":"","family":"Cheng","given":"Fangwei","non-dropping-particle":"","parse-names":false,"suffix":""},{"dropping-particle":"","family":"Luo","given":"Hongxi","non-dropping-particle":"","parse-names":false,"suffix":""},{"dropping-particle":"","family":"Colosi","given":"Lisa M.","non-dropping-particle":"","parse-names":false,"suffix":""}],"container-title":"Energy Conversion and Management","id":"ITEM-1","issued":{"date-parts":[["2020","11","1"]]},"page":"113258","publisher":"Elsevier","title":"Slow pyrolysis as a platform for negative emissions technology: An integration of machine learning models, life cycle assessment, and economic analysis","type":"article-journal","volume":"223"},"uris":["http://www.mendeley.com/documents/?uuid=7034641c-9d87-3299-b6cd-a32127ae8732"]},{"id":"ITEM-2","itemData":{"DOI":"10.1016/j.fuel.2013.08.053","ISSN":"00162361","abstract":"Methanol is one of the fuels that are an alternative to petroleum-based liquid transport fuels. This paper assesses the feasibility of co-production of methanol and biochar from thermal treatment of pine in a two-stage process; pyrolysis or gasification to produce biochar and volatiles, and the processing of the volatiles to produce methanol using process data for large-scale conversions based on natural gas. Three concepts were studied: (i) slow pyrolysis at 300 C; (ii) slow pyrolysis at 450 C; and (iii) gasification at 800 C, all of them followed by processing of the volatiles into syngas and the conversion of the syngas into methanol. Gasification was able to generate methanol at or below current (2012) prices of methanol produced from fossil fuel ($422/t) from a plant size of 100 t/h upwards. Pyrolysis is not competitive without valuing the biochar as a product. Considering both biochar and methanol as marketable products improves the viability of slow pyrolysis concepts. Their profitability is sensitive to the biochar selling price between, with a break-even at a biochar price of about $220/t for the pyrolysis at 300 C and about $280/t for pyrolysis at 450 C. © 2013 Published by Elsevier Ltd.","author":[{"dropping-particle":"","family":"Shabangu","given":"Shaka","non-dropping-particle":"","parse-names":false,"suffix":""},{"dropping-particle":"","family":"Woolf","given":"Dominic","non-dropping-particle":"","parse-names":false,"suffix":""},{"dropping-particle":"","family":"Fisher","given":"Elizabeth M.","non-dropping-particle":"","parse-names":false,"suffix":""},{"dropping-particle":"","family":"Angenent","given":"Largus T.","non-dropping-particle":"","parse-names":false,"suffix":""},{"dropping-particle":"","family":"Lehmann","given":"Johannes","non-dropping-particle":"","parse-names":false,"suffix":""}],"container-title":"Fuel","id":"ITEM-2","issue":"PART A","issued":{"date-parts":[["2014"]]},"page":"742-748","publisher":"Elsevier Ltd","title":"Techno-economic assessment of biomass slow pyrolysis into different biochar and methanol concepts","type":"article-journal","volume":"117"},"uris":["http://www.mendeley.com/documents/?uuid=29603905-6511-45fa-b8fe-49f6cef0fe13"]}],"mendeley":{"formattedCitation":"[63,64]","plainTextFormattedCitation":"[63,64]","previouslyFormattedCitation":"[63,64]"},"properties":{"noteIndex":0},"schema":"https://github.com/citation-style-language/schema/raw/master/csl-citation.json"}</w:instrText>
      </w:r>
      <w:r w:rsidR="00335648" w:rsidRPr="00774395">
        <w:fldChar w:fldCharType="separate"/>
      </w:r>
      <w:r w:rsidR="00830B48" w:rsidRPr="00830B48">
        <w:rPr>
          <w:noProof/>
        </w:rPr>
        <w:t>[63,64]</w:t>
      </w:r>
      <w:r w:rsidR="00335648" w:rsidRPr="00774395">
        <w:fldChar w:fldCharType="end"/>
      </w:r>
      <w:r w:rsidR="00335648" w:rsidRPr="00774395">
        <w:t xml:space="preserve">. </w:t>
      </w:r>
      <w:r w:rsidR="0087260E" w:rsidRPr="00774395">
        <w:t>A</w:t>
      </w:r>
      <w:r w:rsidR="00494E53" w:rsidRPr="00774395">
        <w:t xml:space="preserve">ccording to </w:t>
      </w:r>
      <w:r w:rsidR="00335648" w:rsidRPr="00774395">
        <w:t>our</w:t>
      </w:r>
      <w:r w:rsidR="00F80F8B" w:rsidRPr="00774395">
        <w:t xml:space="preserve"> meta-analysis</w:t>
      </w:r>
      <w:r w:rsidR="0087260E" w:rsidRPr="00774395">
        <w:t>,</w:t>
      </w:r>
      <w:r w:rsidR="00F80F8B" w:rsidRPr="00774395">
        <w:t xml:space="preserve"> </w:t>
      </w:r>
      <w:r w:rsidR="0011095E" w:rsidRPr="00774395">
        <w:t>the largest improvement</w:t>
      </w:r>
      <w:r w:rsidR="00485EC6" w:rsidRPr="00774395">
        <w:t>s</w:t>
      </w:r>
      <w:r w:rsidR="0011095E" w:rsidRPr="00774395">
        <w:t xml:space="preserve"> of CH</w:t>
      </w:r>
      <w:r w:rsidR="0011095E" w:rsidRPr="00774395">
        <w:rPr>
          <w:vertAlign w:val="subscript"/>
        </w:rPr>
        <w:t>4</w:t>
      </w:r>
      <w:r w:rsidR="0011095E" w:rsidRPr="00774395">
        <w:t xml:space="preserve"> yield </w:t>
      </w:r>
      <w:r w:rsidR="00485EC6" w:rsidRPr="00774395">
        <w:t xml:space="preserve">and </w:t>
      </w:r>
      <w:r w:rsidR="00104255" w:rsidRPr="00774395">
        <w:t>CH</w:t>
      </w:r>
      <w:r w:rsidR="00104255" w:rsidRPr="00774395">
        <w:rPr>
          <w:vertAlign w:val="subscript"/>
        </w:rPr>
        <w:t>4</w:t>
      </w:r>
      <w:r w:rsidR="00104255" w:rsidRPr="00774395">
        <w:t xml:space="preserve"> </w:t>
      </w:r>
      <w:r w:rsidR="00F80F8B" w:rsidRPr="00774395">
        <w:t>production rate</w:t>
      </w:r>
      <w:r w:rsidR="0011095E" w:rsidRPr="00774395">
        <w:t xml:space="preserve"> </w:t>
      </w:r>
      <w:r w:rsidR="0087260E" w:rsidRPr="00774395">
        <w:t xml:space="preserve">was found for </w:t>
      </w:r>
      <w:r w:rsidR="00F80F8B" w:rsidRPr="00774395">
        <w:t>the addition of</w:t>
      </w:r>
      <w:r w:rsidR="0011095E" w:rsidRPr="00774395">
        <w:t xml:space="preserve"> BCs produced at temperatures </w:t>
      </w:r>
      <w:r w:rsidR="0087260E" w:rsidRPr="00774395">
        <w:t>&lt;</w:t>
      </w:r>
      <w:r w:rsidR="0011095E" w:rsidRPr="00774395">
        <w:t>400 °C (</w:t>
      </w:r>
      <w:r w:rsidR="00ED45CB" w:rsidRPr="00774395">
        <w:t>Figure</w:t>
      </w:r>
      <w:r w:rsidR="00ED45CB" w:rsidRPr="00774395" w:rsidDel="00F11E6B">
        <w:t xml:space="preserve"> </w:t>
      </w:r>
      <w:r w:rsidR="00ED45CB" w:rsidRPr="00774395">
        <w:t>4</w:t>
      </w:r>
      <w:r w:rsidR="0011095E" w:rsidRPr="00774395">
        <w:t xml:space="preserve"> and</w:t>
      </w:r>
      <w:r w:rsidR="0087260E" w:rsidRPr="00774395">
        <w:t xml:space="preserve"> </w:t>
      </w:r>
      <w:r w:rsidR="00EB4CEB" w:rsidRPr="00774395">
        <w:t xml:space="preserve">Figure </w:t>
      </w:r>
      <w:r w:rsidR="004A562E" w:rsidRPr="00774395">
        <w:t>B1</w:t>
      </w:r>
      <w:r w:rsidR="00EB4CEB" w:rsidRPr="00774395">
        <w:t xml:space="preserve"> in Appendix B</w:t>
      </w:r>
      <w:r w:rsidR="0011095E" w:rsidRPr="00774395">
        <w:t xml:space="preserve">). </w:t>
      </w:r>
      <w:r w:rsidR="00AA7873" w:rsidRPr="00774395">
        <w:t>The feedstock</w:t>
      </w:r>
      <w:r w:rsidR="0087260E" w:rsidRPr="00774395">
        <w:t xml:space="preserve">, and specifically its availability and BC yield, and the availability of waste biomass with tipping fees </w:t>
      </w:r>
      <w:r w:rsidR="0087260E" w:rsidRPr="00774395">
        <w:fldChar w:fldCharType="begin" w:fldLock="1"/>
      </w:r>
      <w:r w:rsidR="00520099">
        <w:instrText>ADDIN CSL_CITATION {"citationItems":[{"id":"ITEM-1","itemData":{"DOI":"10.1016/j.biortech.2021.125797","ISSN":"09608524","abstract":"Anaerobic digestion (AD) technology still faces some challenges including low methane productivity, instable operation efficiency and undesired refractory substances degradation. Biochar has recently been recognized as a promising alternative addition in AD process to enhance methane production. Based on VOSviewer analysis, this review presents a comprehensive summarizing of the applications, performances, and economies of biochar strategies in AD system. Firstly, typical production processes of biochar and its main characteristics including adsorption and immobilization ability, buffering ability and electron transfer ability were evaluated. Then, the applications of biochar in AD and its improving effects on biogas production/purification were summarized. Accordingly, the corresponding mechanisms of biochar addition in AD for digestion efficiency improvement were elucidated. Finally, the economic and environmental feasibilities of application biochar in AD, as well as prospective future studies were summarized. Through an overview of biochar in AD system, this paper aims to promote its widely practical applications.","author":[{"dropping-particle":"","family":"Zhao","given":"Weixin","non-dropping-particle":"","parse-names":false,"suffix":""},{"dropping-particle":"","family":"Yang","given":"Haizhou","non-dropping-particle":"","parse-names":false,"suffix":""},{"dropping-particle":"","family":"He","given":"Shufei","non-dropping-particle":"","parse-names":false,"suffix":""},{"dropping-particle":"","family":"Zhao","given":"Qingliang","non-dropping-particle":"","parse-names":false,"suffix":""},{"dropping-particle":"","family":"Wei","given":"Liangliang","non-dropping-particle":"","parse-names":false,"suffix":""}],"container-title":"Bioresource Technology","id":"ITEM-1","issue":"August","issued":{"date-parts":[["2021"]]},"page":"125797","publisher":"Elsevier Ltd","title":"A review of biochar in anaerobic digestion to improve biogas production: Performances, mechanisms and economic assessments","type":"article-journal","volume":"341"},"uris":["http://www.mendeley.com/documents/?uuid=3b81ab17-c0c8-4b3e-b0db-3b3c638850e0"]},{"id":"ITEM-2","itemData":{"DOI":"10.1016/j.enconman.2020.113258","ISSN":"0196-8904","abstract":"Biochar sequestration has gained increasing attention as a negative emissions technology to mitigate climate change. Although pyrolysis is a commercial technology, comprehensive environmental and economic assessments have been difficult to perform since biochar can be produced from a wide range of feedstocks and pyrolysis conditions. Many researchers have evaluated the environmental and economic impacts of biochar-based CO2 sequestration systems. However, most studies either worked on a single type of biomass under varying pyrolysis conditions or multiple feedstocks under the same pyrolysis conditions. To address this knowledge gap, we evaluated the energy, climate change, and economic performance of slow pyrolysis of multiple feedstocks under various processing conditions via the integration of machine learning approaches, life cycle assessment (LCA), and economic analysis. Machine learning models (i.e., random forest) were developed by fitting existing laboratory data. The models were then used to predict the yields and characteristics of biochar produced from slow pyrolysis of different feedstocks under designed processing conditions. The results were further integrated with LCA and economic analysis to compute three important metrics: energy return on investment (EROI), net global warming potential (GWP), and minimum product selling price (MPSP). The results indicate that random forest models offer good prediction accuracy for laboratory-scale (R2 = 0.78–0.87) and pilot-scale pyrolysis data (R2 = 0.45–0.65). LCA and economic analyses reveal that feedstock characteristics and pyrolysis temperature affect energy, climate change, and financial performance. Our results demonstrate slow pyrolysis of crop residues and woody wastes holds promise as an energy-producing negative emissions technology, with EROI values from 1.9 to 3.6 (without substitution) and 2.4 to 4.3 (with substitution), and GWP values from −470 kg CO2 eq/t to −200 kg CO2 eq/t (without substitution) and −1050 kg CO2 eq/t to −770 kg CO2 eq/t (with substitution). The MSPS values evaluated in this study range from $774–1256/t, depending on temperature and feedstocks. A tradeoff between environmental and economic performance is observed. The best overall energy and climate change performances are achieved via pyrolysis of lignocellulosic biomass at high temperature, while the best MPSP is achieved with the pyrolysis of sludge at low temperature.","author":[{"dropping-particle":"","family":"Cheng","given":"Fangwei","non-dropping-particle":"","parse-names":false,"suffix":""},{"dropping-particle":"","family":"Luo","given":"Hongxi","non-dropping-particle":"","parse-names":false,"suffix":""},{"dropping-particle":"","family":"Colosi","given":"Lisa M.","non-dropping-particle":"","parse-names":false,"suffix":""}],"container-title":"Energy Conversion and Management","id":"ITEM-2","issued":{"date-parts":[["2020","11","1"]]},"page":"113258","publisher":"Elsevier","title":"Slow pyrolysis as a platform for negative emissions technology: An integration of machine learning models, life cycle assessment, and economic analysis","type":"article-journal","volume":"223"},"uris":["http://www.mendeley.com/documents/?uuid=7034641c-9d87-3299-b6cd-a32127ae8732"]}],"mendeley":{"formattedCitation":"[24,63]","plainTextFormattedCitation":"[24,63]","previouslyFormattedCitation":"[24,63]"},"properties":{"noteIndex":0},"schema":"https://github.com/citation-style-language/schema/raw/master/csl-citation.json"}</w:instrText>
      </w:r>
      <w:r w:rsidR="0087260E" w:rsidRPr="00774395">
        <w:fldChar w:fldCharType="separate"/>
      </w:r>
      <w:r w:rsidR="00830B48" w:rsidRPr="00830B48">
        <w:rPr>
          <w:noProof/>
        </w:rPr>
        <w:t>[24,63]</w:t>
      </w:r>
      <w:r w:rsidR="0087260E" w:rsidRPr="00774395">
        <w:fldChar w:fldCharType="end"/>
      </w:r>
      <w:r w:rsidR="0087260E" w:rsidRPr="00774395">
        <w:t>,</w:t>
      </w:r>
      <w:r w:rsidR="00AA7873" w:rsidRPr="00774395">
        <w:t xml:space="preserve"> </w:t>
      </w:r>
      <w:r w:rsidR="00960D6A" w:rsidRPr="00774395">
        <w:t xml:space="preserve">may </w:t>
      </w:r>
      <w:r w:rsidR="00C67A34" w:rsidRPr="00774395">
        <w:t xml:space="preserve">also </w:t>
      </w:r>
      <w:r w:rsidR="00960D6A" w:rsidRPr="00774395">
        <w:t xml:space="preserve">affect the </w:t>
      </w:r>
      <w:r w:rsidR="0087260E" w:rsidRPr="00774395">
        <w:t xml:space="preserve">BC market </w:t>
      </w:r>
      <w:r w:rsidR="00960D6A" w:rsidRPr="00774395">
        <w:t>price</w:t>
      </w:r>
      <w:r w:rsidR="00D8642A" w:rsidRPr="00774395">
        <w:t>. For instance, sludge</w:t>
      </w:r>
      <w:r w:rsidR="0087260E" w:rsidRPr="00774395">
        <w:t>-</w:t>
      </w:r>
      <w:r w:rsidR="00D8642A" w:rsidRPr="00774395">
        <w:t xml:space="preserve">based BC was </w:t>
      </w:r>
      <w:r w:rsidR="009D335E" w:rsidRPr="00774395">
        <w:t>found</w:t>
      </w:r>
      <w:r w:rsidR="00D8642A" w:rsidRPr="00774395">
        <w:t xml:space="preserve"> to have the lowest cost compared to wood- and crop-based</w:t>
      </w:r>
      <w:r w:rsidR="00C03200" w:rsidRPr="00774395">
        <w:t xml:space="preserve"> </w:t>
      </w:r>
      <w:r w:rsidR="00D8642A" w:rsidRPr="00774395">
        <w:t xml:space="preserve">|BCs due to the higher BC yield </w:t>
      </w:r>
      <w:r w:rsidR="00D8642A" w:rsidRPr="00774395">
        <w:fldChar w:fldCharType="begin" w:fldLock="1"/>
      </w:r>
      <w:r w:rsidR="00520099">
        <w:instrText>ADDIN CSL_CITATION {"citationItems":[{"id":"ITEM-1","itemData":{"DOI":"10.1016/j.enconman.2020.113258","ISSN":"0196-8904","abstract":"Biochar sequestration has gained increasing attention as a negative emissions technology to mitigate climate change. Although pyrolysis is a commercial technology, comprehensive environmental and economic assessments have been difficult to perform since biochar can be produced from a wide range of feedstocks and pyrolysis conditions. Many researchers have evaluated the environmental and economic impacts of biochar-based CO2 sequestration systems. However, most studies either worked on a single type of biomass under varying pyrolysis conditions or multiple feedstocks under the same pyrolysis conditions. To address this knowledge gap, we evaluated the energy, climate change, and economic performance of slow pyrolysis of multiple feedstocks under various processing conditions via the integration of machine learning approaches, life cycle assessment (LCA), and economic analysis. Machine learning models (i.e., random forest) were developed by fitting existing laboratory data. The models were then used to predict the yields and characteristics of biochar produced from slow pyrolysis of different feedstocks under designed processing conditions. The results were further integrated with LCA and economic analysis to compute three important metrics: energy return on investment (EROI), net global warming potential (GWP), and minimum product selling price (MPSP). The results indicate that random forest models offer good prediction accuracy for laboratory-scale (R2 = 0.78–0.87) and pilot-scale pyrolysis data (R2 = 0.45–0.65). LCA and economic analyses reveal that feedstock characteristics and pyrolysis temperature affect energy, climate change, and financial performance. Our results demonstrate slow pyrolysis of crop residues and woody wastes holds promise as an energy-producing negative emissions technology, with EROI values from 1.9 to 3.6 (without substitution) and 2.4 to 4.3 (with substitution), and GWP values from −470 kg CO2 eq/t to −200 kg CO2 eq/t (without substitution) and −1050 kg CO2 eq/t to −770 kg CO2 eq/t (with substitution). The MSPS values evaluated in this study range from $774–1256/t, depending on temperature and feedstocks. A tradeoff between environmental and economic performance is observed. The best overall energy and climate change performances are achieved via pyrolysis of lignocellulosic biomass at high temperature, while the best MPSP is achieved with the pyrolysis of sludge at low temperature.","author":[{"dropping-particle":"","family":"Cheng","given":"Fangwei","non-dropping-particle":"","parse-names":false,"suffix":""},{"dropping-particle":"","family":"Luo","given":"Hongxi","non-dropping-particle":"","parse-names":false,"suffix":""},{"dropping-particle":"","family":"Colosi","given":"Lisa M.","non-dropping-particle":"","parse-names":false,"suffix":""}],"container-title":"Energy Conversion and Management","id":"ITEM-1","issued":{"date-parts":[["2020","11","1"]]},"page":"113258","publisher":"Elsevier","title":"Slow pyrolysis as a platform for negative emissions technology: An integration of machine learning models, life cycle assessment, and economic analysis","type":"article-journal","volume":"223"},"uris":["http://www.mendeley.com/documents/?uuid=7034641c-9d87-3299-b6cd-a32127ae8732"]}],"mendeley":{"formattedCitation":"[63]","plainTextFormattedCitation":"[63]","previouslyFormattedCitation":"[63]"},"properties":{"noteIndex":0},"schema":"https://github.com/citation-style-language/schema/raw/master/csl-citation.json"}</w:instrText>
      </w:r>
      <w:r w:rsidR="00D8642A" w:rsidRPr="00774395">
        <w:fldChar w:fldCharType="separate"/>
      </w:r>
      <w:r w:rsidR="00830B48" w:rsidRPr="00830B48">
        <w:rPr>
          <w:noProof/>
        </w:rPr>
        <w:t>[63]</w:t>
      </w:r>
      <w:r w:rsidR="00D8642A" w:rsidRPr="00774395">
        <w:fldChar w:fldCharType="end"/>
      </w:r>
      <w:r w:rsidR="00D8642A" w:rsidRPr="00774395">
        <w:t xml:space="preserve">. </w:t>
      </w:r>
      <w:r w:rsidR="005E3569" w:rsidRPr="00774395">
        <w:t>Indeed</w:t>
      </w:r>
      <w:r w:rsidR="0097574F" w:rsidRPr="00774395">
        <w:t xml:space="preserve">, </w:t>
      </w:r>
      <w:r w:rsidR="000B7720" w:rsidRPr="00774395">
        <w:t xml:space="preserve">in the next </w:t>
      </w:r>
      <w:r w:rsidR="000E2BE0" w:rsidRPr="00774395">
        <w:t xml:space="preserve">few </w:t>
      </w:r>
      <w:r w:rsidR="000B7720" w:rsidRPr="00774395">
        <w:t>years</w:t>
      </w:r>
      <w:r w:rsidR="000E2BE0" w:rsidRPr="00774395">
        <w:t xml:space="preserve"> it is expected that</w:t>
      </w:r>
      <w:r w:rsidR="000B7720" w:rsidRPr="00774395">
        <w:t xml:space="preserve"> a</w:t>
      </w:r>
      <w:r w:rsidR="001D5E8F" w:rsidRPr="00774395">
        <w:t xml:space="preserve"> rapid rise of </w:t>
      </w:r>
      <w:r w:rsidR="000B7720" w:rsidRPr="00774395">
        <w:t xml:space="preserve">BC supply will likely decline </w:t>
      </w:r>
      <w:r w:rsidR="000E2BE0" w:rsidRPr="00774395">
        <w:t>its</w:t>
      </w:r>
      <w:r w:rsidR="000B7720" w:rsidRPr="00774395">
        <w:t xml:space="preserve"> market price. T</w:t>
      </w:r>
      <w:r w:rsidR="0097574F" w:rsidRPr="00774395">
        <w:t xml:space="preserve">he market volume of BC </w:t>
      </w:r>
      <w:r w:rsidR="005A73B1" w:rsidRPr="00774395">
        <w:t>was</w:t>
      </w:r>
      <w:r w:rsidR="0097574F" w:rsidRPr="00774395">
        <w:t xml:space="preserve"> </w:t>
      </w:r>
      <w:r w:rsidR="00C8442A" w:rsidRPr="00774395">
        <w:t xml:space="preserve">around </w:t>
      </w:r>
      <w:r w:rsidR="005A73B1" w:rsidRPr="00774395">
        <w:t xml:space="preserve">1.6 billion </w:t>
      </w:r>
      <w:r w:rsidR="0087260E" w:rsidRPr="00774395">
        <w:t xml:space="preserve">USD </w:t>
      </w:r>
      <w:r w:rsidR="005A73B1" w:rsidRPr="00774395">
        <w:t>in 2020</w:t>
      </w:r>
      <w:r w:rsidR="0097574F" w:rsidRPr="00774395">
        <w:t xml:space="preserve"> and is expected to </w:t>
      </w:r>
      <w:r w:rsidR="005A73B1" w:rsidRPr="00774395">
        <w:t xml:space="preserve">reach </w:t>
      </w:r>
      <w:r w:rsidR="00C8442A" w:rsidRPr="00774395">
        <w:t>4.0</w:t>
      </w:r>
      <w:r w:rsidR="005A73B1" w:rsidRPr="00774395">
        <w:t xml:space="preserve">-6.3 billion </w:t>
      </w:r>
      <w:r w:rsidR="0087260E" w:rsidRPr="00774395">
        <w:t xml:space="preserve">USD </w:t>
      </w:r>
      <w:r w:rsidR="005A73B1" w:rsidRPr="00774395">
        <w:t>by 2026-</w:t>
      </w:r>
      <w:r w:rsidR="00BE6DF3" w:rsidRPr="00774395">
        <w:t>20</w:t>
      </w:r>
      <w:r w:rsidR="005A73B1" w:rsidRPr="00774395">
        <w:t>31</w:t>
      </w:r>
      <w:r w:rsidR="00C8442A" w:rsidRPr="00774395">
        <w:t xml:space="preserve"> </w:t>
      </w:r>
      <w:r w:rsidR="00C8442A" w:rsidRPr="00774395">
        <w:fldChar w:fldCharType="begin" w:fldLock="1"/>
      </w:r>
      <w:r w:rsidR="00520099">
        <w:instrText>ADDIN CSL_CITATION {"citationItems":[{"id":"ITEM-1","itemData":{"URL":"https://www.transparencymarketresearch.com/biochar-market.html","accessed":{"date-parts":[["2021","11","12"]]},"author":[{"dropping-particle":"","family":"Transparency Market Research","given":"","non-dropping-particle":"","parse-names":false,"suffix":""}],"id":"ITEM-1","issued":{"date-parts":[["2021","3","8"]]},"title":"Biochar Market (Feedstock: Woody Biomass, Agricultural Waste, Animal Manure, and Others; Technology: Pyrolysis, Gasification, and Others; and Application: Electricity Generation, Agriculture, Forestry, and Others) - Global Industry Analysis, Size, Share, ","type":"webpage"},"uris":["http://www.mendeley.com/documents/?uuid=d3c32103-0b4e-33b2-b370-2bc33e47efaa"]},{"id":"ITEM-2","itemData":{"URL":"https://www.researchandmarkets.com/reports/4857865/biochar-market-research-report-by-row-material?utm_source=GNOM&amp;utm_medium=PressRelease&amp;utm_code=9x793b&amp;utm_campaign=1514448+-+Global+Biochar+Market+Research+Report+(2020+to+2025)+-+by+Row+Material%2C+Feed","accessed":{"date-parts":[["2021","11","12"]]},"author":[{"dropping-particle":"","family":"Research and Markets","given":"","non-dropping-particle":"","parse-names":false,"suffix":""}],"id":"ITEM-2","issued":{"date-parts":[["2021"]]},"title":"Biochar Market Research Report by Row Material, Feedstock, Technology, Application, and Region - Global Forecast to 2026 - Cumulative Impact of COVID-19","type":"webpage"},"uris":["http://www.mendeley.com/documents/?uuid=57d4c45b-0e38-34e9-beb4-4928057c7778"]}],"mendeley":{"formattedCitation":"[65,66]","plainTextFormattedCitation":"[65,66]","previouslyFormattedCitation":"[65,66]"},"properties":{"noteIndex":0},"schema":"https://github.com/citation-style-language/schema/raw/master/csl-citation.json"}</w:instrText>
      </w:r>
      <w:r w:rsidR="00C8442A" w:rsidRPr="00774395">
        <w:fldChar w:fldCharType="separate"/>
      </w:r>
      <w:r w:rsidR="00830B48" w:rsidRPr="00830B48">
        <w:rPr>
          <w:noProof/>
        </w:rPr>
        <w:t>[65,66]</w:t>
      </w:r>
      <w:r w:rsidR="00C8442A" w:rsidRPr="00774395">
        <w:fldChar w:fldCharType="end"/>
      </w:r>
      <w:r w:rsidR="005A73B1" w:rsidRPr="00774395">
        <w:t>.</w:t>
      </w:r>
      <w:r w:rsidR="0097574F" w:rsidRPr="00774395">
        <w:t xml:space="preserve"> </w:t>
      </w:r>
    </w:p>
    <w:p w14:paraId="1AC11E2E" w14:textId="419AF383" w:rsidR="00C25EAE" w:rsidRPr="00774395" w:rsidRDefault="00F8132D" w:rsidP="00265A4E">
      <w:pPr>
        <w:jc w:val="both"/>
      </w:pPr>
      <w:r w:rsidRPr="00774395">
        <w:t>Going further, the role of the main influencing variables on C</w:t>
      </w:r>
      <w:r w:rsidRPr="00774395">
        <w:rPr>
          <w:vertAlign w:val="subscript"/>
        </w:rPr>
        <w:t>BC,max</w:t>
      </w:r>
      <w:r w:rsidRPr="00774395">
        <w:t xml:space="preserve"> </w:t>
      </w:r>
      <w:r w:rsidR="004D5EA1" w:rsidRPr="00774395">
        <w:t xml:space="preserve">was investigated </w:t>
      </w:r>
      <w:r w:rsidR="0087260E" w:rsidRPr="00774395">
        <w:t xml:space="preserve">(e.g., the organic load (VS) of AD substrate and the dose of BC) </w:t>
      </w:r>
      <w:r w:rsidRPr="00774395">
        <w:t xml:space="preserve">to </w:t>
      </w:r>
      <w:r w:rsidR="00824CC5" w:rsidRPr="00774395">
        <w:t>identify</w:t>
      </w:r>
      <w:r w:rsidRPr="00774395">
        <w:t xml:space="preserve"> the conditions of cost-effectiveness</w:t>
      </w:r>
      <w:r w:rsidR="008E60DE" w:rsidRPr="00774395">
        <w:t xml:space="preserve">. </w:t>
      </w:r>
      <w:r w:rsidR="0087260E" w:rsidRPr="00774395">
        <w:t>A</w:t>
      </w:r>
      <w:r w:rsidR="006B06DF" w:rsidRPr="00774395">
        <w:t xml:space="preserve"> </w:t>
      </w:r>
      <w:r w:rsidR="00F23631" w:rsidRPr="00774395">
        <w:t xml:space="preserve">single </w:t>
      </w:r>
      <w:r w:rsidR="006B06DF" w:rsidRPr="00774395">
        <w:t xml:space="preserve">linear regression was </w:t>
      </w:r>
      <w:r w:rsidR="000E2BE0" w:rsidRPr="00774395">
        <w:t>u</w:t>
      </w:r>
      <w:r w:rsidR="0087260E" w:rsidRPr="00774395">
        <w:t>s</w:t>
      </w:r>
      <w:r w:rsidR="000E2BE0" w:rsidRPr="00774395">
        <w:t>ed</w:t>
      </w:r>
      <w:r w:rsidR="006B06DF" w:rsidRPr="00774395">
        <w:t xml:space="preserve"> to predict </w:t>
      </w:r>
      <w:r w:rsidR="00F82CC6" w:rsidRPr="00774395">
        <w:t>C</w:t>
      </w:r>
      <w:r w:rsidR="00F82CC6" w:rsidRPr="00774395">
        <w:rPr>
          <w:vertAlign w:val="subscript"/>
        </w:rPr>
        <w:t>BC,max</w:t>
      </w:r>
      <w:r w:rsidR="00F82CC6" w:rsidRPr="00774395">
        <w:t xml:space="preserve"> </w:t>
      </w:r>
      <w:r w:rsidR="006B06DF" w:rsidRPr="00774395">
        <w:t>based on BC</w:t>
      </w:r>
      <w:r w:rsidR="0087260E" w:rsidRPr="00774395">
        <w:t xml:space="preserve"> dose</w:t>
      </w:r>
      <w:r w:rsidR="006B06DF" w:rsidRPr="00774395">
        <w:t xml:space="preserve"> as g</w:t>
      </w:r>
      <w:r w:rsidR="006B06DF" w:rsidRPr="00774395">
        <w:rPr>
          <w:vertAlign w:val="subscript"/>
        </w:rPr>
        <w:t>BC</w:t>
      </w:r>
      <w:r w:rsidR="006B06DF" w:rsidRPr="00774395">
        <w:t xml:space="preserve"> g</w:t>
      </w:r>
      <w:r w:rsidR="006B06DF" w:rsidRPr="00774395">
        <w:rPr>
          <w:vertAlign w:val="subscript"/>
        </w:rPr>
        <w:t>VS</w:t>
      </w:r>
      <w:r w:rsidR="006B06DF" w:rsidRPr="00774395">
        <w:rPr>
          <w:vertAlign w:val="superscript"/>
        </w:rPr>
        <w:t>-1</w:t>
      </w:r>
      <w:r w:rsidR="00F82CC6" w:rsidRPr="00774395">
        <w:t xml:space="preserve"> </w:t>
      </w:r>
      <w:r w:rsidR="0087260E" w:rsidRPr="00774395">
        <w:t>(</w:t>
      </w:r>
      <w:r w:rsidR="00ED45CB" w:rsidRPr="00774395">
        <w:t>Figure</w:t>
      </w:r>
      <w:r w:rsidR="00ED45CB" w:rsidRPr="00774395" w:rsidDel="00F11E6B">
        <w:t xml:space="preserve"> </w:t>
      </w:r>
      <w:r w:rsidR="004E5EAC" w:rsidRPr="00774395">
        <w:t>5</w:t>
      </w:r>
      <w:r w:rsidR="00AB29B9" w:rsidRPr="00774395">
        <w:t>)</w:t>
      </w:r>
      <w:r w:rsidR="001B3E1E" w:rsidRPr="00774395">
        <w:t xml:space="preserve">. A significant regression equation was found (F(1,47) = 197.3, p-value: &lt; </w:t>
      </w:r>
      <w:r w:rsidR="00F23631" w:rsidRPr="00774395">
        <w:t>2.2 e-16</w:t>
      </w:r>
      <w:r w:rsidR="001B3E1E" w:rsidRPr="00774395">
        <w:t>)</w:t>
      </w:r>
      <w:r w:rsidR="00F23631" w:rsidRPr="00774395">
        <w:t xml:space="preserve"> with R</w:t>
      </w:r>
      <w:r w:rsidR="00F23631" w:rsidRPr="00774395">
        <w:rPr>
          <w:vertAlign w:val="superscript"/>
        </w:rPr>
        <w:t>2</w:t>
      </w:r>
      <w:r w:rsidR="00F23631" w:rsidRPr="00774395">
        <w:t xml:space="preserve"> 0.8076. The prediction equation was log(y) =</w:t>
      </w:r>
      <w:r w:rsidR="00805131" w:rsidRPr="00774395">
        <w:t xml:space="preserve"> 1.545</w:t>
      </w:r>
      <w:r w:rsidR="00F23631" w:rsidRPr="00774395">
        <w:t xml:space="preserve"> </w:t>
      </w:r>
      <w:r w:rsidR="00805131" w:rsidRPr="00774395">
        <w:t xml:space="preserve">– 1.313 </w:t>
      </w:r>
      <w:r w:rsidR="00F23631" w:rsidRPr="00774395">
        <w:t>log(x</w:t>
      </w:r>
      <w:r w:rsidR="00805131" w:rsidRPr="00774395">
        <w:t xml:space="preserve">), where y is the maximum BC cost as </w:t>
      </w:r>
      <w:r w:rsidR="00AB29B9" w:rsidRPr="00774395">
        <w:t xml:space="preserve">USD </w:t>
      </w:r>
      <w:r w:rsidR="00805131" w:rsidRPr="00774395">
        <w:t>ton</w:t>
      </w:r>
      <w:r w:rsidR="00805131" w:rsidRPr="00774395">
        <w:rPr>
          <w:vertAlign w:val="subscript"/>
        </w:rPr>
        <w:t>BC</w:t>
      </w:r>
      <w:r w:rsidR="00805131" w:rsidRPr="00774395">
        <w:rPr>
          <w:vertAlign w:val="superscript"/>
        </w:rPr>
        <w:t>-1</w:t>
      </w:r>
      <w:r w:rsidR="00CC3F8C" w:rsidRPr="00774395">
        <w:t>,</w:t>
      </w:r>
      <w:r w:rsidR="00805131" w:rsidRPr="00774395">
        <w:t xml:space="preserve"> x is the dose of BC as g</w:t>
      </w:r>
      <w:r w:rsidR="00805131" w:rsidRPr="00774395">
        <w:rPr>
          <w:vertAlign w:val="subscript"/>
        </w:rPr>
        <w:t>BC</w:t>
      </w:r>
      <w:r w:rsidR="00805131" w:rsidRPr="00774395">
        <w:t xml:space="preserve"> g</w:t>
      </w:r>
      <w:r w:rsidR="00805131" w:rsidRPr="00774395">
        <w:rPr>
          <w:vertAlign w:val="subscript"/>
        </w:rPr>
        <w:t>VS</w:t>
      </w:r>
      <w:r w:rsidR="00805131" w:rsidRPr="00774395">
        <w:rPr>
          <w:vertAlign w:val="superscript"/>
        </w:rPr>
        <w:t>-1</w:t>
      </w:r>
      <w:r w:rsidR="00805131" w:rsidRPr="00774395">
        <w:t xml:space="preserve">. </w:t>
      </w:r>
      <w:r w:rsidR="00824CC5" w:rsidRPr="00774395">
        <w:t xml:space="preserve">A reduction of BC dose can significantly favour </w:t>
      </w:r>
      <w:r w:rsidR="00AF4E1E" w:rsidRPr="00774395">
        <w:t xml:space="preserve">the </w:t>
      </w:r>
      <w:r w:rsidR="00824CC5" w:rsidRPr="00774395">
        <w:t xml:space="preserve">economic </w:t>
      </w:r>
      <w:r w:rsidR="00305224" w:rsidRPr="00774395">
        <w:t>effectiveness</w:t>
      </w:r>
      <w:r w:rsidR="00AF4E1E" w:rsidRPr="00774395">
        <w:t xml:space="preserve"> of BC addition</w:t>
      </w:r>
      <w:r w:rsidR="00824CC5" w:rsidRPr="00774395">
        <w:t xml:space="preserve">, where </w:t>
      </w:r>
      <w:r w:rsidR="00AF4E1E" w:rsidRPr="00774395">
        <w:t>an upper threshold of 0.45-0.76 g</w:t>
      </w:r>
      <w:r w:rsidR="00AF4E1E" w:rsidRPr="00774395">
        <w:rPr>
          <w:vertAlign w:val="subscript"/>
        </w:rPr>
        <w:t>BC</w:t>
      </w:r>
      <w:r w:rsidR="00AF4E1E" w:rsidRPr="00774395">
        <w:t xml:space="preserve"> g</w:t>
      </w:r>
      <w:r w:rsidR="00AF4E1E" w:rsidRPr="00774395">
        <w:rPr>
          <w:vertAlign w:val="subscript"/>
        </w:rPr>
        <w:t>VS</w:t>
      </w:r>
      <w:r w:rsidR="00AF4E1E" w:rsidRPr="00774395">
        <w:rPr>
          <w:vertAlign w:val="superscript"/>
        </w:rPr>
        <w:t>-1</w:t>
      </w:r>
      <w:r w:rsidR="00AF4E1E" w:rsidRPr="00774395">
        <w:t xml:space="preserve"> may be suggested based on the </w:t>
      </w:r>
      <w:r w:rsidR="00AD1015" w:rsidRPr="00774395">
        <w:t>regression</w:t>
      </w:r>
      <w:r w:rsidR="00AF4E1E" w:rsidRPr="00774395">
        <w:t xml:space="preserve"> equation (corresponding to 100-50 </w:t>
      </w:r>
      <w:r w:rsidR="00AB29B9" w:rsidRPr="00774395">
        <w:t xml:space="preserve">USD </w:t>
      </w:r>
      <w:r w:rsidR="00AF4E1E" w:rsidRPr="00774395">
        <w:t>ton</w:t>
      </w:r>
      <w:r w:rsidR="00AF4E1E" w:rsidRPr="00774395">
        <w:rPr>
          <w:vertAlign w:val="subscript"/>
        </w:rPr>
        <w:t>BC</w:t>
      </w:r>
      <w:r w:rsidR="00AF4E1E" w:rsidRPr="00774395">
        <w:rPr>
          <w:vertAlign w:val="superscript"/>
        </w:rPr>
        <w:t>-1</w:t>
      </w:r>
      <w:r w:rsidR="00AF4E1E" w:rsidRPr="00774395">
        <w:t xml:space="preserve">). </w:t>
      </w:r>
      <w:r w:rsidR="00A513E9" w:rsidRPr="00774395">
        <w:t>In any case</w:t>
      </w:r>
      <w:r w:rsidR="000E2BE0" w:rsidRPr="00774395">
        <w:t>,</w:t>
      </w:r>
      <w:r w:rsidR="00A513E9" w:rsidRPr="00774395">
        <w:t xml:space="preserve"> </w:t>
      </w:r>
      <w:r w:rsidR="00AB29B9" w:rsidRPr="00774395">
        <w:t xml:space="preserve">BC </w:t>
      </w:r>
      <w:r w:rsidR="00A513E9" w:rsidRPr="00774395">
        <w:t>doses above these limits should be avoided d</w:t>
      </w:r>
      <w:r w:rsidR="00305224" w:rsidRPr="00774395">
        <w:t xml:space="preserve">espite </w:t>
      </w:r>
      <w:r w:rsidR="00A513E9" w:rsidRPr="00774395">
        <w:t xml:space="preserve">the choices of BC and AD </w:t>
      </w:r>
      <w:r w:rsidR="00A513E9" w:rsidRPr="00774395">
        <w:lastRenderedPageBreak/>
        <w:t xml:space="preserve">conditions. Therefore, </w:t>
      </w:r>
      <w:r w:rsidR="00305224" w:rsidRPr="00774395">
        <w:t xml:space="preserve">the optimization of BC dose is a </w:t>
      </w:r>
      <w:r w:rsidR="00C25EAE" w:rsidRPr="00774395">
        <w:t xml:space="preserve">crucial step to maximize methane production </w:t>
      </w:r>
      <w:r w:rsidR="00B8737A" w:rsidRPr="00774395">
        <w:t>(section 3.</w:t>
      </w:r>
      <w:r w:rsidR="004066E8" w:rsidRPr="00774395">
        <w:t>2</w:t>
      </w:r>
      <w:r w:rsidR="00B8737A" w:rsidRPr="00774395">
        <w:t xml:space="preserve">.2) </w:t>
      </w:r>
      <w:r w:rsidR="00C25EAE" w:rsidRPr="00774395">
        <w:t xml:space="preserve">and to </w:t>
      </w:r>
      <w:r w:rsidR="00540F95" w:rsidRPr="00774395">
        <w:t xml:space="preserve">reach the economic feasibility, </w:t>
      </w:r>
      <w:r w:rsidR="00C25EAE" w:rsidRPr="00774395">
        <w:t xml:space="preserve">towards </w:t>
      </w:r>
      <w:r w:rsidR="00AB29B9" w:rsidRPr="00774395">
        <w:t xml:space="preserve">a </w:t>
      </w:r>
      <w:r w:rsidR="00265A4E" w:rsidRPr="00774395">
        <w:t>practical application of BC</w:t>
      </w:r>
      <w:r w:rsidR="00C25EAE" w:rsidRPr="00774395">
        <w:t xml:space="preserve"> to full-scale digesters</w:t>
      </w:r>
      <w:r w:rsidR="00305224" w:rsidRPr="00774395">
        <w:t xml:space="preserve">. </w:t>
      </w:r>
    </w:p>
    <w:p w14:paraId="06B61908" w14:textId="12EAFA90" w:rsidR="00724CC4" w:rsidRPr="00774395" w:rsidRDefault="00724CC4" w:rsidP="00446335">
      <w:pPr>
        <w:pStyle w:val="Didascalia"/>
      </w:pPr>
    </w:p>
    <w:p w14:paraId="30FE77E5" w14:textId="414BE53D" w:rsidR="0077347A" w:rsidRPr="00774395" w:rsidRDefault="008538E0" w:rsidP="00A0620A">
      <w:pPr>
        <w:jc w:val="center"/>
      </w:pPr>
      <w:r>
        <w:rPr>
          <w:noProof/>
        </w:rPr>
        <w:drawing>
          <wp:inline distT="0" distB="0" distL="0" distR="0" wp14:anchorId="126131ED" wp14:editId="31825BD4">
            <wp:extent cx="4953000" cy="3715007"/>
            <wp:effectExtent l="0" t="0" r="0" b="0"/>
            <wp:docPr id="2" name="Picture 2"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scatter char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4961340" cy="3721262"/>
                    </a:xfrm>
                    <a:prstGeom prst="rect">
                      <a:avLst/>
                    </a:prstGeom>
                  </pic:spPr>
                </pic:pic>
              </a:graphicData>
            </a:graphic>
          </wp:inline>
        </w:drawing>
      </w:r>
    </w:p>
    <w:p w14:paraId="0CEDE8AE" w14:textId="472F2E0F" w:rsidR="00820EFA" w:rsidRPr="00774395" w:rsidRDefault="00ED45CB" w:rsidP="00265A4E">
      <w:pPr>
        <w:pStyle w:val="Didascalia"/>
        <w:spacing w:line="480" w:lineRule="auto"/>
        <w:jc w:val="both"/>
        <w:rPr>
          <w:sz w:val="22"/>
          <w:szCs w:val="22"/>
        </w:rPr>
      </w:pPr>
      <w:bookmarkStart w:id="10" w:name="_Ref86833116"/>
      <w:r w:rsidRPr="00774395">
        <w:rPr>
          <w:sz w:val="22"/>
          <w:szCs w:val="22"/>
        </w:rPr>
        <w:t xml:space="preserve">Figure </w:t>
      </w:r>
      <w:r w:rsidR="004E5EAC" w:rsidRPr="00774395">
        <w:rPr>
          <w:sz w:val="22"/>
          <w:szCs w:val="22"/>
        </w:rPr>
        <w:t>5</w:t>
      </w:r>
      <w:bookmarkEnd w:id="10"/>
      <w:r w:rsidR="00820EFA" w:rsidRPr="00774395">
        <w:rPr>
          <w:sz w:val="22"/>
          <w:szCs w:val="22"/>
        </w:rPr>
        <w:t>. Influence of the dose of biochar on the maximum sustainable cost of biochar</w:t>
      </w:r>
      <w:r w:rsidR="00AB29B9" w:rsidRPr="00774395">
        <w:rPr>
          <w:sz w:val="22"/>
          <w:szCs w:val="22"/>
        </w:rPr>
        <w:t xml:space="preserve"> (both variables were log-transformed)</w:t>
      </w:r>
      <w:r w:rsidR="00820EFA" w:rsidRPr="00774395">
        <w:rPr>
          <w:sz w:val="22"/>
          <w:szCs w:val="22"/>
        </w:rPr>
        <w:t>. The red line is the regression equation (F(1,47) = 197.3, p-value: &lt; 2.2 e-16), with R</w:t>
      </w:r>
      <w:r w:rsidR="00820EFA" w:rsidRPr="00774395">
        <w:rPr>
          <w:sz w:val="22"/>
          <w:szCs w:val="22"/>
          <w:vertAlign w:val="superscript"/>
        </w:rPr>
        <w:t xml:space="preserve">2 </w:t>
      </w:r>
      <w:r w:rsidR="00820EFA" w:rsidRPr="00774395">
        <w:rPr>
          <w:sz w:val="22"/>
          <w:szCs w:val="22"/>
        </w:rPr>
        <w:t xml:space="preserve">equal to 0.8076, with 95% confidence intervals. The prediction equation is log(y) = 1.545 – 1.313 log(x), where y is the maximum BC cost in </w:t>
      </w:r>
      <w:r w:rsidR="00AB29B9" w:rsidRPr="00774395">
        <w:rPr>
          <w:sz w:val="22"/>
          <w:szCs w:val="22"/>
        </w:rPr>
        <w:t>USD</w:t>
      </w:r>
      <w:r w:rsidR="00820EFA" w:rsidRPr="00774395">
        <w:rPr>
          <w:sz w:val="22"/>
          <w:szCs w:val="22"/>
        </w:rPr>
        <w:t xml:space="preserve"> ton</w:t>
      </w:r>
      <w:r w:rsidR="00820EFA" w:rsidRPr="00774395">
        <w:rPr>
          <w:sz w:val="22"/>
          <w:szCs w:val="22"/>
          <w:vertAlign w:val="subscript"/>
        </w:rPr>
        <w:t>BC</w:t>
      </w:r>
      <w:r w:rsidR="00820EFA" w:rsidRPr="00774395">
        <w:rPr>
          <w:sz w:val="22"/>
          <w:szCs w:val="22"/>
          <w:vertAlign w:val="superscript"/>
        </w:rPr>
        <w:t>-1</w:t>
      </w:r>
      <w:r w:rsidR="00820EFA" w:rsidRPr="00774395">
        <w:rPr>
          <w:sz w:val="22"/>
          <w:szCs w:val="22"/>
        </w:rPr>
        <w:t xml:space="preserve">, x is </w:t>
      </w:r>
      <w:r w:rsidR="00AB29B9" w:rsidRPr="00774395">
        <w:rPr>
          <w:sz w:val="22"/>
          <w:szCs w:val="22"/>
        </w:rPr>
        <w:t xml:space="preserve">BC </w:t>
      </w:r>
      <w:r w:rsidR="00820EFA" w:rsidRPr="00774395">
        <w:rPr>
          <w:sz w:val="22"/>
          <w:szCs w:val="22"/>
        </w:rPr>
        <w:t>dose in g BC g</w:t>
      </w:r>
      <w:r w:rsidR="00820EFA" w:rsidRPr="00774395">
        <w:rPr>
          <w:sz w:val="22"/>
          <w:szCs w:val="22"/>
          <w:vertAlign w:val="subscript"/>
        </w:rPr>
        <w:t>VS</w:t>
      </w:r>
      <w:r w:rsidR="00820EFA" w:rsidRPr="00774395">
        <w:rPr>
          <w:sz w:val="22"/>
          <w:szCs w:val="22"/>
          <w:vertAlign w:val="superscript"/>
        </w:rPr>
        <w:t>-1</w:t>
      </w:r>
      <w:r w:rsidR="00820EFA" w:rsidRPr="00774395">
        <w:rPr>
          <w:sz w:val="22"/>
          <w:szCs w:val="22"/>
        </w:rPr>
        <w:t xml:space="preserve">. </w:t>
      </w:r>
    </w:p>
    <w:p w14:paraId="5A13F37B" w14:textId="5384385E" w:rsidR="00A0620A" w:rsidRPr="00774395" w:rsidRDefault="00A0620A" w:rsidP="00A0620A"/>
    <w:p w14:paraId="7C41A66A" w14:textId="0475674B" w:rsidR="002E703A" w:rsidRPr="00774395" w:rsidRDefault="00931735" w:rsidP="00C92CB2">
      <w:pPr>
        <w:pStyle w:val="Titolo1"/>
        <w:rPr>
          <w:b/>
          <w:bCs/>
          <w:sz w:val="24"/>
          <w:szCs w:val="24"/>
        </w:rPr>
      </w:pPr>
      <w:r w:rsidRPr="00774395">
        <w:rPr>
          <w:b/>
          <w:bCs/>
          <w:sz w:val="24"/>
          <w:szCs w:val="24"/>
        </w:rPr>
        <w:t>5</w:t>
      </w:r>
      <w:r w:rsidR="00C92CB2" w:rsidRPr="00774395">
        <w:rPr>
          <w:b/>
          <w:bCs/>
          <w:sz w:val="24"/>
          <w:szCs w:val="24"/>
        </w:rPr>
        <w:t xml:space="preserve">. </w:t>
      </w:r>
      <w:r w:rsidR="002E703A" w:rsidRPr="00774395">
        <w:rPr>
          <w:b/>
          <w:bCs/>
          <w:sz w:val="24"/>
          <w:szCs w:val="24"/>
        </w:rPr>
        <w:t>Conclusions</w:t>
      </w:r>
    </w:p>
    <w:p w14:paraId="7B8CF76D" w14:textId="14D873E2" w:rsidR="00B45915" w:rsidRPr="00774395" w:rsidRDefault="00AB29B9" w:rsidP="00265A4E">
      <w:pPr>
        <w:jc w:val="both"/>
      </w:pPr>
      <w:r w:rsidRPr="00774395">
        <w:t>This study present</w:t>
      </w:r>
      <w:r w:rsidR="00660333" w:rsidRPr="00774395">
        <w:t>s</w:t>
      </w:r>
      <w:r w:rsidRPr="00774395">
        <w:t xml:space="preserve"> </w:t>
      </w:r>
      <w:r w:rsidR="00660333" w:rsidRPr="00774395">
        <w:t xml:space="preserve">a systematic analysis (organized in an inventory) of the current literature on BC addition to AD processes. The selected and categorized literature underwent a </w:t>
      </w:r>
      <w:r w:rsidRPr="00774395">
        <w:t>meta-analysis</w:t>
      </w:r>
      <w:r w:rsidR="00EB4CEB" w:rsidRPr="00774395">
        <w:t>,</w:t>
      </w:r>
      <w:r w:rsidRPr="00774395">
        <w:t xml:space="preserve"> aimed at correlating AD performance with BC physico-chemical properties, to define their optimal range. </w:t>
      </w:r>
      <w:r w:rsidR="00EB7AEA" w:rsidRPr="00774395">
        <w:t xml:space="preserve">Overall, </w:t>
      </w:r>
      <w:r w:rsidR="00660333" w:rsidRPr="00774395">
        <w:t>the</w:t>
      </w:r>
      <w:r w:rsidR="00A534C9" w:rsidRPr="00774395">
        <w:t xml:space="preserve"> findings </w:t>
      </w:r>
      <w:r w:rsidR="00660333" w:rsidRPr="00774395">
        <w:t xml:space="preserve">of the meta-analysis </w:t>
      </w:r>
      <w:r w:rsidR="00A534C9" w:rsidRPr="00774395">
        <w:t>prove</w:t>
      </w:r>
      <w:r w:rsidRPr="00774395">
        <w:t>d</w:t>
      </w:r>
      <w:r w:rsidR="00A534C9" w:rsidRPr="00774395">
        <w:t xml:space="preserve"> that BC enhances and accelerates biomethane production</w:t>
      </w:r>
      <w:r w:rsidR="009C6A0D" w:rsidRPr="00774395">
        <w:t xml:space="preserve">. Considering 408 experimental conditions </w:t>
      </w:r>
      <w:r w:rsidR="001316E1" w:rsidRPr="00774395">
        <w:t xml:space="preserve">from </w:t>
      </w:r>
      <w:r w:rsidR="009C6A0D" w:rsidRPr="00774395">
        <w:t xml:space="preserve">76 studies in batch mode, </w:t>
      </w:r>
      <w:r w:rsidR="001316E1" w:rsidRPr="00774395">
        <w:t>methane</w:t>
      </w:r>
      <w:r w:rsidR="009C6A0D" w:rsidRPr="00774395">
        <w:t xml:space="preserve"> yield and maximum production rate</w:t>
      </w:r>
      <w:r w:rsidR="00A534C9" w:rsidRPr="00774395">
        <w:t xml:space="preserve"> </w:t>
      </w:r>
      <w:r w:rsidR="009C6A0D" w:rsidRPr="00774395">
        <w:t xml:space="preserve">were significantly enhanced by BC supplementation. Besides, the duration of </w:t>
      </w:r>
      <w:r w:rsidR="001316E1" w:rsidRPr="00774395">
        <w:t xml:space="preserve">the </w:t>
      </w:r>
      <w:r w:rsidR="009C6A0D" w:rsidRPr="00774395">
        <w:t xml:space="preserve">lag-phase was shortened by the presence of BC. </w:t>
      </w:r>
      <w:r w:rsidR="00E26DCB" w:rsidRPr="00774395">
        <w:lastRenderedPageBreak/>
        <w:t xml:space="preserve">Further, 83 experimental conditions </w:t>
      </w:r>
      <w:r w:rsidR="000E2BE0" w:rsidRPr="00774395">
        <w:t>from</w:t>
      </w:r>
      <w:r w:rsidR="00E26DCB" w:rsidRPr="00774395">
        <w:t xml:space="preserve"> 18 studies in semi-continuous mode</w:t>
      </w:r>
      <w:r w:rsidR="001316E1" w:rsidRPr="00774395">
        <w:t xml:space="preserve"> proved </w:t>
      </w:r>
      <w:r w:rsidR="00265A4E" w:rsidRPr="00774395">
        <w:t>that</w:t>
      </w:r>
      <w:r w:rsidR="00E26DCB" w:rsidRPr="00774395">
        <w:t xml:space="preserve"> BC supplementation significantly improved CH</w:t>
      </w:r>
      <w:r w:rsidR="00E26DCB" w:rsidRPr="00774395">
        <w:rPr>
          <w:vertAlign w:val="subscript"/>
        </w:rPr>
        <w:t>4</w:t>
      </w:r>
      <w:r w:rsidR="00E26DCB" w:rsidRPr="00774395">
        <w:t xml:space="preserve"> production rate. </w:t>
      </w:r>
      <w:r w:rsidR="00E74E69" w:rsidRPr="00774395">
        <w:t>Based on t</w:t>
      </w:r>
      <w:r w:rsidR="00B45915" w:rsidRPr="00774395">
        <w:t>he subgroups meta-analysis</w:t>
      </w:r>
      <w:r w:rsidR="00E74E69" w:rsidRPr="00774395">
        <w:t>, an</w:t>
      </w:r>
      <w:r w:rsidR="00B45915" w:rsidRPr="00774395">
        <w:t xml:space="preserve"> optimal range of BC physi</w:t>
      </w:r>
      <w:r w:rsidR="00216A35" w:rsidRPr="00774395">
        <w:t>c</w:t>
      </w:r>
      <w:r w:rsidR="00B45915" w:rsidRPr="00774395">
        <w:t xml:space="preserve">o-chemical properties </w:t>
      </w:r>
      <w:r w:rsidR="00E26DCB" w:rsidRPr="00774395">
        <w:t>favouring AD performance</w:t>
      </w:r>
      <w:r w:rsidR="009E2B2D" w:rsidRPr="00774395">
        <w:t xml:space="preserve"> </w:t>
      </w:r>
      <w:r w:rsidR="00E74E69" w:rsidRPr="00774395">
        <w:t xml:space="preserve">may be suggested </w:t>
      </w:r>
      <w:r w:rsidR="009E2B2D" w:rsidRPr="00774395">
        <w:t>as follows</w:t>
      </w:r>
      <w:r w:rsidR="00B45915" w:rsidRPr="00774395">
        <w:t xml:space="preserve">: </w:t>
      </w:r>
      <w:r w:rsidR="000E2BE0" w:rsidRPr="00774395">
        <w:t>high</w:t>
      </w:r>
      <w:r w:rsidR="00B45915" w:rsidRPr="00774395">
        <w:t xml:space="preserve"> ash contents (</w:t>
      </w:r>
      <w:r w:rsidR="00B45915" w:rsidRPr="00774395">
        <w:rPr>
          <w:rFonts w:ascii="Calibri" w:hAnsi="Calibri" w:cs="Calibri"/>
        </w:rPr>
        <w:t>≥</w:t>
      </w:r>
      <w:r w:rsidR="00B45915" w:rsidRPr="00774395">
        <w:t xml:space="preserve">20%) and low C contents (&lt;50%), </w:t>
      </w:r>
      <w:r w:rsidR="000E2BE0" w:rsidRPr="00774395">
        <w:t>high</w:t>
      </w:r>
      <w:r w:rsidR="00B45915" w:rsidRPr="00774395">
        <w:t xml:space="preserve"> O/C molar ratios (</w:t>
      </w:r>
      <w:r w:rsidR="00B45915" w:rsidRPr="00774395">
        <w:rPr>
          <w:rFonts w:ascii="Calibri" w:hAnsi="Calibri" w:cs="Calibri"/>
        </w:rPr>
        <w:t>≥</w:t>
      </w:r>
      <w:r w:rsidR="00B45915" w:rsidRPr="00774395">
        <w:t>0.3), high contents of O (</w:t>
      </w:r>
      <w:r w:rsidR="00B45915" w:rsidRPr="00774395">
        <w:rPr>
          <w:rFonts w:ascii="Calibri" w:hAnsi="Calibri" w:cs="Calibri"/>
        </w:rPr>
        <w:t>≥</w:t>
      </w:r>
      <w:r w:rsidR="00B45915" w:rsidRPr="00774395">
        <w:t>20%) and N (</w:t>
      </w:r>
      <w:r w:rsidR="00B45915" w:rsidRPr="00774395">
        <w:rPr>
          <w:rFonts w:ascii="Calibri" w:hAnsi="Calibri" w:cs="Calibri"/>
        </w:rPr>
        <w:t>≥</w:t>
      </w:r>
      <w:r w:rsidR="00B45915" w:rsidRPr="00774395">
        <w:t>0.6%), acidic pH (&lt;7.0), and modest values of SA (&lt;10 m</w:t>
      </w:r>
      <w:r w:rsidR="00B45915" w:rsidRPr="00774395">
        <w:rPr>
          <w:vertAlign w:val="superscript"/>
        </w:rPr>
        <w:t>2</w:t>
      </w:r>
      <w:r w:rsidR="00B45915" w:rsidRPr="00774395">
        <w:t xml:space="preserve"> g</w:t>
      </w:r>
      <w:r w:rsidR="00B45915" w:rsidRPr="00774395">
        <w:rPr>
          <w:vertAlign w:val="superscript"/>
        </w:rPr>
        <w:t>-1</w:t>
      </w:r>
      <w:r w:rsidR="00B45915" w:rsidRPr="00774395">
        <w:t>).</w:t>
      </w:r>
      <w:r w:rsidR="001735C2" w:rsidRPr="00774395">
        <w:t xml:space="preserve"> Consequently, the choice of f</w:t>
      </w:r>
      <w:r w:rsidR="00B45915" w:rsidRPr="00774395">
        <w:t xml:space="preserve">eedstocks as manure or sludge </w:t>
      </w:r>
      <w:r w:rsidR="001735C2" w:rsidRPr="00774395">
        <w:t xml:space="preserve">for BC </w:t>
      </w:r>
      <w:r w:rsidR="00660333" w:rsidRPr="00774395">
        <w:t>production</w:t>
      </w:r>
      <w:r w:rsidR="001316E1" w:rsidRPr="00774395">
        <w:t>,</w:t>
      </w:r>
      <w:r w:rsidR="001735C2" w:rsidRPr="00774395">
        <w:t xml:space="preserve"> and the us</w:t>
      </w:r>
      <w:r w:rsidR="000E2BE0" w:rsidRPr="00774395">
        <w:t>e</w:t>
      </w:r>
      <w:r w:rsidR="001735C2" w:rsidRPr="00774395">
        <w:t xml:space="preserve"> of moderate pyrolysis temperatures </w:t>
      </w:r>
      <w:r w:rsidR="00660333" w:rsidRPr="00774395">
        <w:t>can</w:t>
      </w:r>
      <w:r w:rsidR="001735C2" w:rsidRPr="00774395">
        <w:t xml:space="preserve"> be</w:t>
      </w:r>
      <w:r w:rsidR="00B45915" w:rsidRPr="00774395">
        <w:t xml:space="preserve"> recommended. </w:t>
      </w:r>
      <w:r w:rsidR="00F1053D" w:rsidRPr="00774395">
        <w:t xml:space="preserve">The </w:t>
      </w:r>
      <w:r w:rsidR="00B45915" w:rsidRPr="00774395">
        <w:t>economic analysis</w:t>
      </w:r>
      <w:r w:rsidR="00660333" w:rsidRPr="00774395">
        <w:t>, aimed at evaluating the economic viability of adding BC to an existing full-scale AD plant,</w:t>
      </w:r>
      <w:r w:rsidR="00B45915" w:rsidRPr="00774395">
        <w:t xml:space="preserve"> </w:t>
      </w:r>
      <w:r w:rsidR="00F1053D" w:rsidRPr="00774395">
        <w:t>identified</w:t>
      </w:r>
      <w:r w:rsidR="001735C2" w:rsidRPr="00774395">
        <w:t xml:space="preserve"> </w:t>
      </w:r>
      <w:r w:rsidR="00F1053D" w:rsidRPr="00774395">
        <w:t>a wide range of</w:t>
      </w:r>
      <w:r w:rsidR="001735C2" w:rsidRPr="00774395">
        <w:t xml:space="preserve"> </w:t>
      </w:r>
      <w:r w:rsidR="00F1053D" w:rsidRPr="00774395">
        <w:t>maximum unit cost of BC</w:t>
      </w:r>
      <w:r w:rsidR="00B45915" w:rsidRPr="00774395">
        <w:t xml:space="preserve"> </w:t>
      </w:r>
      <w:r w:rsidR="008972A1" w:rsidRPr="00774395">
        <w:t>(</w:t>
      </w:r>
      <w:r w:rsidR="00B45915" w:rsidRPr="00774395">
        <w:t>0</w:t>
      </w:r>
      <w:r w:rsidR="009E2B2D" w:rsidRPr="00774395">
        <w:t xml:space="preserve"> </w:t>
      </w:r>
      <w:r w:rsidR="008972A1" w:rsidRPr="00774395">
        <w:t xml:space="preserve">- </w:t>
      </w:r>
      <w:r w:rsidR="00B45915" w:rsidRPr="00774395">
        <w:t>7</w:t>
      </w:r>
      <w:r w:rsidR="000E2BE0" w:rsidRPr="00774395">
        <w:t>,</w:t>
      </w:r>
      <w:r w:rsidR="00B45915" w:rsidRPr="00774395">
        <w:t xml:space="preserve">500 </w:t>
      </w:r>
      <w:r w:rsidR="001316E1" w:rsidRPr="00774395">
        <w:t>USD</w:t>
      </w:r>
      <w:r w:rsidR="00B45915" w:rsidRPr="00774395">
        <w:t xml:space="preserve"> ton</w:t>
      </w:r>
      <w:r w:rsidR="00B45915" w:rsidRPr="00774395">
        <w:rPr>
          <w:vertAlign w:val="subscript"/>
        </w:rPr>
        <w:t>BC</w:t>
      </w:r>
      <w:r w:rsidR="00B45915" w:rsidRPr="00774395">
        <w:rPr>
          <w:vertAlign w:val="superscript"/>
        </w:rPr>
        <w:t>-1</w:t>
      </w:r>
      <w:r w:rsidR="008972A1" w:rsidRPr="00774395">
        <w:t xml:space="preserve">) </w:t>
      </w:r>
      <w:r w:rsidR="00F1053D" w:rsidRPr="00774395">
        <w:t>that equals the revenues from energy production</w:t>
      </w:r>
      <w:r w:rsidR="009E2B2D" w:rsidRPr="00774395">
        <w:t xml:space="preserve">. </w:t>
      </w:r>
      <w:r w:rsidR="00F1053D" w:rsidRPr="00774395">
        <w:t xml:space="preserve">The minimization of BC dose is crucial to reach the economic feasibility </w:t>
      </w:r>
      <w:r w:rsidR="00727AF4" w:rsidRPr="00774395">
        <w:t xml:space="preserve">of BC application to AD. </w:t>
      </w:r>
      <w:r w:rsidR="000E2BE0" w:rsidRPr="00774395">
        <w:t xml:space="preserve">A </w:t>
      </w:r>
      <w:r w:rsidR="00B45915" w:rsidRPr="00774395">
        <w:t>dose</w:t>
      </w:r>
      <w:r w:rsidR="00F1053D" w:rsidRPr="00774395">
        <w:t xml:space="preserve"> </w:t>
      </w:r>
      <w:r w:rsidR="00B45915" w:rsidRPr="00774395">
        <w:t xml:space="preserve">of BC above </w:t>
      </w:r>
      <w:r w:rsidR="00F1053D" w:rsidRPr="00774395">
        <w:t>0.45-0.76 g</w:t>
      </w:r>
      <w:r w:rsidR="00F1053D" w:rsidRPr="00774395">
        <w:rPr>
          <w:vertAlign w:val="subscript"/>
        </w:rPr>
        <w:t>BC</w:t>
      </w:r>
      <w:r w:rsidR="00F1053D" w:rsidRPr="00774395">
        <w:t xml:space="preserve"> g</w:t>
      </w:r>
      <w:r w:rsidR="00F1053D" w:rsidRPr="00774395">
        <w:rPr>
          <w:vertAlign w:val="subscript"/>
        </w:rPr>
        <w:t>VS</w:t>
      </w:r>
      <w:r w:rsidR="00F1053D" w:rsidRPr="00774395">
        <w:rPr>
          <w:vertAlign w:val="superscript"/>
        </w:rPr>
        <w:t>-1</w:t>
      </w:r>
      <w:r w:rsidR="00F1053D" w:rsidRPr="00774395">
        <w:t xml:space="preserve"> </w:t>
      </w:r>
      <w:r w:rsidR="00B45915" w:rsidRPr="00774395">
        <w:t xml:space="preserve">should be avoided despite the </w:t>
      </w:r>
      <w:r w:rsidR="00660333" w:rsidRPr="00774395">
        <w:t>features</w:t>
      </w:r>
      <w:r w:rsidR="00B45915" w:rsidRPr="00774395">
        <w:t xml:space="preserve"> of BC</w:t>
      </w:r>
      <w:r w:rsidR="00660333" w:rsidRPr="00774395">
        <w:t xml:space="preserve"> properties</w:t>
      </w:r>
      <w:r w:rsidR="00B45915" w:rsidRPr="00774395">
        <w:t xml:space="preserve"> and AD conditions.</w:t>
      </w:r>
      <w:r w:rsidR="001316E1" w:rsidRPr="00774395">
        <w:t xml:space="preserve"> </w:t>
      </w:r>
      <w:r w:rsidR="00660333" w:rsidRPr="00774395">
        <w:t>In conclusion, t</w:t>
      </w:r>
      <w:r w:rsidR="001316E1" w:rsidRPr="00774395">
        <w:t>he</w:t>
      </w:r>
      <w:r w:rsidR="00660333" w:rsidRPr="00774395">
        <w:t xml:space="preserve"> overall</w:t>
      </w:r>
      <w:r w:rsidR="001316E1" w:rsidRPr="00774395">
        <w:t xml:space="preserve"> findings </w:t>
      </w:r>
      <w:r w:rsidR="00660333" w:rsidRPr="00774395">
        <w:t>of this work can provide guidance to</w:t>
      </w:r>
      <w:r w:rsidR="001316E1" w:rsidRPr="00774395">
        <w:t xml:space="preserve"> further studies </w:t>
      </w:r>
      <w:r w:rsidR="00660333" w:rsidRPr="00774395">
        <w:t>exploring</w:t>
      </w:r>
      <w:r w:rsidR="001316E1" w:rsidRPr="00774395">
        <w:t xml:space="preserve"> the underlying mechanisms of BC </w:t>
      </w:r>
      <w:r w:rsidR="00660333" w:rsidRPr="00774395">
        <w:t>addition</w:t>
      </w:r>
      <w:r w:rsidR="001316E1" w:rsidRPr="00774395">
        <w:t xml:space="preserve"> </w:t>
      </w:r>
      <w:r w:rsidR="00660333" w:rsidRPr="00774395">
        <w:t>to</w:t>
      </w:r>
      <w:r w:rsidR="001316E1" w:rsidRPr="00774395">
        <w:t xml:space="preserve"> AD </w:t>
      </w:r>
      <w:r w:rsidR="00660333" w:rsidRPr="00774395">
        <w:t>processes</w:t>
      </w:r>
      <w:r w:rsidR="001316E1" w:rsidRPr="00774395">
        <w:t>, and support BC practical application in full-scale digesters.</w:t>
      </w:r>
    </w:p>
    <w:p w14:paraId="5729D994" w14:textId="77777777" w:rsidR="00B45915" w:rsidRPr="00774395" w:rsidRDefault="00B45915" w:rsidP="00265A4E">
      <w:pPr>
        <w:jc w:val="both"/>
      </w:pPr>
    </w:p>
    <w:p w14:paraId="6AD9D6B7" w14:textId="45590236" w:rsidR="002E703A" w:rsidRPr="00774395" w:rsidRDefault="002E703A" w:rsidP="00C92CB2">
      <w:pPr>
        <w:pStyle w:val="Titolo1"/>
        <w:rPr>
          <w:b/>
          <w:bCs/>
          <w:sz w:val="24"/>
          <w:szCs w:val="24"/>
        </w:rPr>
      </w:pPr>
      <w:r w:rsidRPr="00774395">
        <w:rPr>
          <w:b/>
          <w:bCs/>
          <w:sz w:val="24"/>
          <w:szCs w:val="24"/>
        </w:rPr>
        <w:t>Acknowledgments</w:t>
      </w:r>
    </w:p>
    <w:p w14:paraId="7D20CE87" w14:textId="5149F5CA" w:rsidR="007C2448" w:rsidRDefault="007C2448" w:rsidP="007C2448">
      <w:pPr>
        <w:jc w:val="both"/>
        <w:rPr>
          <w:rFonts w:cs="Times New Roman"/>
          <w:szCs w:val="24"/>
          <w:lang w:val="en-US"/>
        </w:rPr>
      </w:pPr>
      <w:r w:rsidRPr="00774395">
        <w:rPr>
          <w:szCs w:val="24"/>
          <w:lang w:val="en-US"/>
        </w:rPr>
        <w:t xml:space="preserve">This research was funded with internal resources. The authors declare no conflict of interest. </w:t>
      </w:r>
      <w:r w:rsidRPr="00774395">
        <w:rPr>
          <w:szCs w:val="24"/>
        </w:rPr>
        <w:t>Authors’ contributions: methodology, data elaboration, original draft writing: M. Chiappero; conceptualization, methodology, supervision, manuscript revision: S. Fiore; conceptualization and manuscript revision: F. Berruti</w:t>
      </w:r>
      <w:r w:rsidRPr="00774395">
        <w:rPr>
          <w:rFonts w:cs="Times New Roman"/>
          <w:szCs w:val="24"/>
          <w:lang w:val="en-US"/>
        </w:rPr>
        <w:t>.</w:t>
      </w:r>
    </w:p>
    <w:p w14:paraId="1D67167C" w14:textId="77777777" w:rsidR="00B320BE" w:rsidRDefault="00B320BE" w:rsidP="007C2448">
      <w:pPr>
        <w:jc w:val="both"/>
        <w:rPr>
          <w:rFonts w:cs="Times New Roman"/>
          <w:szCs w:val="24"/>
          <w:lang w:val="en-US"/>
        </w:rPr>
      </w:pPr>
    </w:p>
    <w:p w14:paraId="5F60DA9E" w14:textId="334A0B48" w:rsidR="002E703A" w:rsidRPr="00265A4E" w:rsidRDefault="002E703A" w:rsidP="00265A4E">
      <w:pPr>
        <w:pStyle w:val="Titolo1"/>
        <w:jc w:val="both"/>
        <w:rPr>
          <w:b/>
          <w:bCs/>
          <w:sz w:val="24"/>
          <w:szCs w:val="24"/>
        </w:rPr>
      </w:pPr>
      <w:r w:rsidRPr="00265A4E">
        <w:rPr>
          <w:b/>
          <w:bCs/>
          <w:sz w:val="24"/>
          <w:szCs w:val="24"/>
        </w:rPr>
        <w:t>References</w:t>
      </w:r>
    </w:p>
    <w:p w14:paraId="5CAF7DDB" w14:textId="21C07DC1" w:rsidR="00941B54" w:rsidRPr="00941B54" w:rsidRDefault="000D50CA" w:rsidP="00941B54">
      <w:pPr>
        <w:widowControl w:val="0"/>
        <w:autoSpaceDE w:val="0"/>
        <w:autoSpaceDN w:val="0"/>
        <w:adjustRightInd w:val="0"/>
        <w:ind w:left="640" w:hanging="640"/>
        <w:rPr>
          <w:rFonts w:cs="Times New Roman"/>
          <w:noProof/>
          <w:szCs w:val="24"/>
        </w:rPr>
      </w:pPr>
      <w:r>
        <w:fldChar w:fldCharType="begin" w:fldLock="1"/>
      </w:r>
      <w:r w:rsidRPr="00735FAE">
        <w:instrText xml:space="preserve">ADDIN Mendeley Bibliography CSL_BIBLIOGRAPHY </w:instrText>
      </w:r>
      <w:r>
        <w:fldChar w:fldCharType="separate"/>
      </w:r>
      <w:r w:rsidR="00941B54" w:rsidRPr="00941B54">
        <w:rPr>
          <w:rFonts w:cs="Times New Roman"/>
          <w:noProof/>
          <w:szCs w:val="24"/>
        </w:rPr>
        <w:t>[1]</w:t>
      </w:r>
      <w:r w:rsidR="00941B54" w:rsidRPr="00941B54">
        <w:rPr>
          <w:rFonts w:cs="Times New Roman"/>
          <w:noProof/>
          <w:szCs w:val="24"/>
        </w:rPr>
        <w:tab/>
        <w:t>J. Lehmann, S. Joseph, Biochar for environmental management: science, technology and implementation, 2nd ed., Routledge, 2015. https://books.google.it/books?hl=it&amp;lr=&amp;id=gWDABgAAQBAJ&amp;oi=fnd&amp;pg=PP1&amp;dq=Biochar+for+Environmental+Management,+Science,+Technology+and+Implementation&amp;ots=tYXmCTLWp1&amp;sig=YOocBmeXmKfPw4VcuN4bmuJAAIY (accessed March 4, 2019).</w:t>
      </w:r>
    </w:p>
    <w:p w14:paraId="537C1B97"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[2]</w:t>
      </w:r>
      <w:r w:rsidRPr="00941B54">
        <w:rPr>
          <w:rFonts w:cs="Times New Roman"/>
          <w:noProof/>
          <w:szCs w:val="24"/>
        </w:rPr>
        <w:tab/>
        <w:t xml:space="preserve">S. Li, S. Harris, A. Anandhi, G. Chen, Predicting biochar properties and functions based on feedstock </w:t>
      </w:r>
      <w:r w:rsidRPr="00941B54">
        <w:rPr>
          <w:rFonts w:cs="Times New Roman"/>
          <w:noProof/>
          <w:szCs w:val="24"/>
        </w:rPr>
        <w:lastRenderedPageBreak/>
        <w:t>and pyrolysis temperature: A review and data syntheses, J. Clean. Prod. 215 (2019) 890–902. doi:10.1016/j.jclepro.2019.01.106.</w:t>
      </w:r>
    </w:p>
    <w:p w14:paraId="5B3B524F"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[3]</w:t>
      </w:r>
      <w:r w:rsidRPr="00941B54">
        <w:rPr>
          <w:rFonts w:cs="Times New Roman"/>
          <w:noProof/>
          <w:szCs w:val="24"/>
        </w:rPr>
        <w:tab/>
        <w:t>G.S. Ghodake, S.K. Shinde, A.A. Kadam, R.G. Saratale, G.D. Saratale, M. Kumar, R.R. Palem, H.A. AL-Shwaiman, A.M. Elgorban, A. Syed, D.Y. Kim, Review on biomass feedstocks, pyrolysis mechanism and physicochemical properties of biochar: State-of-the-art framework to speed up vision of circular bioeconomy, J. Clean. Prod. 297 (2021) 126645. doi:10.1016/j.jclepro.2021.126645.</w:t>
      </w:r>
    </w:p>
    <w:p w14:paraId="0DD19478"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[4]</w:t>
      </w:r>
      <w:r w:rsidRPr="00941B54">
        <w:rPr>
          <w:rFonts w:cs="Times New Roman"/>
          <w:noProof/>
          <w:szCs w:val="24"/>
        </w:rPr>
        <w:tab/>
        <w:t>D. Wang, P. Jiang, H. Zhang, W. Yuan, Biochar production and applications in agro and forestry systems: A review, Sci. Total Environ. 723 (2020) 137775. doi:10.1016/j.scitotenv.2020.137775.</w:t>
      </w:r>
    </w:p>
    <w:p w14:paraId="3C39650F"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[5]</w:t>
      </w:r>
      <w:r w:rsidRPr="00941B54">
        <w:rPr>
          <w:rFonts w:cs="Times New Roman"/>
          <w:noProof/>
          <w:szCs w:val="24"/>
        </w:rPr>
        <w:tab/>
        <w:t>N.A. Qambrani, M.M. Rahman, S. Won, S. Shim, C. Ra, Biochar properties and eco-friendly applications for climate change mitigation, waste management, and wastewater treatment: A review, Renew. Sustain. Energy Rev. 79 (2017) 255–273. doi:10.1016/j.rser.2017.05.057.</w:t>
      </w:r>
    </w:p>
    <w:p w14:paraId="00E6C366"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[6]</w:t>
      </w:r>
      <w:r w:rsidRPr="00941B54">
        <w:rPr>
          <w:rFonts w:cs="Times New Roman"/>
          <w:noProof/>
          <w:szCs w:val="24"/>
        </w:rPr>
        <w:tab/>
        <w:t>K. Weber, P. Quicker, Properties of biochar, Fuel. 217 (2018) 240–261. doi:10.1016/j.fuel.2017.12.054.</w:t>
      </w:r>
    </w:p>
    <w:p w14:paraId="2FE2D674"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[7]</w:t>
      </w:r>
      <w:r w:rsidRPr="00941B54">
        <w:rPr>
          <w:rFonts w:cs="Times New Roman"/>
          <w:noProof/>
          <w:szCs w:val="24"/>
        </w:rPr>
        <w:tab/>
        <w:t>S. Nanda, A.K. Dalai, F. Berruti, J.A. Kozinski, Biochar as an exceptional bioresource for energy, agronomy, carbon sequestration, activated carbon and specialty materials, Waste Biomass Valori. 7 (2016) 201–235. doi:10.1007/s12649-015-9459-z.</w:t>
      </w:r>
    </w:p>
    <w:p w14:paraId="2C49F509"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[8]</w:t>
      </w:r>
      <w:r w:rsidRPr="00941B54">
        <w:rPr>
          <w:rFonts w:cs="Times New Roman"/>
          <w:noProof/>
          <w:szCs w:val="24"/>
        </w:rPr>
        <w:tab/>
        <w:t>Z. Zhang, Z. Zhu, B. Shen, L. Liu, Insights into biochar and hydrochar production and applications: A review, Energy. 171 (2019) 581–598. doi:10.1016/j.energy.2019.01.035.</w:t>
      </w:r>
    </w:p>
    <w:p w14:paraId="2C4A37E5"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[9]</w:t>
      </w:r>
      <w:r w:rsidRPr="00941B54">
        <w:rPr>
          <w:rFonts w:cs="Times New Roman"/>
          <w:noProof/>
          <w:szCs w:val="24"/>
        </w:rPr>
        <w:tab/>
        <w:t>M. Bartoli, M. Giorcelli, P. Jagdale, M. Rovere, A. Tagliaferro, A review of non-soil biochar applications, Materials (Basel). 13 (2020) 261. doi:10.3390/ma13020261.</w:t>
      </w:r>
    </w:p>
    <w:p w14:paraId="364F1150"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[10]</w:t>
      </w:r>
      <w:r w:rsidRPr="00941B54">
        <w:rPr>
          <w:rFonts w:cs="Times New Roman"/>
          <w:noProof/>
          <w:szCs w:val="24"/>
        </w:rPr>
        <w:tab/>
        <w:t>World Biogas Association, Global potential of biogas, (2019). https://www.worldbiogasassociation.org/global-potential-of-biogas/ (accessed November 10, 2021).</w:t>
      </w:r>
    </w:p>
    <w:p w14:paraId="12580657"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[11]</w:t>
      </w:r>
      <w:r w:rsidRPr="00941B54">
        <w:rPr>
          <w:rFonts w:cs="Times New Roman"/>
          <w:noProof/>
          <w:szCs w:val="24"/>
        </w:rPr>
        <w:tab/>
        <w:t>H. Ritchie, M. Roser, CO₂ and Greenhouse Gas Emissions. Published online at OurWorldInData.org., (2020). https://ourworldindata.org/greenhouse-gas-emissions#annual-greenhouse-gas-emissions-how-much-do-we-emit-each-year (accessed January 10, 2022).</w:t>
      </w:r>
    </w:p>
    <w:p w14:paraId="55F7F259"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[12]</w:t>
      </w:r>
      <w:r w:rsidRPr="00941B54">
        <w:rPr>
          <w:rFonts w:cs="Times New Roman"/>
          <w:noProof/>
          <w:szCs w:val="24"/>
        </w:rPr>
        <w:tab/>
        <w:t>S. Dutta, M. He, X. Xiong, D.C.W. Tsang, Sustainable management and recycling of food waste anaerobic digestate: A review, Bioresour. Technol. 341 (2021) 125915. doi:10.1016/j.biortech.2021.125915.</w:t>
      </w:r>
    </w:p>
    <w:p w14:paraId="241929C2"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lastRenderedPageBreak/>
        <w:t>[13]</w:t>
      </w:r>
      <w:r w:rsidRPr="00941B54">
        <w:rPr>
          <w:rFonts w:cs="Times New Roman"/>
          <w:noProof/>
          <w:szCs w:val="24"/>
        </w:rPr>
        <w:tab/>
        <w:t>F. Xu, Y.Y. Li, X. Ge, L. Yang, Y.Y. Li, Anaerobic digestion of food waste – Challenges and opportunities, Bioresour. Technol. 247 (2018) 1047–1058. doi:10.1016/j.biortech.2017.09.020.</w:t>
      </w:r>
    </w:p>
    <w:p w14:paraId="7463C0C1"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[14]</w:t>
      </w:r>
      <w:r w:rsidRPr="00941B54">
        <w:rPr>
          <w:rFonts w:cs="Times New Roman"/>
          <w:noProof/>
          <w:szCs w:val="24"/>
        </w:rPr>
        <w:tab/>
        <w:t>V. Khanh Nguyen, D. Kumar Chaudhary, R. Hari Dahal, N. Hoang Trinh, J. Kim, S.W. Chang, Y. Hong, D. Duc La, X.C. Nguyen, H. Hao Ngo, W.J. Chung, D.D. Nguyen, Review on pretreatment techniques to improve anaerobic digestion of sewage sludge, Fuel. 285 (2021) 119105. doi:10.1016/j.fuel.2020.119105.</w:t>
      </w:r>
    </w:p>
    <w:p w14:paraId="31E69EAE"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[15]</w:t>
      </w:r>
      <w:r w:rsidRPr="00941B54">
        <w:rPr>
          <w:rFonts w:cs="Times New Roman"/>
          <w:noProof/>
          <w:szCs w:val="24"/>
        </w:rPr>
        <w:tab/>
        <w:t>S. Paul, A. Dutta, Challenges and opportunities of lignocellulosic biomass for anaerobic digestion, Resour. Conserv. Recycl. 130 (2018) 164–174. doi:10.1016/j.resconrec.2017.12.005.</w:t>
      </w:r>
    </w:p>
    <w:p w14:paraId="776248B5"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[16]</w:t>
      </w:r>
      <w:r w:rsidRPr="00941B54">
        <w:rPr>
          <w:rFonts w:cs="Times New Roman"/>
          <w:noProof/>
          <w:szCs w:val="24"/>
        </w:rPr>
        <w:tab/>
        <w:t>Y. Chen, J.J. Cheng, K.S. Creamer, Inhibition of anaerobic digestion process: A review, Bioresour. Technol. 99 (2008) 4044–4064. doi:10.1016/j.biortech.2007.01.057.</w:t>
      </w:r>
    </w:p>
    <w:p w14:paraId="108C3D3F"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[17]</w:t>
      </w:r>
      <w:r w:rsidRPr="00941B54">
        <w:rPr>
          <w:rFonts w:cs="Times New Roman"/>
          <w:noProof/>
          <w:szCs w:val="24"/>
        </w:rPr>
        <w:tab/>
        <w:t>J.L. Chen, R. Ortiz, T.W.J. Steele, D.C. Stuckey, Toxicants inhibiting anaerobic digestion: A review, Biotechnol. Adv. 32 (2014) 1523–1534. doi:10.1016/j.biotechadv.2014.10.005.</w:t>
      </w:r>
    </w:p>
    <w:p w14:paraId="6F16462B"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[18]</w:t>
      </w:r>
      <w:r w:rsidRPr="00941B54">
        <w:rPr>
          <w:rFonts w:cs="Times New Roman"/>
          <w:noProof/>
          <w:szCs w:val="24"/>
        </w:rPr>
        <w:tab/>
        <w:t>M. Chiappero, O. Norouzi, M. Hu, F. Demichelis, F. Berruti, F. Di Maria, O. Mašek, S. Fiore, Review of biochar role as additive in anaerobic digestion processes, Renew. Sustain. Energy Rev. 131 (2020) 110037. doi:10.1016/j.rser.2020.110037.</w:t>
      </w:r>
    </w:p>
    <w:p w14:paraId="448EC6DF"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[19]</w:t>
      </w:r>
      <w:r w:rsidRPr="00941B54">
        <w:rPr>
          <w:rFonts w:cs="Times New Roman"/>
          <w:noProof/>
          <w:szCs w:val="24"/>
        </w:rPr>
        <w:tab/>
        <w:t>M.O. Fagbohungbe, B.M.J. Herbert, L. Hurst, C.N. Ibeto, H. Li, S.Q. Usmani, K.T. Semple, The challenges of anaerobic digestion and the role of biochar in optimizing anaerobic digestion, Waste Manag. 61 (2017) 236–249. doi:10.1016/j.wasman.2016.11.028.</w:t>
      </w:r>
    </w:p>
    <w:p w14:paraId="34703E8A"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[20]</w:t>
      </w:r>
      <w:r w:rsidRPr="00941B54">
        <w:rPr>
          <w:rFonts w:cs="Times New Roman"/>
          <w:noProof/>
          <w:szCs w:val="24"/>
        </w:rPr>
        <w:tab/>
        <w:t>F. Codignole Luz, S. Cordiner, A. Manni, V. Mulone, V. Rocco, Biochar characteristics and early applications in anaerobic digestion-a review, J. Environ. Chem. Eng. 6 (2018) 2892–2909. doi:10.1016/j.jece.2018.04.015.</w:t>
      </w:r>
    </w:p>
    <w:p w14:paraId="511C12B1"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[21]</w:t>
      </w:r>
      <w:r w:rsidRPr="00941B54">
        <w:rPr>
          <w:rFonts w:cs="Times New Roman"/>
          <w:noProof/>
          <w:szCs w:val="24"/>
        </w:rPr>
        <w:tab/>
        <w:t>S.O. Masebinu, E.T. Akinlabi, E. Muzenda, A.O. Aboyade, A review of biochar properties and their roles in mitigating challenges with anaerobic digestion, Renew. Sustain. Energy Rev. 103 (2019) 291–307. doi:10.1016/j.rser.2018.12.048.</w:t>
      </w:r>
    </w:p>
    <w:p w14:paraId="3D05F2FB"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[22]</w:t>
      </w:r>
      <w:r w:rsidRPr="00941B54">
        <w:rPr>
          <w:rFonts w:cs="Times New Roman"/>
          <w:noProof/>
          <w:szCs w:val="24"/>
        </w:rPr>
        <w:tab/>
        <w:t>L. Qiu, Y.F. Deng, F. Wang, M. Davaritouchaee, Y.Q. Yao, A review on biochar-mediated anaerobic digestion with enhanced methane recovery, Renew. Sustain. Energy Rev. 115 (2019) 109373. doi:10.1016/j.rser.2019.109373.</w:t>
      </w:r>
    </w:p>
    <w:p w14:paraId="2847697E"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[23]</w:t>
      </w:r>
      <w:r w:rsidRPr="00941B54">
        <w:rPr>
          <w:rFonts w:cs="Times New Roman"/>
          <w:noProof/>
          <w:szCs w:val="24"/>
        </w:rPr>
        <w:tab/>
        <w:t xml:space="preserve">J. Pan, J. Ma, L. Zhai, T. Luo, Z. Mei, H. Liu, Achievements of biochar application for enhanced </w:t>
      </w:r>
      <w:r w:rsidRPr="00941B54">
        <w:rPr>
          <w:rFonts w:cs="Times New Roman"/>
          <w:noProof/>
          <w:szCs w:val="24"/>
        </w:rPr>
        <w:lastRenderedPageBreak/>
        <w:t>anaerobic digestion: A review, Bioresour. Technol. 292 (2019) 122058. doi:10.1016/j.biortech.2019.122058.</w:t>
      </w:r>
    </w:p>
    <w:p w14:paraId="56A6C63D"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[24]</w:t>
      </w:r>
      <w:r w:rsidRPr="00941B54">
        <w:rPr>
          <w:rFonts w:cs="Times New Roman"/>
          <w:noProof/>
          <w:szCs w:val="24"/>
        </w:rPr>
        <w:tab/>
        <w:t>W. Zhao, H. Yang, S. He, Q. Zhao, L. Wei, A review of biochar in anaerobic digestion to improve biogas production: Performances, mechanisms and economic assessments, Bioresour. Technol. 341 (2021) 125797. doi:10.1016/j.biortech.2021.125797.</w:t>
      </w:r>
    </w:p>
    <w:p w14:paraId="570FE63B"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[25]</w:t>
      </w:r>
      <w:r w:rsidRPr="00941B54">
        <w:rPr>
          <w:rFonts w:cs="Times New Roman"/>
          <w:noProof/>
          <w:szCs w:val="24"/>
        </w:rPr>
        <w:tab/>
        <w:t>J. Song, Y. Wang, S. Zhang, Y. Song, S. Xue, L. Liu, X. Lvy, X. Wang, G. Yang, Coupling biochar with anaerobic digestion in a circular economy perspective: A promising way to promote sustainable energy, environment and agriculture development in China, Renew. Sustain. Energy Rev. 144 (2021) 110973. doi:10.1016/j.rser.2021.110973.</w:t>
      </w:r>
    </w:p>
    <w:p w14:paraId="180037A2"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[26]</w:t>
      </w:r>
      <w:r w:rsidRPr="00941B54">
        <w:rPr>
          <w:rFonts w:cs="Times New Roman"/>
          <w:noProof/>
          <w:szCs w:val="24"/>
        </w:rPr>
        <w:tab/>
        <w:t>Z. Bin Khalid, M.N.I. Siddique, A. Nayeem, T.M. Adyel, S. Bin Ismail, M.Z. Ibrahim, Biochar application as sustainable precursors for enhanced anaerobic digestion: A systematic review, J. Environ. Chem. Eng. 9 (2021) 105489. doi:10.1016/j.jece.2021.105489.</w:t>
      </w:r>
    </w:p>
    <w:p w14:paraId="5B62FF4B"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[27]</w:t>
      </w:r>
      <w:r w:rsidRPr="00941B54">
        <w:rPr>
          <w:rFonts w:cs="Times New Roman"/>
          <w:noProof/>
          <w:szCs w:val="24"/>
        </w:rPr>
        <w:tab/>
        <w:t>L. Xiao, E. Lichtfouse, P.S. Kumar, Q. Wang, F. Liu, Biochar promotes methane production during anaerobic digestion of organic waste, Environ. Chem. Lett. 19 (2021) 3557–3564. doi:10.1007/s10311-021-01251-6.</w:t>
      </w:r>
    </w:p>
    <w:p w14:paraId="7FE8B7FC"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[28]</w:t>
      </w:r>
      <w:r w:rsidRPr="00941B54">
        <w:rPr>
          <w:rFonts w:cs="Times New Roman"/>
          <w:noProof/>
          <w:szCs w:val="24"/>
        </w:rPr>
        <w:tab/>
        <w:t>S. Tayibi, F. Monlau, A. Bargaz, R. Jimenez, A. Barakat, Synergy of anaerobic digestion and pyrolysis processes for sustainable waste management: A critical review and future perspectives, Renew. Sustain. Energy Rev. 152 (2021) 111603. doi:10.1016/j.rser.2021.111603.</w:t>
      </w:r>
    </w:p>
    <w:p w14:paraId="1DE7334A"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[29]</w:t>
      </w:r>
      <w:r w:rsidRPr="00941B54">
        <w:rPr>
          <w:rFonts w:cs="Times New Roman"/>
          <w:noProof/>
          <w:szCs w:val="24"/>
        </w:rPr>
        <w:tab/>
        <w:t>M. Chiappero, F. Cillerai, F. Berruti, O. Mašek, S. Fiore, Addition of different biochars as catalysts during the mesophilic anaerobic digestion of mixed wastewater sludge, Catalysts. 11 (2021) 1094. doi:10.3390/CATAL11091094.</w:t>
      </w:r>
    </w:p>
    <w:p w14:paraId="49A7515C"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[30]</w:t>
      </w:r>
      <w:r w:rsidRPr="00941B54">
        <w:rPr>
          <w:rFonts w:cs="Times New Roman"/>
          <w:noProof/>
          <w:szCs w:val="24"/>
        </w:rPr>
        <w:tab/>
        <w:t>N.H. Khashaba, R.S. Ettouney, M.M. Abdelaal, F.H. Ashour, M.A. El-Rifai, Artificial neural network modeling of biochar enhanced anaerobic sewage sludge digestion, J. Environ. Chem. Eng. 10 (2022) 107988. doi:10.1016/J.JECE.2022.107988.</w:t>
      </w:r>
    </w:p>
    <w:p w14:paraId="32E90818"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[31]</w:t>
      </w:r>
      <w:r w:rsidRPr="00941B54">
        <w:rPr>
          <w:rFonts w:cs="Times New Roman"/>
          <w:noProof/>
          <w:szCs w:val="24"/>
        </w:rPr>
        <w:tab/>
        <w:t>S. Jeffery, F.G.A. Verheijen, C. Kammann, D. Abalos, Biochar effects on methane emissions from soils: A meta-analysis, Soil Biol. Biochem. 101 (2016) 251–258. doi:10.1016/j.soilbio.2016.07.021.</w:t>
      </w:r>
    </w:p>
    <w:p w14:paraId="30E85A1C"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[32]</w:t>
      </w:r>
      <w:r w:rsidRPr="00941B54">
        <w:rPr>
          <w:rFonts w:cs="Times New Roman"/>
          <w:noProof/>
          <w:szCs w:val="24"/>
        </w:rPr>
        <w:tab/>
        <w:t xml:space="preserve">Y. He, X. Zhou, L. Jiang, M. Li, Z. Du, G. Zhou, J. Shao, X. Wang, Z. Xu, S. Hosseini Bai, H. Wallace, C. Xu, S.H. Bai, H. Wallace, C. Xu, Effects of biochar application on soil greenhouse gas </w:t>
      </w:r>
      <w:r w:rsidRPr="00941B54">
        <w:rPr>
          <w:rFonts w:cs="Times New Roman"/>
          <w:noProof/>
          <w:szCs w:val="24"/>
        </w:rPr>
        <w:lastRenderedPageBreak/>
        <w:t>fluxes: a meta-analysis, GCB Bioenergy. 9 (2017) 743–755. doi:10.1111/gcbb.12376.</w:t>
      </w:r>
    </w:p>
    <w:p w14:paraId="5CD5B265"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[33]</w:t>
      </w:r>
      <w:r w:rsidRPr="00941B54">
        <w:rPr>
          <w:rFonts w:cs="Times New Roman"/>
          <w:noProof/>
          <w:szCs w:val="24"/>
        </w:rPr>
        <w:tab/>
        <w:t>X. Liu, P. Mao, L. Li, J. Ma, Impact of biochar application on yield-scaled greenhouse gas intensity: A meta-analysis, Sci. Total Environ. 656 (2019) 969–976. doi:10.1016/j.scitotenv.2018.11.396.</w:t>
      </w:r>
    </w:p>
    <w:p w14:paraId="0D29BED0"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[34]</w:t>
      </w:r>
      <w:r w:rsidRPr="00941B54">
        <w:rPr>
          <w:rFonts w:cs="Times New Roman"/>
          <w:noProof/>
          <w:szCs w:val="24"/>
        </w:rPr>
        <w:tab/>
        <w:t>L.A. Biederman, W.S. Harpole, Biochar and its effects on plant productivity and nutrient cycling: a meta-analysis, GCB Bioenergy. 5 (2013) 202–214. doi:10.1111/gcbb.12037.</w:t>
      </w:r>
    </w:p>
    <w:p w14:paraId="1589D72E"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[35]</w:t>
      </w:r>
      <w:r w:rsidRPr="00941B54">
        <w:rPr>
          <w:rFonts w:cs="Times New Roman"/>
          <w:noProof/>
          <w:szCs w:val="24"/>
        </w:rPr>
        <w:tab/>
        <w:t>Y. Wang, M.B. Villamil, P.C. Davidson, N. Akdeniz, A quantitative understanding of the role of co-composted biochar in plant growth using meta-analysis, Sci. Total Environ. 685 (2019) 741–752. doi:10.1016/j.scitotenv.2019.06.244.</w:t>
      </w:r>
    </w:p>
    <w:p w14:paraId="6410BA3A"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[36]</w:t>
      </w:r>
      <w:r w:rsidRPr="00941B54">
        <w:rPr>
          <w:rFonts w:cs="Times New Roman"/>
          <w:noProof/>
          <w:szCs w:val="24"/>
        </w:rPr>
        <w:tab/>
        <w:t>M.O. Omondi, X. Xia, A. Nahayo, X. Liu, P.K. Korai, G. Pan, Quantification of biochar effects on soil hydrological properties using meta-analysis of literature data, Geoderma. 274 (2016) 28–34. doi:10.1016/j.geoderma.2016.03.029.</w:t>
      </w:r>
    </w:p>
    <w:p w14:paraId="70C53DF3"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[37]</w:t>
      </w:r>
      <w:r w:rsidRPr="00941B54">
        <w:rPr>
          <w:rFonts w:cs="Times New Roman"/>
          <w:noProof/>
          <w:szCs w:val="24"/>
        </w:rPr>
        <w:tab/>
        <w:t>T.T.N. Nguyen, C.Y. Xu, I. Tahmasbian, R. Che, Z. Xu, X. Zhou, H.M. Wallace, S.H. Bai, Effects of biochar on soil available inorganic nitrogen: A review and meta-analysis, Geoderma. 288 (2017) 79–96. doi:10.1016/j.geoderma.2016.11.004.</w:t>
      </w:r>
    </w:p>
    <w:p w14:paraId="59E68F48"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[38]</w:t>
      </w:r>
      <w:r w:rsidRPr="00941B54">
        <w:rPr>
          <w:rFonts w:cs="Times New Roman"/>
          <w:noProof/>
          <w:szCs w:val="24"/>
        </w:rPr>
        <w:tab/>
        <w:t>F. Razzaghi, P.B. Obour, E. Arthur, Does biochar improve soil water retention? A systematic review and meta-analysis, Geoderma. 361 (2020) 114055. doi:10.1016/j.geoderma.2019.114055.</w:t>
      </w:r>
    </w:p>
    <w:p w14:paraId="7D13AEAB"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[39]</w:t>
      </w:r>
      <w:r w:rsidRPr="00941B54">
        <w:rPr>
          <w:rFonts w:cs="Times New Roman"/>
          <w:noProof/>
          <w:szCs w:val="24"/>
        </w:rPr>
        <w:tab/>
        <w:t>M. Mainardis, S. Flaibani, F. Mazzolini, A. Peressotti, D. Goi, Techno-economic analysis of anaerobic digestion implementation in small Italian breweries and evaluation of biochar and granular activated carbon addition effect on methane yield, J. Environ. Chem. Eng. 7 (2019) 103184. doi:10.1016/j.jece.2019.103184.</w:t>
      </w:r>
    </w:p>
    <w:p w14:paraId="7720DD70"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[40]</w:t>
      </w:r>
      <w:r w:rsidRPr="00941B54">
        <w:rPr>
          <w:rFonts w:cs="Times New Roman"/>
          <w:noProof/>
          <w:szCs w:val="24"/>
        </w:rPr>
        <w:tab/>
        <w:t>L. Zhang, E.Y. Lim, K.-C. Loh, Y.S. Ok, J.T.E. Lee, Y. Shen, C.-H. Wang, Y. Dai, Y.W. Tong, Biochar enhanced thermophilic anaerobic digestion of food waste: Focusing on biochar particle size, microbial community analysis and pilot-scale application, Energy Convers. Manag. 209 (2020) 112654. doi:10.1016/j.enconman.2020.112654.</w:t>
      </w:r>
    </w:p>
    <w:p w14:paraId="42DC13B0"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[41]</w:t>
      </w:r>
      <w:r w:rsidRPr="00941B54">
        <w:rPr>
          <w:rFonts w:cs="Times New Roman"/>
          <w:noProof/>
          <w:szCs w:val="24"/>
        </w:rPr>
        <w:tab/>
        <w:t>M. Chiappero, F. Berruti, O. Mašek, S. Fiore, Semi-continuous anaerobic digestion of mixed wastewater sludge with biochar addition, Bioresour. Technol. 340 (2021) 125664. doi:10.1016/j.biortech.2021.125664.</w:t>
      </w:r>
    </w:p>
    <w:p w14:paraId="0FEC2679"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[42]</w:t>
      </w:r>
      <w:r w:rsidRPr="00941B54">
        <w:rPr>
          <w:rFonts w:cs="Times New Roman"/>
          <w:noProof/>
          <w:szCs w:val="24"/>
        </w:rPr>
        <w:tab/>
        <w:t xml:space="preserve">A. Rohatgi, WebPlotDigitizer, (2021). https://automeris.io/WebPlotDigitizer/citation.html (accessed </w:t>
      </w:r>
      <w:r w:rsidRPr="00941B54">
        <w:rPr>
          <w:rFonts w:cs="Times New Roman"/>
          <w:noProof/>
          <w:szCs w:val="24"/>
        </w:rPr>
        <w:lastRenderedPageBreak/>
        <w:t>September 21, 2021).</w:t>
      </w:r>
    </w:p>
    <w:p w14:paraId="718CBA22"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[43]</w:t>
      </w:r>
      <w:r w:rsidRPr="00941B54">
        <w:rPr>
          <w:rFonts w:cs="Times New Roman"/>
          <w:noProof/>
          <w:szCs w:val="24"/>
        </w:rPr>
        <w:tab/>
        <w:t>R Core Team, R: A Language and Environment for Statistical Computing, (2021). https://www.r-project.org/.</w:t>
      </w:r>
    </w:p>
    <w:p w14:paraId="3ECDA3D0"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[44]</w:t>
      </w:r>
      <w:r w:rsidRPr="00941B54">
        <w:rPr>
          <w:rFonts w:cs="Times New Roman"/>
          <w:noProof/>
          <w:szCs w:val="24"/>
        </w:rPr>
        <w:tab/>
        <w:t>W. Viechtbauer, Conducting Meta-Analyses in R with the metafor Package, J. Stat. Softw. 36 (2010) 1–48. doi:10.18637/jss.v036.i03.</w:t>
      </w:r>
    </w:p>
    <w:p w14:paraId="721226F8"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[45]</w:t>
      </w:r>
      <w:r w:rsidRPr="00941B54">
        <w:rPr>
          <w:rFonts w:cs="Times New Roman"/>
          <w:noProof/>
          <w:szCs w:val="24"/>
        </w:rPr>
        <w:tab/>
        <w:t>S.N. Ugwu, R.K. Biscoff, C.C. Enweremadu, A meta-analysis of iron-based additives on enhancements of biogas yields during anaerobic digestion of organic wastes, J. Clean. Prod. 269 (2020) 122449. doi:10.1016/j.jclepro.2020.122449.</w:t>
      </w:r>
    </w:p>
    <w:p w14:paraId="3D6DF214"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[46]</w:t>
      </w:r>
      <w:r w:rsidRPr="00941B54">
        <w:rPr>
          <w:rFonts w:cs="Times New Roman"/>
          <w:noProof/>
          <w:szCs w:val="24"/>
        </w:rPr>
        <w:tab/>
        <w:t>M. Borenstein, L. V. Hedges, J.P.T. Higgins, H.R. Rothstein, Introduction to Meta-Analysis, 2nd ed., Wiley &amp; Sons, 2021. https://www.wiley.com/en-us/Introduction+to+Meta+Analysis%2C+2nd+Edition-p-9781119558354 (accessed October 4, 2021).</w:t>
      </w:r>
    </w:p>
    <w:p w14:paraId="3DECB804"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[47]</w:t>
      </w:r>
      <w:r w:rsidRPr="00941B54">
        <w:rPr>
          <w:rFonts w:cs="Times New Roman"/>
          <w:noProof/>
          <w:szCs w:val="24"/>
        </w:rPr>
        <w:tab/>
        <w:t>Z. Xiao, S. Rasmann, L. Yue, F. Lian, H. Zou, Z. Wang, The effect of biochar amendment on N-cycling genes in soils: A meta-analysis, Sci. Total Environ. 696 (2019) 133984. doi:10.1016/j.scitotenv.2019.133984.</w:t>
      </w:r>
    </w:p>
    <w:p w14:paraId="3D5C479F"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[48]</w:t>
      </w:r>
      <w:r w:rsidRPr="00941B54">
        <w:rPr>
          <w:rFonts w:cs="Times New Roman"/>
          <w:noProof/>
          <w:szCs w:val="24"/>
        </w:rPr>
        <w:tab/>
        <w:t>R. DerSimonian, R. Kacker, Random-effects model for meta-analysis of clinical trials: An update, Contemp. Clin. Trials. 28 (2007) 105–114. doi:10.1016/j.cct.2006.04.004.</w:t>
      </w:r>
    </w:p>
    <w:p w14:paraId="18347442"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[49]</w:t>
      </w:r>
      <w:r w:rsidRPr="00941B54">
        <w:rPr>
          <w:rFonts w:cs="Times New Roman"/>
          <w:noProof/>
          <w:szCs w:val="24"/>
        </w:rPr>
        <w:tab/>
        <w:t>G. Knapp, J. Hartung, Improved tests for a random effects meta-regression with a single covariate, Stat. Med. 22 (2003) 2693–2710. doi:10.1002/sim.1482.</w:t>
      </w:r>
    </w:p>
    <w:p w14:paraId="2F5CC51F"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[50]</w:t>
      </w:r>
      <w:r w:rsidRPr="00941B54">
        <w:rPr>
          <w:rFonts w:cs="Times New Roman"/>
          <w:noProof/>
          <w:szCs w:val="24"/>
        </w:rPr>
        <w:tab/>
        <w:t>C.B.F. Flores, T.A. Trabold, Food waste , manure and digestate derived biochar to enhance biomethane potential in mesophilic anaerobic digestion of food waste, in: 8th Int. Conf. Sustain. Solid Waste Manag. 23-26 June 2021, Thessaloniki, Greece, 2021. https://thessaloniki2021.uest.gr/proceedings.html.</w:t>
      </w:r>
    </w:p>
    <w:p w14:paraId="1502F222"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[51]</w:t>
      </w:r>
      <w:r w:rsidRPr="00941B54">
        <w:rPr>
          <w:rFonts w:cs="Times New Roman"/>
          <w:noProof/>
          <w:szCs w:val="24"/>
        </w:rPr>
        <w:tab/>
        <w:t>A. Hlavsová, A. Corsaro, H. Raclavská, S. Vallová, D. Juchelková, The effect of feedstock composition and taxonomy on the products distribution from pyrolysis of nine herbaceous plants, Fuel Process. Technol. 144 (2016) 27–36. doi:10.1016/j.fuproc.2015.11.022.</w:t>
      </w:r>
    </w:p>
    <w:p w14:paraId="2D0FBAD9"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[52]</w:t>
      </w:r>
      <w:r w:rsidRPr="00941B54">
        <w:rPr>
          <w:rFonts w:cs="Times New Roman"/>
          <w:noProof/>
          <w:szCs w:val="24"/>
        </w:rPr>
        <w:tab/>
        <w:t>K.B. Cantrell, P.G. Hunt, M. Uchimiya, J.M. Novak, K.S. Ro, Impact of pyrolysis temperature and manure source on physicochemical characteristics of biochar, Bioresour. Technol. 107 (2012) 419–428. doi:10.1016/j.biortech.2011.11.084.</w:t>
      </w:r>
    </w:p>
    <w:p w14:paraId="4F7FEF06"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lastRenderedPageBreak/>
        <w:t>[53]</w:t>
      </w:r>
      <w:r w:rsidRPr="00941B54">
        <w:rPr>
          <w:rFonts w:cs="Times New Roman"/>
          <w:noProof/>
          <w:szCs w:val="24"/>
        </w:rPr>
        <w:tab/>
        <w:t>I. Fonts, G. Gea, M. Azuara, J. Ábrego, J. Arauzo, Sewage sludge pyrolysis for liquid production: A review, Renew. Sustain. Energy Rev. 16 (2012) 2781–2805. doi:10.1016/j.rser.2012.02.070.</w:t>
      </w:r>
    </w:p>
    <w:p w14:paraId="7A018B00"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[54]</w:t>
      </w:r>
      <w:r w:rsidRPr="00941B54">
        <w:rPr>
          <w:rFonts w:cs="Times New Roman"/>
          <w:noProof/>
          <w:szCs w:val="24"/>
        </w:rPr>
        <w:tab/>
        <w:t>L. Leng, Q. Xiong, L. Yang, H. Li, Y. Zhou, W. Zhang, S. Jiang, H. Li, H. Huang, An overview on engineering the surface area and porosity of biochar, Sci. Total Environ. 763 (2021) 144204. doi:10.1016/j.scitotenv.2020.144204.</w:t>
      </w:r>
    </w:p>
    <w:p w14:paraId="283E6654"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[55]</w:t>
      </w:r>
      <w:r w:rsidRPr="00941B54">
        <w:rPr>
          <w:rFonts w:cs="Times New Roman"/>
          <w:noProof/>
          <w:szCs w:val="24"/>
        </w:rPr>
        <w:tab/>
        <w:t>J.A. Ippolito, L. Cui, C. Kammann, N. Wrage-Mönnig, J.M. Estavillo, T. Fuertes-Mendizabal, M.L. Cayuela, G. Sigua, J. Novak, K. Spokas, N. Borchard, Feedstock choice, pyrolysis temperature and type influence biochar characteristics: a comprehensive meta-data analysis review, Biochar 2020 24. 2 (2020) 421–438. doi:10.1007/s42773-020-00067-x.</w:t>
      </w:r>
    </w:p>
    <w:p w14:paraId="7CE86A92"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[56]</w:t>
      </w:r>
      <w:r w:rsidRPr="00941B54">
        <w:rPr>
          <w:rFonts w:cs="Times New Roman"/>
          <w:noProof/>
          <w:szCs w:val="24"/>
        </w:rPr>
        <w:tab/>
        <w:t>A. Tomczyk, Z. Sokołowska, P. Boguta, Biochar physicochemical properties: pyrolysis temperature and feedstock kind effects, Rev. Environ. Sci. Biotechnol. 19 (2020) 191–215. doi:10.1007/s11157-020-09523-3.</w:t>
      </w:r>
    </w:p>
    <w:p w14:paraId="7B4D5CDF"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[57]</w:t>
      </w:r>
      <w:r w:rsidRPr="00941B54">
        <w:rPr>
          <w:rFonts w:cs="Times New Roman"/>
          <w:noProof/>
          <w:szCs w:val="24"/>
        </w:rPr>
        <w:tab/>
        <w:t>M. Hassan, Y. Liu, R. Naidu, S.J. Parikh, J. Du, F. Qi, I.R. Willett, Influences of feedstock sources and pyrolysis temperature on the properties of biochar and functionality as adsorbents: A meta-analysis, Sci. Total Environ. 744 (2020) 140714. doi:10.1016/j.scitotenv.2020.140714.</w:t>
      </w:r>
    </w:p>
    <w:p w14:paraId="61F0BE56"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[58]</w:t>
      </w:r>
      <w:r w:rsidRPr="00941B54">
        <w:rPr>
          <w:rFonts w:cs="Times New Roman"/>
          <w:noProof/>
          <w:szCs w:val="24"/>
        </w:rPr>
        <w:tab/>
        <w:t>Y. Shen, J.L.J.L. Linville, P.A.A.P.A.A. Ignacio-de Leon, R.P.R.P. Schoene, M. Urgun-Demirtas, Towards a sustainable paradigm of waste-to-energy process: Enhanced anaerobic digestion of sludge with woody biochar, J. Clean. Prod. 135 (2016) 1054–1064. doi:10.1016/j.jclepro.2016.06.144.</w:t>
      </w:r>
    </w:p>
    <w:p w14:paraId="6BC2D5A9"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[59]</w:t>
      </w:r>
      <w:r w:rsidRPr="00941B54">
        <w:rPr>
          <w:rFonts w:cs="Times New Roman"/>
          <w:noProof/>
          <w:szCs w:val="24"/>
        </w:rPr>
        <w:tab/>
        <w:t>M. Zhang, Y. Wang, Effects of Fe-Mn-modified biochar addition on anaerobic digestion of sewage sludge: Biomethane production, heavy metal speciation and performance stability, Bioresour. Technol. 313 (2020) 123695. doi:10.1016/j.biortech.2020.123695.</w:t>
      </w:r>
    </w:p>
    <w:p w14:paraId="2C8BAE3B"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[60]</w:t>
      </w:r>
      <w:r w:rsidRPr="00941B54">
        <w:rPr>
          <w:rFonts w:cs="Times New Roman"/>
          <w:noProof/>
          <w:szCs w:val="24"/>
        </w:rPr>
        <w:tab/>
        <w:t>R. Shen, Y. Jing, J. Feng, J. Luo, J. Yu, L. Zhao, Performance of enhanced anaerobic digestion with different pyrolysis biochars and microbial communities, Bioresour. Technol. 296 (2020) 122354. doi:10.1016/j.biortech.2019.122354.</w:t>
      </w:r>
    </w:p>
    <w:p w14:paraId="05A7CE66"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[61]</w:t>
      </w:r>
      <w:r w:rsidRPr="00941B54">
        <w:rPr>
          <w:rFonts w:cs="Times New Roman"/>
          <w:noProof/>
          <w:szCs w:val="24"/>
        </w:rPr>
        <w:tab/>
        <w:t>J. Ma, F. Chen, S. Xue, J. Pan, B. Khoshnevisan, Y. Yang, H. Liu, L. Qiu, Improving anaerobic digestion of chicken manure under optimized biochar supplementation strategies, Bioresour. Technol. 325 (2021) 124697. doi:10.1016/j.biortech.2021.124697.</w:t>
      </w:r>
    </w:p>
    <w:p w14:paraId="11A5E50A"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[62]</w:t>
      </w:r>
      <w:r w:rsidRPr="00941B54">
        <w:rPr>
          <w:rFonts w:cs="Times New Roman"/>
          <w:noProof/>
          <w:szCs w:val="24"/>
        </w:rPr>
        <w:tab/>
        <w:t xml:space="preserve">J.L. Linville, Y. Shen, P.A. Ignacio-de Leon, R.P. Schoene, M. Urgun-Demirtas, In-situ biogas </w:t>
      </w:r>
      <w:r w:rsidRPr="00941B54">
        <w:rPr>
          <w:rFonts w:cs="Times New Roman"/>
          <w:noProof/>
          <w:szCs w:val="24"/>
        </w:rPr>
        <w:lastRenderedPageBreak/>
        <w:t>upgrading during anaerobic digestion of food waste amended with walnut shell biochar at bench scale, Waste Manag. Res. 35 (2017) 669–679. doi:10.1177/0734242X17704716.</w:t>
      </w:r>
    </w:p>
    <w:p w14:paraId="24507D23"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[63]</w:t>
      </w:r>
      <w:r w:rsidRPr="00941B54">
        <w:rPr>
          <w:rFonts w:cs="Times New Roman"/>
          <w:noProof/>
          <w:szCs w:val="24"/>
        </w:rPr>
        <w:tab/>
        <w:t>F. Cheng, H. Luo, L.M. Colosi, Slow pyrolysis as a platform for negative emissions technology: An integration of machine learning models, life cycle assessment, and economic analysis, Energy Convers. Manag. 223 (2020) 113258. doi:10.1016/j.enconman.2020.113258.</w:t>
      </w:r>
    </w:p>
    <w:p w14:paraId="3EDD6CA6"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[64]</w:t>
      </w:r>
      <w:r w:rsidRPr="00941B54">
        <w:rPr>
          <w:rFonts w:cs="Times New Roman"/>
          <w:noProof/>
          <w:szCs w:val="24"/>
        </w:rPr>
        <w:tab/>
        <w:t>S. Shabangu, D. Woolf, E.M. Fisher, L.T. Angenent, J. Lehmann, Techno-economic assessment of biomass slow pyrolysis into different biochar and methanol concepts, Fuel. 117 (2014) 742–748. doi:10.1016/j.fuel.2013.08.053.</w:t>
      </w:r>
    </w:p>
    <w:p w14:paraId="4F9DFA57" w14:textId="77777777" w:rsidR="00941B54" w:rsidRPr="00941B54" w:rsidRDefault="00941B54" w:rsidP="00941B54">
      <w:pPr>
        <w:widowControl w:val="0"/>
        <w:autoSpaceDE w:val="0"/>
        <w:autoSpaceDN w:val="0"/>
        <w:adjustRightInd w:val="0"/>
        <w:ind w:left="640" w:hanging="640"/>
        <w:rPr>
          <w:rFonts w:cs="Times New Roman"/>
          <w:noProof/>
          <w:szCs w:val="24"/>
        </w:rPr>
      </w:pPr>
      <w:r w:rsidRPr="00941B54">
        <w:rPr>
          <w:rFonts w:cs="Times New Roman"/>
          <w:noProof/>
          <w:szCs w:val="24"/>
        </w:rPr>
        <w:t>[65]</w:t>
      </w:r>
      <w:r w:rsidRPr="00941B54">
        <w:rPr>
          <w:rFonts w:cs="Times New Roman"/>
          <w:noProof/>
          <w:szCs w:val="24"/>
        </w:rPr>
        <w:tab/>
        <w:t>Transparency Market Research, Biochar Market (Feedstock: Woody Biomass, Agricultural Waste, Animal Manure, and Others; Technology: Pyrolysis, Gasification, and Others; and Application: Electricity Generation, Agriculture, Forestry, and Others) - Global Industry Analysis, Size, Share, , (2021). https://www.transparencymarketresearch.com/biochar-market.html (accessed November 12, 2021).</w:t>
      </w:r>
    </w:p>
    <w:p w14:paraId="7A99B3DE" w14:textId="77777777" w:rsidR="00941B54" w:rsidRPr="00941B54" w:rsidRDefault="00941B54" w:rsidP="00941B54">
      <w:pPr>
        <w:widowControl w:val="0"/>
        <w:autoSpaceDE w:val="0"/>
        <w:autoSpaceDN w:val="0"/>
        <w:adjustRightInd w:val="0"/>
        <w:ind w:left="640" w:hanging="640"/>
        <w:rPr>
          <w:rFonts w:cs="Times New Roman"/>
          <w:noProof/>
        </w:rPr>
      </w:pPr>
      <w:r w:rsidRPr="00941B54">
        <w:rPr>
          <w:rFonts w:cs="Times New Roman"/>
          <w:noProof/>
          <w:szCs w:val="24"/>
        </w:rPr>
        <w:t>[66]</w:t>
      </w:r>
      <w:r w:rsidRPr="00941B54">
        <w:rPr>
          <w:rFonts w:cs="Times New Roman"/>
          <w:noProof/>
          <w:szCs w:val="24"/>
        </w:rPr>
        <w:tab/>
        <w:t>Research and Markets, Biochar Market Research Report by Row Material, Feedstock, Technology, Application, and Region - Global Forecast to 2026 - Cumulative Impact of COVID-19, (2021). https://www.researchandmarkets.com/reports/4857865/biochar-market-research-report-by-row-material?utm_source=GNOM&amp;utm_medium=PressRelease&amp;utm_code=9x793b&amp;utm_campaign=1514448+-+Global+Biochar+Market+Research+Report+(2020+to+2025)+-+by+Row+Material%2C+Feed (accessed November 12, 2021).</w:t>
      </w:r>
    </w:p>
    <w:p w14:paraId="65570342" w14:textId="7CADC6DE" w:rsidR="00472F92" w:rsidRPr="00492686" w:rsidRDefault="000D50CA" w:rsidP="00265A4E">
      <w:pPr>
        <w:jc w:val="both"/>
        <w:rPr>
          <w:lang w:val="en-US"/>
        </w:rPr>
      </w:pPr>
      <w:r>
        <w:fldChar w:fldCharType="end"/>
      </w:r>
    </w:p>
    <w:sectPr w:rsidR="00472F92" w:rsidRPr="00492686" w:rsidSect="003E6B30">
      <w:footerReference w:type="default" r:id="rId14"/>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F2067" w14:textId="77777777" w:rsidR="00E62104" w:rsidRDefault="00E62104" w:rsidP="009A2704">
      <w:pPr>
        <w:spacing w:after="0" w:line="240" w:lineRule="auto"/>
      </w:pPr>
      <w:r>
        <w:separator/>
      </w:r>
    </w:p>
  </w:endnote>
  <w:endnote w:type="continuationSeparator" w:id="0">
    <w:p w14:paraId="21B074B4" w14:textId="77777777" w:rsidR="00E62104" w:rsidRDefault="00E62104" w:rsidP="009A2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2044622"/>
      <w:docPartObj>
        <w:docPartGallery w:val="Page Numbers (Bottom of Page)"/>
        <w:docPartUnique/>
      </w:docPartObj>
    </w:sdtPr>
    <w:sdtEndPr>
      <w:rPr>
        <w:noProof/>
      </w:rPr>
    </w:sdtEndPr>
    <w:sdtContent>
      <w:p w14:paraId="6D82BF3B" w14:textId="3378733C" w:rsidR="009A2704" w:rsidRDefault="009A2704">
        <w:pPr>
          <w:pStyle w:val="Pidipagina"/>
          <w:jc w:val="right"/>
        </w:pPr>
        <w:r>
          <w:fldChar w:fldCharType="begin"/>
        </w:r>
        <w:r>
          <w:instrText xml:space="preserve"> PAGE   \* MERGEFORMAT </w:instrText>
        </w:r>
        <w:r>
          <w:fldChar w:fldCharType="separate"/>
        </w:r>
        <w:r>
          <w:rPr>
            <w:noProof/>
          </w:rPr>
          <w:t>2</w:t>
        </w:r>
        <w:r>
          <w:rPr>
            <w:noProof/>
          </w:rPr>
          <w:fldChar w:fldCharType="end"/>
        </w:r>
      </w:p>
    </w:sdtContent>
  </w:sdt>
  <w:p w14:paraId="363DD5F8" w14:textId="77777777" w:rsidR="009A2704" w:rsidRDefault="009A270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DAB1E9" w14:textId="77777777" w:rsidR="00E62104" w:rsidRDefault="00E62104" w:rsidP="009A2704">
      <w:pPr>
        <w:spacing w:after="0" w:line="240" w:lineRule="auto"/>
      </w:pPr>
      <w:r>
        <w:separator/>
      </w:r>
    </w:p>
  </w:footnote>
  <w:footnote w:type="continuationSeparator" w:id="0">
    <w:p w14:paraId="5AB14B2F" w14:textId="77777777" w:rsidR="00E62104" w:rsidRDefault="00E62104" w:rsidP="009A27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E3A33"/>
    <w:multiLevelType w:val="hybridMultilevel"/>
    <w:tmpl w:val="24786C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1169F0"/>
    <w:multiLevelType w:val="hybridMultilevel"/>
    <w:tmpl w:val="260E6E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5E0BFE"/>
    <w:multiLevelType w:val="hybridMultilevel"/>
    <w:tmpl w:val="6DACE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B35E90"/>
    <w:multiLevelType w:val="hybridMultilevel"/>
    <w:tmpl w:val="FCFE6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7C6F96"/>
    <w:multiLevelType w:val="hybridMultilevel"/>
    <w:tmpl w:val="5D667F72"/>
    <w:lvl w:ilvl="0" w:tplc="E9F6263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FC965BA"/>
    <w:multiLevelType w:val="hybridMultilevel"/>
    <w:tmpl w:val="B538A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FD7E64"/>
    <w:multiLevelType w:val="hybridMultilevel"/>
    <w:tmpl w:val="2A4C2B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56D5C31"/>
    <w:multiLevelType w:val="hybridMultilevel"/>
    <w:tmpl w:val="2A14C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95D67AE"/>
    <w:multiLevelType w:val="hybridMultilevel"/>
    <w:tmpl w:val="1F1834E4"/>
    <w:lvl w:ilvl="0" w:tplc="5FB057D6">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1F6228"/>
    <w:multiLevelType w:val="hybridMultilevel"/>
    <w:tmpl w:val="ADBE0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820496"/>
    <w:multiLevelType w:val="hybridMultilevel"/>
    <w:tmpl w:val="317A6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4AB073D"/>
    <w:multiLevelType w:val="hybridMultilevel"/>
    <w:tmpl w:val="C46E3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895279"/>
    <w:multiLevelType w:val="hybridMultilevel"/>
    <w:tmpl w:val="47027B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5E31AB7"/>
    <w:multiLevelType w:val="hybridMultilevel"/>
    <w:tmpl w:val="2F286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67F634D"/>
    <w:multiLevelType w:val="hybridMultilevel"/>
    <w:tmpl w:val="B07E6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88630294">
    <w:abstractNumId w:val="1"/>
  </w:num>
  <w:num w:numId="2" w16cid:durableId="1450390053">
    <w:abstractNumId w:val="7"/>
  </w:num>
  <w:num w:numId="3" w16cid:durableId="304511435">
    <w:abstractNumId w:val="14"/>
  </w:num>
  <w:num w:numId="4" w16cid:durableId="1086876975">
    <w:abstractNumId w:val="12"/>
  </w:num>
  <w:num w:numId="5" w16cid:durableId="218254070">
    <w:abstractNumId w:val="5"/>
  </w:num>
  <w:num w:numId="6" w16cid:durableId="1256279190">
    <w:abstractNumId w:val="13"/>
  </w:num>
  <w:num w:numId="7" w16cid:durableId="1677688312">
    <w:abstractNumId w:val="11"/>
  </w:num>
  <w:num w:numId="8" w16cid:durableId="1618951439">
    <w:abstractNumId w:val="3"/>
  </w:num>
  <w:num w:numId="9" w16cid:durableId="1648701563">
    <w:abstractNumId w:val="10"/>
  </w:num>
  <w:num w:numId="10" w16cid:durableId="84886280">
    <w:abstractNumId w:val="6"/>
  </w:num>
  <w:num w:numId="11" w16cid:durableId="1803813075">
    <w:abstractNumId w:val="2"/>
  </w:num>
  <w:num w:numId="12" w16cid:durableId="770323013">
    <w:abstractNumId w:val="9"/>
  </w:num>
  <w:num w:numId="13" w16cid:durableId="357124359">
    <w:abstractNumId w:val="8"/>
  </w:num>
  <w:num w:numId="14" w16cid:durableId="1225602118">
    <w:abstractNumId w:val="0"/>
  </w:num>
  <w:num w:numId="15" w16cid:durableId="5562066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045C"/>
    <w:rsid w:val="0000006C"/>
    <w:rsid w:val="00000446"/>
    <w:rsid w:val="00001780"/>
    <w:rsid w:val="00001F80"/>
    <w:rsid w:val="00003D11"/>
    <w:rsid w:val="000041C6"/>
    <w:rsid w:val="00005FCF"/>
    <w:rsid w:val="0000687D"/>
    <w:rsid w:val="000076E5"/>
    <w:rsid w:val="0000774D"/>
    <w:rsid w:val="0000793B"/>
    <w:rsid w:val="000114DD"/>
    <w:rsid w:val="00011B3C"/>
    <w:rsid w:val="00012A37"/>
    <w:rsid w:val="00014C99"/>
    <w:rsid w:val="0001538C"/>
    <w:rsid w:val="00016C9F"/>
    <w:rsid w:val="00017354"/>
    <w:rsid w:val="000215A3"/>
    <w:rsid w:val="0002239E"/>
    <w:rsid w:val="00027725"/>
    <w:rsid w:val="00031116"/>
    <w:rsid w:val="00031C30"/>
    <w:rsid w:val="0003517A"/>
    <w:rsid w:val="000373F0"/>
    <w:rsid w:val="00037545"/>
    <w:rsid w:val="00037A0F"/>
    <w:rsid w:val="00037C1C"/>
    <w:rsid w:val="00041289"/>
    <w:rsid w:val="00041ABB"/>
    <w:rsid w:val="0004402F"/>
    <w:rsid w:val="00045BF9"/>
    <w:rsid w:val="00046E41"/>
    <w:rsid w:val="00047904"/>
    <w:rsid w:val="00050156"/>
    <w:rsid w:val="000507CC"/>
    <w:rsid w:val="00051146"/>
    <w:rsid w:val="000522DC"/>
    <w:rsid w:val="0005237B"/>
    <w:rsid w:val="000528EA"/>
    <w:rsid w:val="000532B8"/>
    <w:rsid w:val="00054A2F"/>
    <w:rsid w:val="00055F83"/>
    <w:rsid w:val="0005694C"/>
    <w:rsid w:val="00056D8E"/>
    <w:rsid w:val="00061202"/>
    <w:rsid w:val="00061797"/>
    <w:rsid w:val="000638B9"/>
    <w:rsid w:val="00063A3E"/>
    <w:rsid w:val="00064A71"/>
    <w:rsid w:val="00065086"/>
    <w:rsid w:val="00067367"/>
    <w:rsid w:val="00070CC9"/>
    <w:rsid w:val="000715EB"/>
    <w:rsid w:val="000723EA"/>
    <w:rsid w:val="0007240F"/>
    <w:rsid w:val="00072F3F"/>
    <w:rsid w:val="000732EA"/>
    <w:rsid w:val="00076ED6"/>
    <w:rsid w:val="0007769B"/>
    <w:rsid w:val="00081085"/>
    <w:rsid w:val="00083DD1"/>
    <w:rsid w:val="00087262"/>
    <w:rsid w:val="00087EF8"/>
    <w:rsid w:val="0009159E"/>
    <w:rsid w:val="00093489"/>
    <w:rsid w:val="00093B77"/>
    <w:rsid w:val="00096F75"/>
    <w:rsid w:val="000A1055"/>
    <w:rsid w:val="000A1470"/>
    <w:rsid w:val="000A26B0"/>
    <w:rsid w:val="000A3277"/>
    <w:rsid w:val="000A52F1"/>
    <w:rsid w:val="000A5345"/>
    <w:rsid w:val="000A7790"/>
    <w:rsid w:val="000B011F"/>
    <w:rsid w:val="000B0ED5"/>
    <w:rsid w:val="000B1C99"/>
    <w:rsid w:val="000B1D14"/>
    <w:rsid w:val="000B3780"/>
    <w:rsid w:val="000B5DBF"/>
    <w:rsid w:val="000B6A48"/>
    <w:rsid w:val="000B70CF"/>
    <w:rsid w:val="000B7720"/>
    <w:rsid w:val="000C1F59"/>
    <w:rsid w:val="000C41F0"/>
    <w:rsid w:val="000C48E0"/>
    <w:rsid w:val="000C68B3"/>
    <w:rsid w:val="000C69BC"/>
    <w:rsid w:val="000C75E0"/>
    <w:rsid w:val="000D06A1"/>
    <w:rsid w:val="000D310C"/>
    <w:rsid w:val="000D35B3"/>
    <w:rsid w:val="000D50CA"/>
    <w:rsid w:val="000D5A79"/>
    <w:rsid w:val="000D6F23"/>
    <w:rsid w:val="000D76EE"/>
    <w:rsid w:val="000D7981"/>
    <w:rsid w:val="000D7D3E"/>
    <w:rsid w:val="000D7DD2"/>
    <w:rsid w:val="000E2BE0"/>
    <w:rsid w:val="000E493E"/>
    <w:rsid w:val="000E748E"/>
    <w:rsid w:val="000E74F9"/>
    <w:rsid w:val="000F0E9E"/>
    <w:rsid w:val="000F1454"/>
    <w:rsid w:val="000F3EB0"/>
    <w:rsid w:val="000F44F9"/>
    <w:rsid w:val="000F52C9"/>
    <w:rsid w:val="000F7A45"/>
    <w:rsid w:val="001008BE"/>
    <w:rsid w:val="00100952"/>
    <w:rsid w:val="00101137"/>
    <w:rsid w:val="001018AA"/>
    <w:rsid w:val="00104255"/>
    <w:rsid w:val="001044DB"/>
    <w:rsid w:val="00104BC0"/>
    <w:rsid w:val="00105437"/>
    <w:rsid w:val="0011095E"/>
    <w:rsid w:val="00111523"/>
    <w:rsid w:val="0011375B"/>
    <w:rsid w:val="00115946"/>
    <w:rsid w:val="00115AF1"/>
    <w:rsid w:val="0011758A"/>
    <w:rsid w:val="00117D6C"/>
    <w:rsid w:val="0012288F"/>
    <w:rsid w:val="00122B09"/>
    <w:rsid w:val="00123994"/>
    <w:rsid w:val="001316E1"/>
    <w:rsid w:val="001327BD"/>
    <w:rsid w:val="0013301C"/>
    <w:rsid w:val="0013319C"/>
    <w:rsid w:val="001334E6"/>
    <w:rsid w:val="001356C0"/>
    <w:rsid w:val="00140365"/>
    <w:rsid w:val="0014086D"/>
    <w:rsid w:val="00140D1D"/>
    <w:rsid w:val="00141D99"/>
    <w:rsid w:val="00142D29"/>
    <w:rsid w:val="00143E4A"/>
    <w:rsid w:val="00144D79"/>
    <w:rsid w:val="00146567"/>
    <w:rsid w:val="0014663A"/>
    <w:rsid w:val="00146862"/>
    <w:rsid w:val="0015118D"/>
    <w:rsid w:val="001514C3"/>
    <w:rsid w:val="0015199B"/>
    <w:rsid w:val="00151D76"/>
    <w:rsid w:val="001529DF"/>
    <w:rsid w:val="00152C4F"/>
    <w:rsid w:val="001562C9"/>
    <w:rsid w:val="00160B96"/>
    <w:rsid w:val="00164A1C"/>
    <w:rsid w:val="00171D1D"/>
    <w:rsid w:val="00171D37"/>
    <w:rsid w:val="001735C2"/>
    <w:rsid w:val="00173E4A"/>
    <w:rsid w:val="00174B5F"/>
    <w:rsid w:val="0018082E"/>
    <w:rsid w:val="00181234"/>
    <w:rsid w:val="00182FF6"/>
    <w:rsid w:val="00185542"/>
    <w:rsid w:val="001873C1"/>
    <w:rsid w:val="0019057D"/>
    <w:rsid w:val="00195CA0"/>
    <w:rsid w:val="00196AC3"/>
    <w:rsid w:val="001A39E7"/>
    <w:rsid w:val="001B2A74"/>
    <w:rsid w:val="001B2AE2"/>
    <w:rsid w:val="001B3A6A"/>
    <w:rsid w:val="001B3E1E"/>
    <w:rsid w:val="001B56E7"/>
    <w:rsid w:val="001C00D9"/>
    <w:rsid w:val="001C0493"/>
    <w:rsid w:val="001C0899"/>
    <w:rsid w:val="001C2076"/>
    <w:rsid w:val="001C273E"/>
    <w:rsid w:val="001C3650"/>
    <w:rsid w:val="001C46EC"/>
    <w:rsid w:val="001C576E"/>
    <w:rsid w:val="001C5C54"/>
    <w:rsid w:val="001C77CC"/>
    <w:rsid w:val="001D09F4"/>
    <w:rsid w:val="001D5E8F"/>
    <w:rsid w:val="001D7995"/>
    <w:rsid w:val="001E0141"/>
    <w:rsid w:val="001E086C"/>
    <w:rsid w:val="001E2256"/>
    <w:rsid w:val="001E4739"/>
    <w:rsid w:val="001E4BA6"/>
    <w:rsid w:val="001E4BF4"/>
    <w:rsid w:val="001E61F7"/>
    <w:rsid w:val="001E699D"/>
    <w:rsid w:val="001E6A59"/>
    <w:rsid w:val="001F0E8A"/>
    <w:rsid w:val="001F2A67"/>
    <w:rsid w:val="001F3ACB"/>
    <w:rsid w:val="001F6851"/>
    <w:rsid w:val="00200DC1"/>
    <w:rsid w:val="00202589"/>
    <w:rsid w:val="00203278"/>
    <w:rsid w:val="002042FE"/>
    <w:rsid w:val="002117A4"/>
    <w:rsid w:val="00211E03"/>
    <w:rsid w:val="002132C1"/>
    <w:rsid w:val="00213448"/>
    <w:rsid w:val="00213C91"/>
    <w:rsid w:val="002145A0"/>
    <w:rsid w:val="00214941"/>
    <w:rsid w:val="00215198"/>
    <w:rsid w:val="00216A35"/>
    <w:rsid w:val="00217162"/>
    <w:rsid w:val="0021758B"/>
    <w:rsid w:val="00220531"/>
    <w:rsid w:val="00220589"/>
    <w:rsid w:val="00220902"/>
    <w:rsid w:val="002239C9"/>
    <w:rsid w:val="00224D22"/>
    <w:rsid w:val="00226879"/>
    <w:rsid w:val="002268AC"/>
    <w:rsid w:val="00227763"/>
    <w:rsid w:val="00231148"/>
    <w:rsid w:val="00231289"/>
    <w:rsid w:val="00231FAD"/>
    <w:rsid w:val="0023588E"/>
    <w:rsid w:val="0024200C"/>
    <w:rsid w:val="00245C66"/>
    <w:rsid w:val="002476BF"/>
    <w:rsid w:val="002478C4"/>
    <w:rsid w:val="00251378"/>
    <w:rsid w:val="002514F7"/>
    <w:rsid w:val="00251827"/>
    <w:rsid w:val="00254AFB"/>
    <w:rsid w:val="002603D2"/>
    <w:rsid w:val="0026100A"/>
    <w:rsid w:val="00263672"/>
    <w:rsid w:val="00265A4E"/>
    <w:rsid w:val="00267338"/>
    <w:rsid w:val="0026743E"/>
    <w:rsid w:val="0027166F"/>
    <w:rsid w:val="002769EF"/>
    <w:rsid w:val="002771C7"/>
    <w:rsid w:val="00280AEE"/>
    <w:rsid w:val="00281C5D"/>
    <w:rsid w:val="00281C6F"/>
    <w:rsid w:val="00281F3C"/>
    <w:rsid w:val="00282F0D"/>
    <w:rsid w:val="00287B87"/>
    <w:rsid w:val="00290B98"/>
    <w:rsid w:val="00290DBF"/>
    <w:rsid w:val="002915BF"/>
    <w:rsid w:val="00296191"/>
    <w:rsid w:val="002A12BC"/>
    <w:rsid w:val="002A2FF4"/>
    <w:rsid w:val="002A5A52"/>
    <w:rsid w:val="002A6515"/>
    <w:rsid w:val="002A65E4"/>
    <w:rsid w:val="002A6C62"/>
    <w:rsid w:val="002B0E11"/>
    <w:rsid w:val="002B21CE"/>
    <w:rsid w:val="002B2E1D"/>
    <w:rsid w:val="002B34CE"/>
    <w:rsid w:val="002B3693"/>
    <w:rsid w:val="002B468E"/>
    <w:rsid w:val="002B54BD"/>
    <w:rsid w:val="002B5CC4"/>
    <w:rsid w:val="002B7962"/>
    <w:rsid w:val="002C0C22"/>
    <w:rsid w:val="002C1813"/>
    <w:rsid w:val="002C267A"/>
    <w:rsid w:val="002C2822"/>
    <w:rsid w:val="002C4C09"/>
    <w:rsid w:val="002C560E"/>
    <w:rsid w:val="002C63D8"/>
    <w:rsid w:val="002C7036"/>
    <w:rsid w:val="002C78FF"/>
    <w:rsid w:val="002D2384"/>
    <w:rsid w:val="002D24A5"/>
    <w:rsid w:val="002D31E7"/>
    <w:rsid w:val="002D591E"/>
    <w:rsid w:val="002E1A58"/>
    <w:rsid w:val="002E2CB6"/>
    <w:rsid w:val="002E3719"/>
    <w:rsid w:val="002E3A76"/>
    <w:rsid w:val="002E3FE7"/>
    <w:rsid w:val="002E4142"/>
    <w:rsid w:val="002E6585"/>
    <w:rsid w:val="002E67A5"/>
    <w:rsid w:val="002E703A"/>
    <w:rsid w:val="002F0AA6"/>
    <w:rsid w:val="002F2267"/>
    <w:rsid w:val="002F2E0C"/>
    <w:rsid w:val="002F551A"/>
    <w:rsid w:val="003008E6"/>
    <w:rsid w:val="00301CF7"/>
    <w:rsid w:val="00302057"/>
    <w:rsid w:val="003032C1"/>
    <w:rsid w:val="00305224"/>
    <w:rsid w:val="0030602D"/>
    <w:rsid w:val="00307E3E"/>
    <w:rsid w:val="00313110"/>
    <w:rsid w:val="0031362D"/>
    <w:rsid w:val="0031413D"/>
    <w:rsid w:val="00314D28"/>
    <w:rsid w:val="00314F6E"/>
    <w:rsid w:val="003153CF"/>
    <w:rsid w:val="003160BD"/>
    <w:rsid w:val="00316ABA"/>
    <w:rsid w:val="00317624"/>
    <w:rsid w:val="003177D0"/>
    <w:rsid w:val="00320372"/>
    <w:rsid w:val="003218C3"/>
    <w:rsid w:val="00323B9B"/>
    <w:rsid w:val="003246B3"/>
    <w:rsid w:val="00324AF6"/>
    <w:rsid w:val="0032598F"/>
    <w:rsid w:val="00330F01"/>
    <w:rsid w:val="003314C0"/>
    <w:rsid w:val="0033240A"/>
    <w:rsid w:val="00333219"/>
    <w:rsid w:val="00333A3E"/>
    <w:rsid w:val="00335648"/>
    <w:rsid w:val="003405A1"/>
    <w:rsid w:val="00340E2D"/>
    <w:rsid w:val="00341755"/>
    <w:rsid w:val="00344CAF"/>
    <w:rsid w:val="00346492"/>
    <w:rsid w:val="00347E51"/>
    <w:rsid w:val="00350F49"/>
    <w:rsid w:val="00357A32"/>
    <w:rsid w:val="0036153A"/>
    <w:rsid w:val="003627F6"/>
    <w:rsid w:val="003636B1"/>
    <w:rsid w:val="00364B88"/>
    <w:rsid w:val="00364E21"/>
    <w:rsid w:val="003657A3"/>
    <w:rsid w:val="00365FA0"/>
    <w:rsid w:val="00366AFC"/>
    <w:rsid w:val="00366C5D"/>
    <w:rsid w:val="00366CA5"/>
    <w:rsid w:val="003735A7"/>
    <w:rsid w:val="00376341"/>
    <w:rsid w:val="00376F75"/>
    <w:rsid w:val="00381A56"/>
    <w:rsid w:val="003831A5"/>
    <w:rsid w:val="00390B39"/>
    <w:rsid w:val="00390DAE"/>
    <w:rsid w:val="00393D81"/>
    <w:rsid w:val="00395C21"/>
    <w:rsid w:val="00396365"/>
    <w:rsid w:val="00397350"/>
    <w:rsid w:val="003A2BF2"/>
    <w:rsid w:val="003A2FCF"/>
    <w:rsid w:val="003A4515"/>
    <w:rsid w:val="003A4EC4"/>
    <w:rsid w:val="003A6F66"/>
    <w:rsid w:val="003A7A85"/>
    <w:rsid w:val="003B26B9"/>
    <w:rsid w:val="003B35DE"/>
    <w:rsid w:val="003B7CC1"/>
    <w:rsid w:val="003C0093"/>
    <w:rsid w:val="003C5F08"/>
    <w:rsid w:val="003C6861"/>
    <w:rsid w:val="003C7721"/>
    <w:rsid w:val="003D0345"/>
    <w:rsid w:val="003D4221"/>
    <w:rsid w:val="003D48F0"/>
    <w:rsid w:val="003D55B3"/>
    <w:rsid w:val="003D6F39"/>
    <w:rsid w:val="003E0143"/>
    <w:rsid w:val="003E055D"/>
    <w:rsid w:val="003E1313"/>
    <w:rsid w:val="003E156A"/>
    <w:rsid w:val="003E44BE"/>
    <w:rsid w:val="003E5C11"/>
    <w:rsid w:val="003E6316"/>
    <w:rsid w:val="003E6B30"/>
    <w:rsid w:val="003F3C14"/>
    <w:rsid w:val="003F4080"/>
    <w:rsid w:val="003F47E6"/>
    <w:rsid w:val="003F6831"/>
    <w:rsid w:val="003F7D7C"/>
    <w:rsid w:val="004066E8"/>
    <w:rsid w:val="004074D0"/>
    <w:rsid w:val="004112B9"/>
    <w:rsid w:val="004125B2"/>
    <w:rsid w:val="00412703"/>
    <w:rsid w:val="00413D21"/>
    <w:rsid w:val="004145DB"/>
    <w:rsid w:val="00416ED6"/>
    <w:rsid w:val="00417BAA"/>
    <w:rsid w:val="0042032B"/>
    <w:rsid w:val="00420ECD"/>
    <w:rsid w:val="00421559"/>
    <w:rsid w:val="00422350"/>
    <w:rsid w:val="004242EC"/>
    <w:rsid w:val="00426D25"/>
    <w:rsid w:val="0043075C"/>
    <w:rsid w:val="004309DE"/>
    <w:rsid w:val="00432FB3"/>
    <w:rsid w:val="00433F06"/>
    <w:rsid w:val="00434460"/>
    <w:rsid w:val="00443B3A"/>
    <w:rsid w:val="00446335"/>
    <w:rsid w:val="00446D9A"/>
    <w:rsid w:val="0044799C"/>
    <w:rsid w:val="004510EE"/>
    <w:rsid w:val="00451EBF"/>
    <w:rsid w:val="00454FE2"/>
    <w:rsid w:val="00455AA9"/>
    <w:rsid w:val="004608A3"/>
    <w:rsid w:val="00463A98"/>
    <w:rsid w:val="0046488F"/>
    <w:rsid w:val="004668E0"/>
    <w:rsid w:val="00472F92"/>
    <w:rsid w:val="004738B2"/>
    <w:rsid w:val="00474C16"/>
    <w:rsid w:val="00475BD3"/>
    <w:rsid w:val="00476046"/>
    <w:rsid w:val="0047733F"/>
    <w:rsid w:val="00477DB9"/>
    <w:rsid w:val="00481F81"/>
    <w:rsid w:val="00484818"/>
    <w:rsid w:val="00485EC6"/>
    <w:rsid w:val="00487238"/>
    <w:rsid w:val="004909A3"/>
    <w:rsid w:val="0049104A"/>
    <w:rsid w:val="00491927"/>
    <w:rsid w:val="00492686"/>
    <w:rsid w:val="00493280"/>
    <w:rsid w:val="00494E53"/>
    <w:rsid w:val="00495CFD"/>
    <w:rsid w:val="0049707E"/>
    <w:rsid w:val="00497AD2"/>
    <w:rsid w:val="004A2171"/>
    <w:rsid w:val="004A562E"/>
    <w:rsid w:val="004A5D79"/>
    <w:rsid w:val="004A61D9"/>
    <w:rsid w:val="004B2DDD"/>
    <w:rsid w:val="004B60D7"/>
    <w:rsid w:val="004C061E"/>
    <w:rsid w:val="004C51F0"/>
    <w:rsid w:val="004C556C"/>
    <w:rsid w:val="004C5866"/>
    <w:rsid w:val="004C5C08"/>
    <w:rsid w:val="004D0181"/>
    <w:rsid w:val="004D0893"/>
    <w:rsid w:val="004D336D"/>
    <w:rsid w:val="004D3D5B"/>
    <w:rsid w:val="004D4561"/>
    <w:rsid w:val="004D473F"/>
    <w:rsid w:val="004D4A2B"/>
    <w:rsid w:val="004D5EA1"/>
    <w:rsid w:val="004D62AF"/>
    <w:rsid w:val="004E03C6"/>
    <w:rsid w:val="004E1C31"/>
    <w:rsid w:val="004E4838"/>
    <w:rsid w:val="004E5AB8"/>
    <w:rsid w:val="004E5EAC"/>
    <w:rsid w:val="004F1B65"/>
    <w:rsid w:val="004F1E07"/>
    <w:rsid w:val="004F3177"/>
    <w:rsid w:val="004F4ABB"/>
    <w:rsid w:val="004F5701"/>
    <w:rsid w:val="00500175"/>
    <w:rsid w:val="00502A04"/>
    <w:rsid w:val="005039D1"/>
    <w:rsid w:val="00504AC9"/>
    <w:rsid w:val="00507296"/>
    <w:rsid w:val="005101B4"/>
    <w:rsid w:val="005107BD"/>
    <w:rsid w:val="00510E33"/>
    <w:rsid w:val="0051524E"/>
    <w:rsid w:val="00516620"/>
    <w:rsid w:val="0051696F"/>
    <w:rsid w:val="00516BD5"/>
    <w:rsid w:val="00520099"/>
    <w:rsid w:val="00522B83"/>
    <w:rsid w:val="00523C2D"/>
    <w:rsid w:val="005264CD"/>
    <w:rsid w:val="00527A00"/>
    <w:rsid w:val="005313AC"/>
    <w:rsid w:val="00531A85"/>
    <w:rsid w:val="00531D8B"/>
    <w:rsid w:val="005330C7"/>
    <w:rsid w:val="00533A6B"/>
    <w:rsid w:val="005342A3"/>
    <w:rsid w:val="0053490E"/>
    <w:rsid w:val="00535A93"/>
    <w:rsid w:val="00537D87"/>
    <w:rsid w:val="00540F95"/>
    <w:rsid w:val="00541528"/>
    <w:rsid w:val="0054365D"/>
    <w:rsid w:val="00544124"/>
    <w:rsid w:val="00544B21"/>
    <w:rsid w:val="005475BA"/>
    <w:rsid w:val="005475E3"/>
    <w:rsid w:val="00550A83"/>
    <w:rsid w:val="00552C00"/>
    <w:rsid w:val="00556F8E"/>
    <w:rsid w:val="00560BC3"/>
    <w:rsid w:val="00561385"/>
    <w:rsid w:val="00563B73"/>
    <w:rsid w:val="00566C32"/>
    <w:rsid w:val="00571431"/>
    <w:rsid w:val="00571719"/>
    <w:rsid w:val="00572444"/>
    <w:rsid w:val="0058189C"/>
    <w:rsid w:val="00583B0C"/>
    <w:rsid w:val="00584AF2"/>
    <w:rsid w:val="00584D60"/>
    <w:rsid w:val="005852D7"/>
    <w:rsid w:val="0059170B"/>
    <w:rsid w:val="00594B29"/>
    <w:rsid w:val="00595770"/>
    <w:rsid w:val="00595949"/>
    <w:rsid w:val="00595D84"/>
    <w:rsid w:val="005A10EA"/>
    <w:rsid w:val="005A2EF9"/>
    <w:rsid w:val="005A384E"/>
    <w:rsid w:val="005A3B99"/>
    <w:rsid w:val="005A6B09"/>
    <w:rsid w:val="005A6EDD"/>
    <w:rsid w:val="005A73B1"/>
    <w:rsid w:val="005A769E"/>
    <w:rsid w:val="005B164D"/>
    <w:rsid w:val="005B3A10"/>
    <w:rsid w:val="005B420C"/>
    <w:rsid w:val="005B62D7"/>
    <w:rsid w:val="005B7953"/>
    <w:rsid w:val="005B7B6F"/>
    <w:rsid w:val="005C13E1"/>
    <w:rsid w:val="005C5143"/>
    <w:rsid w:val="005C6766"/>
    <w:rsid w:val="005D38D2"/>
    <w:rsid w:val="005D3CE7"/>
    <w:rsid w:val="005D49B8"/>
    <w:rsid w:val="005D7EEB"/>
    <w:rsid w:val="005E25EA"/>
    <w:rsid w:val="005E2A54"/>
    <w:rsid w:val="005E3569"/>
    <w:rsid w:val="005E389C"/>
    <w:rsid w:val="005E47D6"/>
    <w:rsid w:val="005E4FEB"/>
    <w:rsid w:val="005E5DB2"/>
    <w:rsid w:val="005E761A"/>
    <w:rsid w:val="005F02E4"/>
    <w:rsid w:val="005F2FDF"/>
    <w:rsid w:val="005F4445"/>
    <w:rsid w:val="005F6E0D"/>
    <w:rsid w:val="00602A90"/>
    <w:rsid w:val="00605172"/>
    <w:rsid w:val="00605537"/>
    <w:rsid w:val="00605F28"/>
    <w:rsid w:val="006071F4"/>
    <w:rsid w:val="0061046D"/>
    <w:rsid w:val="006110BC"/>
    <w:rsid w:val="0061328E"/>
    <w:rsid w:val="006136E8"/>
    <w:rsid w:val="006159F3"/>
    <w:rsid w:val="0062085C"/>
    <w:rsid w:val="00620F79"/>
    <w:rsid w:val="006212A2"/>
    <w:rsid w:val="00623B36"/>
    <w:rsid w:val="006276B1"/>
    <w:rsid w:val="006277A8"/>
    <w:rsid w:val="0063194E"/>
    <w:rsid w:val="00634B1A"/>
    <w:rsid w:val="00637359"/>
    <w:rsid w:val="00637938"/>
    <w:rsid w:val="00637EBA"/>
    <w:rsid w:val="006401DC"/>
    <w:rsid w:val="006408B1"/>
    <w:rsid w:val="006415F3"/>
    <w:rsid w:val="00643C91"/>
    <w:rsid w:val="00644CB4"/>
    <w:rsid w:val="00645AEF"/>
    <w:rsid w:val="00645C54"/>
    <w:rsid w:val="0064685A"/>
    <w:rsid w:val="006511F7"/>
    <w:rsid w:val="00652D64"/>
    <w:rsid w:val="00653584"/>
    <w:rsid w:val="00653AC9"/>
    <w:rsid w:val="006573C9"/>
    <w:rsid w:val="00657903"/>
    <w:rsid w:val="00660333"/>
    <w:rsid w:val="006634C3"/>
    <w:rsid w:val="0067183D"/>
    <w:rsid w:val="00671EA8"/>
    <w:rsid w:val="00672855"/>
    <w:rsid w:val="00673BA4"/>
    <w:rsid w:val="00674D51"/>
    <w:rsid w:val="00674FC2"/>
    <w:rsid w:val="006753F7"/>
    <w:rsid w:val="006755F1"/>
    <w:rsid w:val="006758B0"/>
    <w:rsid w:val="00682CEC"/>
    <w:rsid w:val="006852D8"/>
    <w:rsid w:val="0068709E"/>
    <w:rsid w:val="006904D4"/>
    <w:rsid w:val="006928B4"/>
    <w:rsid w:val="006943DF"/>
    <w:rsid w:val="006A0C45"/>
    <w:rsid w:val="006A3269"/>
    <w:rsid w:val="006A59B9"/>
    <w:rsid w:val="006A6F5A"/>
    <w:rsid w:val="006B06DF"/>
    <w:rsid w:val="006B1EF1"/>
    <w:rsid w:val="006B3670"/>
    <w:rsid w:val="006B4A39"/>
    <w:rsid w:val="006B501A"/>
    <w:rsid w:val="006B61C4"/>
    <w:rsid w:val="006B6A70"/>
    <w:rsid w:val="006C0CA4"/>
    <w:rsid w:val="006C2D2A"/>
    <w:rsid w:val="006C2D5C"/>
    <w:rsid w:val="006C2E17"/>
    <w:rsid w:val="006C2EF4"/>
    <w:rsid w:val="006C515D"/>
    <w:rsid w:val="006C6732"/>
    <w:rsid w:val="006C6E4C"/>
    <w:rsid w:val="006D14AE"/>
    <w:rsid w:val="006D3922"/>
    <w:rsid w:val="006D71B9"/>
    <w:rsid w:val="006D7C1A"/>
    <w:rsid w:val="006E12E6"/>
    <w:rsid w:val="006E281E"/>
    <w:rsid w:val="006E372D"/>
    <w:rsid w:val="006E39B1"/>
    <w:rsid w:val="006F2CC2"/>
    <w:rsid w:val="006F3985"/>
    <w:rsid w:val="00700455"/>
    <w:rsid w:val="00700DCF"/>
    <w:rsid w:val="00702C5E"/>
    <w:rsid w:val="00704705"/>
    <w:rsid w:val="00707A69"/>
    <w:rsid w:val="00710115"/>
    <w:rsid w:val="00710CE5"/>
    <w:rsid w:val="007115D6"/>
    <w:rsid w:val="00713154"/>
    <w:rsid w:val="00714342"/>
    <w:rsid w:val="00714C54"/>
    <w:rsid w:val="0071715E"/>
    <w:rsid w:val="00720930"/>
    <w:rsid w:val="00720DA3"/>
    <w:rsid w:val="00722490"/>
    <w:rsid w:val="0072484B"/>
    <w:rsid w:val="00724CC4"/>
    <w:rsid w:val="0072599F"/>
    <w:rsid w:val="00727306"/>
    <w:rsid w:val="00727AF4"/>
    <w:rsid w:val="00732778"/>
    <w:rsid w:val="00734635"/>
    <w:rsid w:val="00734692"/>
    <w:rsid w:val="00734F5D"/>
    <w:rsid w:val="00735FAE"/>
    <w:rsid w:val="00736048"/>
    <w:rsid w:val="007379E0"/>
    <w:rsid w:val="00740297"/>
    <w:rsid w:val="00740F89"/>
    <w:rsid w:val="007415ED"/>
    <w:rsid w:val="00742CF3"/>
    <w:rsid w:val="00746AEA"/>
    <w:rsid w:val="0075173D"/>
    <w:rsid w:val="00753C20"/>
    <w:rsid w:val="00753EF6"/>
    <w:rsid w:val="00761731"/>
    <w:rsid w:val="00765F4D"/>
    <w:rsid w:val="007701BF"/>
    <w:rsid w:val="00773319"/>
    <w:rsid w:val="0077347A"/>
    <w:rsid w:val="00774395"/>
    <w:rsid w:val="0077698A"/>
    <w:rsid w:val="00776DA9"/>
    <w:rsid w:val="0078072A"/>
    <w:rsid w:val="00781AFA"/>
    <w:rsid w:val="00783814"/>
    <w:rsid w:val="00784B99"/>
    <w:rsid w:val="007914A5"/>
    <w:rsid w:val="00791686"/>
    <w:rsid w:val="00792A7E"/>
    <w:rsid w:val="00792E61"/>
    <w:rsid w:val="0079567D"/>
    <w:rsid w:val="00797197"/>
    <w:rsid w:val="007A49F1"/>
    <w:rsid w:val="007A65F8"/>
    <w:rsid w:val="007B45B6"/>
    <w:rsid w:val="007B7075"/>
    <w:rsid w:val="007C01F0"/>
    <w:rsid w:val="007C2448"/>
    <w:rsid w:val="007C2475"/>
    <w:rsid w:val="007C44EE"/>
    <w:rsid w:val="007C4FF2"/>
    <w:rsid w:val="007C56EA"/>
    <w:rsid w:val="007D145A"/>
    <w:rsid w:val="007D145C"/>
    <w:rsid w:val="007D1562"/>
    <w:rsid w:val="007D2001"/>
    <w:rsid w:val="007D30B7"/>
    <w:rsid w:val="007D32FF"/>
    <w:rsid w:val="007D3B4A"/>
    <w:rsid w:val="007D5283"/>
    <w:rsid w:val="007E1EA7"/>
    <w:rsid w:val="007E273A"/>
    <w:rsid w:val="007E550C"/>
    <w:rsid w:val="007E5A02"/>
    <w:rsid w:val="007E719D"/>
    <w:rsid w:val="007F2AF2"/>
    <w:rsid w:val="007F4061"/>
    <w:rsid w:val="007F4504"/>
    <w:rsid w:val="007F4AFE"/>
    <w:rsid w:val="007F5541"/>
    <w:rsid w:val="007F5DF5"/>
    <w:rsid w:val="00803B44"/>
    <w:rsid w:val="00805131"/>
    <w:rsid w:val="00810230"/>
    <w:rsid w:val="00810264"/>
    <w:rsid w:val="00810493"/>
    <w:rsid w:val="00812B8D"/>
    <w:rsid w:val="00813D3C"/>
    <w:rsid w:val="00814E3C"/>
    <w:rsid w:val="00815C18"/>
    <w:rsid w:val="008164A5"/>
    <w:rsid w:val="00820EFA"/>
    <w:rsid w:val="00821BEF"/>
    <w:rsid w:val="0082256B"/>
    <w:rsid w:val="00824CC5"/>
    <w:rsid w:val="00830B48"/>
    <w:rsid w:val="00831D0F"/>
    <w:rsid w:val="00833C77"/>
    <w:rsid w:val="008349F0"/>
    <w:rsid w:val="0083539E"/>
    <w:rsid w:val="00835FD6"/>
    <w:rsid w:val="00836E1B"/>
    <w:rsid w:val="008425B3"/>
    <w:rsid w:val="00842C53"/>
    <w:rsid w:val="00850216"/>
    <w:rsid w:val="00852177"/>
    <w:rsid w:val="008538E0"/>
    <w:rsid w:val="0085411D"/>
    <w:rsid w:val="00854810"/>
    <w:rsid w:val="0085577A"/>
    <w:rsid w:val="00862AA8"/>
    <w:rsid w:val="00866521"/>
    <w:rsid w:val="00866C91"/>
    <w:rsid w:val="008700CE"/>
    <w:rsid w:val="0087110C"/>
    <w:rsid w:val="008719D4"/>
    <w:rsid w:val="0087260E"/>
    <w:rsid w:val="00872A14"/>
    <w:rsid w:val="008739A7"/>
    <w:rsid w:val="0087641A"/>
    <w:rsid w:val="008778C6"/>
    <w:rsid w:val="00881811"/>
    <w:rsid w:val="0088232E"/>
    <w:rsid w:val="00882715"/>
    <w:rsid w:val="00883405"/>
    <w:rsid w:val="008836D1"/>
    <w:rsid w:val="00885FE3"/>
    <w:rsid w:val="0089011B"/>
    <w:rsid w:val="00890232"/>
    <w:rsid w:val="00891283"/>
    <w:rsid w:val="0089222F"/>
    <w:rsid w:val="00892A3A"/>
    <w:rsid w:val="00892ED4"/>
    <w:rsid w:val="008946DB"/>
    <w:rsid w:val="00894C2B"/>
    <w:rsid w:val="00896FFD"/>
    <w:rsid w:val="008972A1"/>
    <w:rsid w:val="008A2C5C"/>
    <w:rsid w:val="008A2E5E"/>
    <w:rsid w:val="008A337B"/>
    <w:rsid w:val="008B2241"/>
    <w:rsid w:val="008B2957"/>
    <w:rsid w:val="008B3F21"/>
    <w:rsid w:val="008B5409"/>
    <w:rsid w:val="008B6BA5"/>
    <w:rsid w:val="008B6E1C"/>
    <w:rsid w:val="008B7B32"/>
    <w:rsid w:val="008C0111"/>
    <w:rsid w:val="008C32F3"/>
    <w:rsid w:val="008C4B6D"/>
    <w:rsid w:val="008C54B6"/>
    <w:rsid w:val="008D049D"/>
    <w:rsid w:val="008D2F45"/>
    <w:rsid w:val="008D5F96"/>
    <w:rsid w:val="008D75F7"/>
    <w:rsid w:val="008E60DE"/>
    <w:rsid w:val="008F2D8C"/>
    <w:rsid w:val="008F3136"/>
    <w:rsid w:val="008F51F7"/>
    <w:rsid w:val="008F5C14"/>
    <w:rsid w:val="008F6CCB"/>
    <w:rsid w:val="0090158E"/>
    <w:rsid w:val="00901AF3"/>
    <w:rsid w:val="00901CE5"/>
    <w:rsid w:val="00901F25"/>
    <w:rsid w:val="009040C1"/>
    <w:rsid w:val="00905846"/>
    <w:rsid w:val="00906E9F"/>
    <w:rsid w:val="00907355"/>
    <w:rsid w:val="00912237"/>
    <w:rsid w:val="00912686"/>
    <w:rsid w:val="00913DE5"/>
    <w:rsid w:val="00915C19"/>
    <w:rsid w:val="00917FAE"/>
    <w:rsid w:val="00921ED1"/>
    <w:rsid w:val="00922696"/>
    <w:rsid w:val="00922DB3"/>
    <w:rsid w:val="00923F7C"/>
    <w:rsid w:val="00925B06"/>
    <w:rsid w:val="00926EED"/>
    <w:rsid w:val="009301F1"/>
    <w:rsid w:val="00931735"/>
    <w:rsid w:val="00932359"/>
    <w:rsid w:val="009332B6"/>
    <w:rsid w:val="009336CF"/>
    <w:rsid w:val="00934393"/>
    <w:rsid w:val="00934FDB"/>
    <w:rsid w:val="0093570E"/>
    <w:rsid w:val="0093575C"/>
    <w:rsid w:val="00940772"/>
    <w:rsid w:val="00941046"/>
    <w:rsid w:val="00941B54"/>
    <w:rsid w:val="00941B67"/>
    <w:rsid w:val="0094391C"/>
    <w:rsid w:val="009443A2"/>
    <w:rsid w:val="00945297"/>
    <w:rsid w:val="009476B1"/>
    <w:rsid w:val="00947DF7"/>
    <w:rsid w:val="0095145F"/>
    <w:rsid w:val="00952AF8"/>
    <w:rsid w:val="00953613"/>
    <w:rsid w:val="009544BF"/>
    <w:rsid w:val="009574F5"/>
    <w:rsid w:val="00960D6A"/>
    <w:rsid w:val="009618E9"/>
    <w:rsid w:val="009632D6"/>
    <w:rsid w:val="009633E6"/>
    <w:rsid w:val="009642ED"/>
    <w:rsid w:val="00964F46"/>
    <w:rsid w:val="009654F5"/>
    <w:rsid w:val="00965605"/>
    <w:rsid w:val="009672E4"/>
    <w:rsid w:val="00967692"/>
    <w:rsid w:val="0097149F"/>
    <w:rsid w:val="00972A19"/>
    <w:rsid w:val="009740C0"/>
    <w:rsid w:val="0097417A"/>
    <w:rsid w:val="00974497"/>
    <w:rsid w:val="0097574F"/>
    <w:rsid w:val="00977A7C"/>
    <w:rsid w:val="00981E85"/>
    <w:rsid w:val="0098266A"/>
    <w:rsid w:val="00985593"/>
    <w:rsid w:val="009868FC"/>
    <w:rsid w:val="00986FF2"/>
    <w:rsid w:val="00991265"/>
    <w:rsid w:val="00991332"/>
    <w:rsid w:val="0099173D"/>
    <w:rsid w:val="00993791"/>
    <w:rsid w:val="00993F22"/>
    <w:rsid w:val="0099673B"/>
    <w:rsid w:val="00997573"/>
    <w:rsid w:val="00997D01"/>
    <w:rsid w:val="00997E51"/>
    <w:rsid w:val="009A137A"/>
    <w:rsid w:val="009A139C"/>
    <w:rsid w:val="009A1BE5"/>
    <w:rsid w:val="009A2704"/>
    <w:rsid w:val="009A5FA6"/>
    <w:rsid w:val="009A7E97"/>
    <w:rsid w:val="009B0194"/>
    <w:rsid w:val="009B08F7"/>
    <w:rsid w:val="009B434C"/>
    <w:rsid w:val="009B4A16"/>
    <w:rsid w:val="009B5561"/>
    <w:rsid w:val="009B5A4D"/>
    <w:rsid w:val="009B6465"/>
    <w:rsid w:val="009B7CFA"/>
    <w:rsid w:val="009C105F"/>
    <w:rsid w:val="009C12E5"/>
    <w:rsid w:val="009C4158"/>
    <w:rsid w:val="009C627E"/>
    <w:rsid w:val="009C6A0D"/>
    <w:rsid w:val="009C6F51"/>
    <w:rsid w:val="009D1437"/>
    <w:rsid w:val="009D158C"/>
    <w:rsid w:val="009D335E"/>
    <w:rsid w:val="009D3620"/>
    <w:rsid w:val="009D3A88"/>
    <w:rsid w:val="009D428F"/>
    <w:rsid w:val="009D5659"/>
    <w:rsid w:val="009E0A7C"/>
    <w:rsid w:val="009E2B2D"/>
    <w:rsid w:val="009E2F3E"/>
    <w:rsid w:val="009E55A7"/>
    <w:rsid w:val="009E58C8"/>
    <w:rsid w:val="009F0F87"/>
    <w:rsid w:val="009F626B"/>
    <w:rsid w:val="009F68A1"/>
    <w:rsid w:val="00A00406"/>
    <w:rsid w:val="00A006C7"/>
    <w:rsid w:val="00A01EC2"/>
    <w:rsid w:val="00A03AA4"/>
    <w:rsid w:val="00A048A3"/>
    <w:rsid w:val="00A054C7"/>
    <w:rsid w:val="00A0620A"/>
    <w:rsid w:val="00A06BC7"/>
    <w:rsid w:val="00A07656"/>
    <w:rsid w:val="00A11695"/>
    <w:rsid w:val="00A13839"/>
    <w:rsid w:val="00A1619F"/>
    <w:rsid w:val="00A16E41"/>
    <w:rsid w:val="00A179EB"/>
    <w:rsid w:val="00A212A8"/>
    <w:rsid w:val="00A213ED"/>
    <w:rsid w:val="00A227FD"/>
    <w:rsid w:val="00A232A9"/>
    <w:rsid w:val="00A244A9"/>
    <w:rsid w:val="00A252DC"/>
    <w:rsid w:val="00A259CF"/>
    <w:rsid w:val="00A26D34"/>
    <w:rsid w:val="00A27AE7"/>
    <w:rsid w:val="00A27EC6"/>
    <w:rsid w:val="00A312AD"/>
    <w:rsid w:val="00A320CD"/>
    <w:rsid w:val="00A33D84"/>
    <w:rsid w:val="00A358F1"/>
    <w:rsid w:val="00A363AD"/>
    <w:rsid w:val="00A44350"/>
    <w:rsid w:val="00A4464E"/>
    <w:rsid w:val="00A44E3B"/>
    <w:rsid w:val="00A5003A"/>
    <w:rsid w:val="00A505D5"/>
    <w:rsid w:val="00A513E9"/>
    <w:rsid w:val="00A534C9"/>
    <w:rsid w:val="00A53AF2"/>
    <w:rsid w:val="00A54614"/>
    <w:rsid w:val="00A548F7"/>
    <w:rsid w:val="00A55733"/>
    <w:rsid w:val="00A5606C"/>
    <w:rsid w:val="00A56A2F"/>
    <w:rsid w:val="00A60DC2"/>
    <w:rsid w:val="00A61FBD"/>
    <w:rsid w:val="00A63B46"/>
    <w:rsid w:val="00A63BEA"/>
    <w:rsid w:val="00A644C7"/>
    <w:rsid w:val="00A67382"/>
    <w:rsid w:val="00A71B74"/>
    <w:rsid w:val="00A71DC9"/>
    <w:rsid w:val="00A73130"/>
    <w:rsid w:val="00A73EDE"/>
    <w:rsid w:val="00A747DA"/>
    <w:rsid w:val="00A77B9A"/>
    <w:rsid w:val="00A802CB"/>
    <w:rsid w:val="00A809C3"/>
    <w:rsid w:val="00A8163C"/>
    <w:rsid w:val="00A81F08"/>
    <w:rsid w:val="00A83642"/>
    <w:rsid w:val="00A84700"/>
    <w:rsid w:val="00A85269"/>
    <w:rsid w:val="00A87E23"/>
    <w:rsid w:val="00A90022"/>
    <w:rsid w:val="00A910B4"/>
    <w:rsid w:val="00A92600"/>
    <w:rsid w:val="00A929BA"/>
    <w:rsid w:val="00A930A0"/>
    <w:rsid w:val="00A936B1"/>
    <w:rsid w:val="00A956D1"/>
    <w:rsid w:val="00A97897"/>
    <w:rsid w:val="00AA0527"/>
    <w:rsid w:val="00AA05EF"/>
    <w:rsid w:val="00AA18C5"/>
    <w:rsid w:val="00AA1EA3"/>
    <w:rsid w:val="00AA2E46"/>
    <w:rsid w:val="00AA4F6F"/>
    <w:rsid w:val="00AA5223"/>
    <w:rsid w:val="00AA7873"/>
    <w:rsid w:val="00AB1C43"/>
    <w:rsid w:val="00AB221A"/>
    <w:rsid w:val="00AB29B9"/>
    <w:rsid w:val="00AB29ED"/>
    <w:rsid w:val="00AB3110"/>
    <w:rsid w:val="00AB4616"/>
    <w:rsid w:val="00AC02E2"/>
    <w:rsid w:val="00AC14D2"/>
    <w:rsid w:val="00AC15BF"/>
    <w:rsid w:val="00AD1015"/>
    <w:rsid w:val="00AD2123"/>
    <w:rsid w:val="00AD263F"/>
    <w:rsid w:val="00AD594C"/>
    <w:rsid w:val="00AD6814"/>
    <w:rsid w:val="00AD6D0B"/>
    <w:rsid w:val="00AE34F1"/>
    <w:rsid w:val="00AF4E1E"/>
    <w:rsid w:val="00AF6177"/>
    <w:rsid w:val="00B0505F"/>
    <w:rsid w:val="00B05C43"/>
    <w:rsid w:val="00B0701F"/>
    <w:rsid w:val="00B07244"/>
    <w:rsid w:val="00B1021F"/>
    <w:rsid w:val="00B11FF5"/>
    <w:rsid w:val="00B1371A"/>
    <w:rsid w:val="00B15052"/>
    <w:rsid w:val="00B21E94"/>
    <w:rsid w:val="00B22A55"/>
    <w:rsid w:val="00B26028"/>
    <w:rsid w:val="00B271C5"/>
    <w:rsid w:val="00B3178F"/>
    <w:rsid w:val="00B320BE"/>
    <w:rsid w:val="00B32860"/>
    <w:rsid w:val="00B328ED"/>
    <w:rsid w:val="00B3318F"/>
    <w:rsid w:val="00B3799C"/>
    <w:rsid w:val="00B37F0F"/>
    <w:rsid w:val="00B41701"/>
    <w:rsid w:val="00B4321A"/>
    <w:rsid w:val="00B45915"/>
    <w:rsid w:val="00B45FD2"/>
    <w:rsid w:val="00B51DB4"/>
    <w:rsid w:val="00B52826"/>
    <w:rsid w:val="00B53C26"/>
    <w:rsid w:val="00B56A45"/>
    <w:rsid w:val="00B56A55"/>
    <w:rsid w:val="00B60530"/>
    <w:rsid w:val="00B62654"/>
    <w:rsid w:val="00B636A4"/>
    <w:rsid w:val="00B6729F"/>
    <w:rsid w:val="00B700DB"/>
    <w:rsid w:val="00B70669"/>
    <w:rsid w:val="00B70AEF"/>
    <w:rsid w:val="00B71203"/>
    <w:rsid w:val="00B71DC8"/>
    <w:rsid w:val="00B732D1"/>
    <w:rsid w:val="00B75585"/>
    <w:rsid w:val="00B806AB"/>
    <w:rsid w:val="00B80AD4"/>
    <w:rsid w:val="00B80B14"/>
    <w:rsid w:val="00B8183A"/>
    <w:rsid w:val="00B849BD"/>
    <w:rsid w:val="00B84DD7"/>
    <w:rsid w:val="00B854E6"/>
    <w:rsid w:val="00B85E75"/>
    <w:rsid w:val="00B8737A"/>
    <w:rsid w:val="00B9045C"/>
    <w:rsid w:val="00B9159A"/>
    <w:rsid w:val="00B9248E"/>
    <w:rsid w:val="00B95E09"/>
    <w:rsid w:val="00B971EF"/>
    <w:rsid w:val="00BA362C"/>
    <w:rsid w:val="00BA6C0D"/>
    <w:rsid w:val="00BB19FE"/>
    <w:rsid w:val="00BB3751"/>
    <w:rsid w:val="00BB3952"/>
    <w:rsid w:val="00BB39D0"/>
    <w:rsid w:val="00BB480C"/>
    <w:rsid w:val="00BB6DB7"/>
    <w:rsid w:val="00BB78BF"/>
    <w:rsid w:val="00BB7A50"/>
    <w:rsid w:val="00BC0132"/>
    <w:rsid w:val="00BC0214"/>
    <w:rsid w:val="00BC4F6C"/>
    <w:rsid w:val="00BC595E"/>
    <w:rsid w:val="00BC5CC4"/>
    <w:rsid w:val="00BC61CE"/>
    <w:rsid w:val="00BC6A65"/>
    <w:rsid w:val="00BD3062"/>
    <w:rsid w:val="00BD3B4F"/>
    <w:rsid w:val="00BE0534"/>
    <w:rsid w:val="00BE4354"/>
    <w:rsid w:val="00BE6DF3"/>
    <w:rsid w:val="00BE795B"/>
    <w:rsid w:val="00BF0831"/>
    <w:rsid w:val="00BF1BA8"/>
    <w:rsid w:val="00BF1D3E"/>
    <w:rsid w:val="00BF3364"/>
    <w:rsid w:val="00BF35D3"/>
    <w:rsid w:val="00BF4656"/>
    <w:rsid w:val="00BF68EB"/>
    <w:rsid w:val="00C00FB0"/>
    <w:rsid w:val="00C013FC"/>
    <w:rsid w:val="00C017E5"/>
    <w:rsid w:val="00C02443"/>
    <w:rsid w:val="00C03200"/>
    <w:rsid w:val="00C0378D"/>
    <w:rsid w:val="00C04C92"/>
    <w:rsid w:val="00C06779"/>
    <w:rsid w:val="00C11ECA"/>
    <w:rsid w:val="00C12FA7"/>
    <w:rsid w:val="00C131E5"/>
    <w:rsid w:val="00C14173"/>
    <w:rsid w:val="00C20093"/>
    <w:rsid w:val="00C233D7"/>
    <w:rsid w:val="00C24FDC"/>
    <w:rsid w:val="00C2532E"/>
    <w:rsid w:val="00C25D0F"/>
    <w:rsid w:val="00C25EAE"/>
    <w:rsid w:val="00C301B3"/>
    <w:rsid w:val="00C305FD"/>
    <w:rsid w:val="00C30B3E"/>
    <w:rsid w:val="00C315CB"/>
    <w:rsid w:val="00C31F86"/>
    <w:rsid w:val="00C32003"/>
    <w:rsid w:val="00C32835"/>
    <w:rsid w:val="00C33B42"/>
    <w:rsid w:val="00C342A6"/>
    <w:rsid w:val="00C3536C"/>
    <w:rsid w:val="00C3546D"/>
    <w:rsid w:val="00C3718B"/>
    <w:rsid w:val="00C40114"/>
    <w:rsid w:val="00C40EAC"/>
    <w:rsid w:val="00C4352E"/>
    <w:rsid w:val="00C43FDE"/>
    <w:rsid w:val="00C44AAB"/>
    <w:rsid w:val="00C458B7"/>
    <w:rsid w:val="00C45F4D"/>
    <w:rsid w:val="00C51305"/>
    <w:rsid w:val="00C525EC"/>
    <w:rsid w:val="00C52EF6"/>
    <w:rsid w:val="00C54EC0"/>
    <w:rsid w:val="00C605F7"/>
    <w:rsid w:val="00C62182"/>
    <w:rsid w:val="00C645B3"/>
    <w:rsid w:val="00C65686"/>
    <w:rsid w:val="00C672AD"/>
    <w:rsid w:val="00C67340"/>
    <w:rsid w:val="00C67A34"/>
    <w:rsid w:val="00C73476"/>
    <w:rsid w:val="00C750C2"/>
    <w:rsid w:val="00C7520A"/>
    <w:rsid w:val="00C75DF1"/>
    <w:rsid w:val="00C80AF3"/>
    <w:rsid w:val="00C80B7A"/>
    <w:rsid w:val="00C8442A"/>
    <w:rsid w:val="00C845B3"/>
    <w:rsid w:val="00C86B50"/>
    <w:rsid w:val="00C86D97"/>
    <w:rsid w:val="00C87D3A"/>
    <w:rsid w:val="00C911F6"/>
    <w:rsid w:val="00C92CB2"/>
    <w:rsid w:val="00C93908"/>
    <w:rsid w:val="00C93D75"/>
    <w:rsid w:val="00C93DAF"/>
    <w:rsid w:val="00C9520C"/>
    <w:rsid w:val="00C96EB4"/>
    <w:rsid w:val="00C9723B"/>
    <w:rsid w:val="00C97D40"/>
    <w:rsid w:val="00CA191F"/>
    <w:rsid w:val="00CA1A48"/>
    <w:rsid w:val="00CA335A"/>
    <w:rsid w:val="00CA33E0"/>
    <w:rsid w:val="00CA34D2"/>
    <w:rsid w:val="00CA37AB"/>
    <w:rsid w:val="00CA3D04"/>
    <w:rsid w:val="00CA56CC"/>
    <w:rsid w:val="00CA60DD"/>
    <w:rsid w:val="00CA6C71"/>
    <w:rsid w:val="00CA75E8"/>
    <w:rsid w:val="00CB02B4"/>
    <w:rsid w:val="00CB046D"/>
    <w:rsid w:val="00CB200C"/>
    <w:rsid w:val="00CB201F"/>
    <w:rsid w:val="00CB3054"/>
    <w:rsid w:val="00CB3746"/>
    <w:rsid w:val="00CB6411"/>
    <w:rsid w:val="00CB7D78"/>
    <w:rsid w:val="00CC0AA2"/>
    <w:rsid w:val="00CC2370"/>
    <w:rsid w:val="00CC307C"/>
    <w:rsid w:val="00CC3F8C"/>
    <w:rsid w:val="00CC5786"/>
    <w:rsid w:val="00CC57D3"/>
    <w:rsid w:val="00CC73D6"/>
    <w:rsid w:val="00CC7CBA"/>
    <w:rsid w:val="00CC7DC7"/>
    <w:rsid w:val="00CD4A93"/>
    <w:rsid w:val="00CD64B3"/>
    <w:rsid w:val="00CD7F99"/>
    <w:rsid w:val="00CE18D3"/>
    <w:rsid w:val="00CE1F21"/>
    <w:rsid w:val="00CE2EEE"/>
    <w:rsid w:val="00CE4ED3"/>
    <w:rsid w:val="00CE5D4F"/>
    <w:rsid w:val="00CE71DD"/>
    <w:rsid w:val="00CF0985"/>
    <w:rsid w:val="00CF0EB4"/>
    <w:rsid w:val="00CF0EF3"/>
    <w:rsid w:val="00CF17D9"/>
    <w:rsid w:val="00CF6317"/>
    <w:rsid w:val="00CF7358"/>
    <w:rsid w:val="00CF7440"/>
    <w:rsid w:val="00CF7C22"/>
    <w:rsid w:val="00D006BD"/>
    <w:rsid w:val="00D01098"/>
    <w:rsid w:val="00D03675"/>
    <w:rsid w:val="00D051AC"/>
    <w:rsid w:val="00D07A71"/>
    <w:rsid w:val="00D105C7"/>
    <w:rsid w:val="00D130E2"/>
    <w:rsid w:val="00D17716"/>
    <w:rsid w:val="00D20641"/>
    <w:rsid w:val="00D20CA3"/>
    <w:rsid w:val="00D219FB"/>
    <w:rsid w:val="00D21FAF"/>
    <w:rsid w:val="00D24CC7"/>
    <w:rsid w:val="00D304E5"/>
    <w:rsid w:val="00D30C1E"/>
    <w:rsid w:val="00D3134E"/>
    <w:rsid w:val="00D31D43"/>
    <w:rsid w:val="00D325D8"/>
    <w:rsid w:val="00D32DC3"/>
    <w:rsid w:val="00D337CE"/>
    <w:rsid w:val="00D34993"/>
    <w:rsid w:val="00D358ED"/>
    <w:rsid w:val="00D36F5F"/>
    <w:rsid w:val="00D3794D"/>
    <w:rsid w:val="00D37F99"/>
    <w:rsid w:val="00D409BA"/>
    <w:rsid w:val="00D43111"/>
    <w:rsid w:val="00D44CC7"/>
    <w:rsid w:val="00D45927"/>
    <w:rsid w:val="00D50825"/>
    <w:rsid w:val="00D50F1B"/>
    <w:rsid w:val="00D5192B"/>
    <w:rsid w:val="00D5226B"/>
    <w:rsid w:val="00D5401A"/>
    <w:rsid w:val="00D54AF9"/>
    <w:rsid w:val="00D559F3"/>
    <w:rsid w:val="00D60258"/>
    <w:rsid w:val="00D63049"/>
    <w:rsid w:val="00D64240"/>
    <w:rsid w:val="00D669C2"/>
    <w:rsid w:val="00D72AE0"/>
    <w:rsid w:val="00D7309E"/>
    <w:rsid w:val="00D73CFD"/>
    <w:rsid w:val="00D76B1B"/>
    <w:rsid w:val="00D812DF"/>
    <w:rsid w:val="00D818D9"/>
    <w:rsid w:val="00D81E3D"/>
    <w:rsid w:val="00D83671"/>
    <w:rsid w:val="00D842E9"/>
    <w:rsid w:val="00D84744"/>
    <w:rsid w:val="00D84868"/>
    <w:rsid w:val="00D84E1A"/>
    <w:rsid w:val="00D8642A"/>
    <w:rsid w:val="00D8725F"/>
    <w:rsid w:val="00D92A87"/>
    <w:rsid w:val="00D92F84"/>
    <w:rsid w:val="00D95F78"/>
    <w:rsid w:val="00D9656E"/>
    <w:rsid w:val="00D96B71"/>
    <w:rsid w:val="00D97F5F"/>
    <w:rsid w:val="00DA4399"/>
    <w:rsid w:val="00DA7349"/>
    <w:rsid w:val="00DB256F"/>
    <w:rsid w:val="00DB5236"/>
    <w:rsid w:val="00DB6263"/>
    <w:rsid w:val="00DB69A6"/>
    <w:rsid w:val="00DC2363"/>
    <w:rsid w:val="00DC2F76"/>
    <w:rsid w:val="00DC3ABD"/>
    <w:rsid w:val="00DC3BBD"/>
    <w:rsid w:val="00DC444D"/>
    <w:rsid w:val="00DC5DA5"/>
    <w:rsid w:val="00DD062B"/>
    <w:rsid w:val="00DD0862"/>
    <w:rsid w:val="00DD13EC"/>
    <w:rsid w:val="00DD1548"/>
    <w:rsid w:val="00DD28AF"/>
    <w:rsid w:val="00DD2BE8"/>
    <w:rsid w:val="00DD38CA"/>
    <w:rsid w:val="00DD45A8"/>
    <w:rsid w:val="00DD5BBA"/>
    <w:rsid w:val="00DD60C4"/>
    <w:rsid w:val="00DE2146"/>
    <w:rsid w:val="00DE2277"/>
    <w:rsid w:val="00DE3317"/>
    <w:rsid w:val="00DE45FF"/>
    <w:rsid w:val="00DE72B3"/>
    <w:rsid w:val="00DE73CF"/>
    <w:rsid w:val="00DF0A7D"/>
    <w:rsid w:val="00DF160B"/>
    <w:rsid w:val="00DF381F"/>
    <w:rsid w:val="00DF3FE7"/>
    <w:rsid w:val="00DF5EEF"/>
    <w:rsid w:val="00DF7B93"/>
    <w:rsid w:val="00E01529"/>
    <w:rsid w:val="00E047A6"/>
    <w:rsid w:val="00E04B59"/>
    <w:rsid w:val="00E0632C"/>
    <w:rsid w:val="00E0650E"/>
    <w:rsid w:val="00E117B9"/>
    <w:rsid w:val="00E129E7"/>
    <w:rsid w:val="00E173CA"/>
    <w:rsid w:val="00E206AA"/>
    <w:rsid w:val="00E23D34"/>
    <w:rsid w:val="00E24769"/>
    <w:rsid w:val="00E248C1"/>
    <w:rsid w:val="00E26DCB"/>
    <w:rsid w:val="00E314C3"/>
    <w:rsid w:val="00E328FB"/>
    <w:rsid w:val="00E33387"/>
    <w:rsid w:val="00E370E6"/>
    <w:rsid w:val="00E37646"/>
    <w:rsid w:val="00E37720"/>
    <w:rsid w:val="00E41607"/>
    <w:rsid w:val="00E42468"/>
    <w:rsid w:val="00E42FEA"/>
    <w:rsid w:val="00E4447E"/>
    <w:rsid w:val="00E4619D"/>
    <w:rsid w:val="00E462CE"/>
    <w:rsid w:val="00E51DE6"/>
    <w:rsid w:val="00E531C5"/>
    <w:rsid w:val="00E56DD5"/>
    <w:rsid w:val="00E60229"/>
    <w:rsid w:val="00E62104"/>
    <w:rsid w:val="00E63C6B"/>
    <w:rsid w:val="00E652FE"/>
    <w:rsid w:val="00E659AD"/>
    <w:rsid w:val="00E70E8E"/>
    <w:rsid w:val="00E7221E"/>
    <w:rsid w:val="00E7248E"/>
    <w:rsid w:val="00E72A30"/>
    <w:rsid w:val="00E72DAF"/>
    <w:rsid w:val="00E74E3A"/>
    <w:rsid w:val="00E74E69"/>
    <w:rsid w:val="00E75C5A"/>
    <w:rsid w:val="00E762B7"/>
    <w:rsid w:val="00E80255"/>
    <w:rsid w:val="00E80422"/>
    <w:rsid w:val="00E820C0"/>
    <w:rsid w:val="00E83A9B"/>
    <w:rsid w:val="00E86990"/>
    <w:rsid w:val="00E87425"/>
    <w:rsid w:val="00E87F0F"/>
    <w:rsid w:val="00E91245"/>
    <w:rsid w:val="00E91438"/>
    <w:rsid w:val="00E93B9C"/>
    <w:rsid w:val="00E93BD9"/>
    <w:rsid w:val="00E95335"/>
    <w:rsid w:val="00E957FD"/>
    <w:rsid w:val="00E9597E"/>
    <w:rsid w:val="00E95A13"/>
    <w:rsid w:val="00E96921"/>
    <w:rsid w:val="00EA008D"/>
    <w:rsid w:val="00EA247B"/>
    <w:rsid w:val="00EA6354"/>
    <w:rsid w:val="00EA65A9"/>
    <w:rsid w:val="00EB014A"/>
    <w:rsid w:val="00EB0608"/>
    <w:rsid w:val="00EB090E"/>
    <w:rsid w:val="00EB1846"/>
    <w:rsid w:val="00EB238B"/>
    <w:rsid w:val="00EB3703"/>
    <w:rsid w:val="00EB4068"/>
    <w:rsid w:val="00EB4AC6"/>
    <w:rsid w:val="00EB4CEB"/>
    <w:rsid w:val="00EB6BC4"/>
    <w:rsid w:val="00EB7AEA"/>
    <w:rsid w:val="00EC29CB"/>
    <w:rsid w:val="00EC76EF"/>
    <w:rsid w:val="00ED030A"/>
    <w:rsid w:val="00ED186D"/>
    <w:rsid w:val="00ED3344"/>
    <w:rsid w:val="00ED45CB"/>
    <w:rsid w:val="00ED4CE8"/>
    <w:rsid w:val="00ED5E8E"/>
    <w:rsid w:val="00ED5FAB"/>
    <w:rsid w:val="00ED7C3F"/>
    <w:rsid w:val="00EE1A0C"/>
    <w:rsid w:val="00EE1A94"/>
    <w:rsid w:val="00EE2401"/>
    <w:rsid w:val="00EE2C24"/>
    <w:rsid w:val="00EE36B7"/>
    <w:rsid w:val="00EE4CD7"/>
    <w:rsid w:val="00EE57B1"/>
    <w:rsid w:val="00EF2921"/>
    <w:rsid w:val="00EF3337"/>
    <w:rsid w:val="00EF4030"/>
    <w:rsid w:val="00EF4B3D"/>
    <w:rsid w:val="00EF5431"/>
    <w:rsid w:val="00EF61B3"/>
    <w:rsid w:val="00F00A4E"/>
    <w:rsid w:val="00F01E58"/>
    <w:rsid w:val="00F020BD"/>
    <w:rsid w:val="00F032A9"/>
    <w:rsid w:val="00F1053D"/>
    <w:rsid w:val="00F11E6B"/>
    <w:rsid w:val="00F2072B"/>
    <w:rsid w:val="00F21B50"/>
    <w:rsid w:val="00F235DA"/>
    <w:rsid w:val="00F23631"/>
    <w:rsid w:val="00F236C4"/>
    <w:rsid w:val="00F23D53"/>
    <w:rsid w:val="00F25F45"/>
    <w:rsid w:val="00F262B7"/>
    <w:rsid w:val="00F279C2"/>
    <w:rsid w:val="00F32651"/>
    <w:rsid w:val="00F3322C"/>
    <w:rsid w:val="00F343C5"/>
    <w:rsid w:val="00F358FA"/>
    <w:rsid w:val="00F36917"/>
    <w:rsid w:val="00F37A53"/>
    <w:rsid w:val="00F412BE"/>
    <w:rsid w:val="00F41965"/>
    <w:rsid w:val="00F41C22"/>
    <w:rsid w:val="00F43D1A"/>
    <w:rsid w:val="00F4426C"/>
    <w:rsid w:val="00F4593C"/>
    <w:rsid w:val="00F50B26"/>
    <w:rsid w:val="00F52417"/>
    <w:rsid w:val="00F55952"/>
    <w:rsid w:val="00F56200"/>
    <w:rsid w:val="00F61C5C"/>
    <w:rsid w:val="00F64637"/>
    <w:rsid w:val="00F65EA1"/>
    <w:rsid w:val="00F66F85"/>
    <w:rsid w:val="00F6748C"/>
    <w:rsid w:val="00F6750B"/>
    <w:rsid w:val="00F708DF"/>
    <w:rsid w:val="00F726C9"/>
    <w:rsid w:val="00F73E13"/>
    <w:rsid w:val="00F76265"/>
    <w:rsid w:val="00F768EE"/>
    <w:rsid w:val="00F76C02"/>
    <w:rsid w:val="00F806D7"/>
    <w:rsid w:val="00F80F8B"/>
    <w:rsid w:val="00F8132D"/>
    <w:rsid w:val="00F818F6"/>
    <w:rsid w:val="00F8257B"/>
    <w:rsid w:val="00F82CC6"/>
    <w:rsid w:val="00F84D08"/>
    <w:rsid w:val="00F8522A"/>
    <w:rsid w:val="00F8659F"/>
    <w:rsid w:val="00F8677A"/>
    <w:rsid w:val="00F90266"/>
    <w:rsid w:val="00F92C05"/>
    <w:rsid w:val="00F943C7"/>
    <w:rsid w:val="00FA01F2"/>
    <w:rsid w:val="00FA36E8"/>
    <w:rsid w:val="00FA5D04"/>
    <w:rsid w:val="00FB3840"/>
    <w:rsid w:val="00FB5628"/>
    <w:rsid w:val="00FB577A"/>
    <w:rsid w:val="00FC085C"/>
    <w:rsid w:val="00FC12C8"/>
    <w:rsid w:val="00FC3461"/>
    <w:rsid w:val="00FC4A16"/>
    <w:rsid w:val="00FC4CC5"/>
    <w:rsid w:val="00FC5B06"/>
    <w:rsid w:val="00FC7DAF"/>
    <w:rsid w:val="00FD0925"/>
    <w:rsid w:val="00FD0A9F"/>
    <w:rsid w:val="00FD3E86"/>
    <w:rsid w:val="00FD426F"/>
    <w:rsid w:val="00FD4DF2"/>
    <w:rsid w:val="00FD4F88"/>
    <w:rsid w:val="00FD50B3"/>
    <w:rsid w:val="00FD79D2"/>
    <w:rsid w:val="00FE0769"/>
    <w:rsid w:val="00FE08D6"/>
    <w:rsid w:val="00FE352F"/>
    <w:rsid w:val="00FE760D"/>
    <w:rsid w:val="00FF0580"/>
    <w:rsid w:val="00FF2F2C"/>
    <w:rsid w:val="00FF3C2D"/>
    <w:rsid w:val="00FF410E"/>
    <w:rsid w:val="00FF552C"/>
    <w:rsid w:val="00FF5DB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06CE3F"/>
  <w15:chartTrackingRefBased/>
  <w15:docId w15:val="{6EDCCA57-3ED0-4F2F-897F-F2F6A630C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47E51"/>
    <w:pPr>
      <w:spacing w:line="480" w:lineRule="auto"/>
      <w:contextualSpacing/>
    </w:pPr>
    <w:rPr>
      <w:rFonts w:ascii="Times New Roman" w:hAnsi="Times New Roman"/>
      <w:lang w:val="en-GB"/>
    </w:rPr>
  </w:style>
  <w:style w:type="paragraph" w:styleId="Titolo1">
    <w:name w:val="heading 1"/>
    <w:basedOn w:val="Normale"/>
    <w:next w:val="Normale"/>
    <w:link w:val="Titolo1Carattere"/>
    <w:uiPriority w:val="9"/>
    <w:qFormat/>
    <w:rsid w:val="00C92CB2"/>
    <w:pPr>
      <w:keepNext/>
      <w:keepLines/>
      <w:spacing w:before="240" w:after="0"/>
      <w:outlineLvl w:val="0"/>
    </w:pPr>
    <w:rPr>
      <w:rFonts w:eastAsiaTheme="majorEastAsia" w:cstheme="majorBidi"/>
      <w:color w:val="000000" w:themeColor="text1"/>
      <w:sz w:val="32"/>
      <w:szCs w:val="32"/>
    </w:rPr>
  </w:style>
  <w:style w:type="paragraph" w:styleId="Titolo2">
    <w:name w:val="heading 2"/>
    <w:basedOn w:val="Normale"/>
    <w:next w:val="Normale"/>
    <w:link w:val="Titolo2Carattere"/>
    <w:uiPriority w:val="9"/>
    <w:unhideWhenUsed/>
    <w:qFormat/>
    <w:rsid w:val="00C92CB2"/>
    <w:pPr>
      <w:keepNext/>
      <w:keepLines/>
      <w:spacing w:before="40" w:after="0"/>
      <w:outlineLvl w:val="1"/>
    </w:pPr>
    <w:rPr>
      <w:rFonts w:eastAsiaTheme="majorEastAsia" w:cstheme="majorBidi"/>
      <w:sz w:val="26"/>
      <w:szCs w:val="26"/>
    </w:rPr>
  </w:style>
  <w:style w:type="paragraph" w:styleId="Titolo3">
    <w:name w:val="heading 3"/>
    <w:basedOn w:val="Normale"/>
    <w:next w:val="Normale"/>
    <w:link w:val="Titolo3Carattere"/>
    <w:uiPriority w:val="9"/>
    <w:unhideWhenUsed/>
    <w:qFormat/>
    <w:rsid w:val="00F64637"/>
    <w:pPr>
      <w:keepNext/>
      <w:keepLines/>
      <w:spacing w:before="40" w:after="0"/>
      <w:outlineLvl w:val="2"/>
    </w:pPr>
    <w:rPr>
      <w:rFonts w:eastAsiaTheme="majorEastAsia" w:cstheme="majorBidi"/>
      <w:i/>
      <w:sz w:val="24"/>
      <w:szCs w:val="24"/>
    </w:rPr>
  </w:style>
  <w:style w:type="paragraph" w:styleId="Titolo4">
    <w:name w:val="heading 4"/>
    <w:basedOn w:val="Normale"/>
    <w:next w:val="Normale"/>
    <w:link w:val="Titolo4Carattere"/>
    <w:uiPriority w:val="9"/>
    <w:unhideWhenUsed/>
    <w:qFormat/>
    <w:rsid w:val="00AB1C43"/>
    <w:pPr>
      <w:keepNext/>
      <w:keepLines/>
      <w:spacing w:before="40" w:after="0"/>
      <w:outlineLvl w:val="3"/>
    </w:pPr>
    <w:rPr>
      <w:rFonts w:eastAsiaTheme="majorEastAsia" w:cstheme="majorBidi"/>
      <w:i/>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92CB2"/>
    <w:rPr>
      <w:rFonts w:ascii="Times New Roman" w:eastAsiaTheme="majorEastAsia" w:hAnsi="Times New Roman" w:cstheme="majorBidi"/>
      <w:color w:val="000000" w:themeColor="text1"/>
      <w:sz w:val="32"/>
      <w:szCs w:val="32"/>
      <w:lang w:val="en-GB"/>
    </w:rPr>
  </w:style>
  <w:style w:type="character" w:customStyle="1" w:styleId="Titolo2Carattere">
    <w:name w:val="Titolo 2 Carattere"/>
    <w:basedOn w:val="Carpredefinitoparagrafo"/>
    <w:link w:val="Titolo2"/>
    <w:uiPriority w:val="9"/>
    <w:rsid w:val="00C92CB2"/>
    <w:rPr>
      <w:rFonts w:ascii="Times New Roman" w:eastAsiaTheme="majorEastAsia" w:hAnsi="Times New Roman" w:cstheme="majorBidi"/>
      <w:sz w:val="26"/>
      <w:szCs w:val="26"/>
      <w:lang w:val="en-GB"/>
    </w:rPr>
  </w:style>
  <w:style w:type="character" w:customStyle="1" w:styleId="Titolo3Carattere">
    <w:name w:val="Titolo 3 Carattere"/>
    <w:basedOn w:val="Carpredefinitoparagrafo"/>
    <w:link w:val="Titolo3"/>
    <w:uiPriority w:val="9"/>
    <w:rsid w:val="00F64637"/>
    <w:rPr>
      <w:rFonts w:ascii="Times New Roman" w:eastAsiaTheme="majorEastAsia" w:hAnsi="Times New Roman" w:cstheme="majorBidi"/>
      <w:i/>
      <w:sz w:val="24"/>
      <w:szCs w:val="24"/>
      <w:lang w:val="en-GB"/>
    </w:rPr>
  </w:style>
  <w:style w:type="character" w:styleId="Collegamentoipertestuale">
    <w:name w:val="Hyperlink"/>
    <w:basedOn w:val="Carpredefinitoparagrafo"/>
    <w:uiPriority w:val="99"/>
    <w:unhideWhenUsed/>
    <w:rsid w:val="002E703A"/>
    <w:rPr>
      <w:color w:val="0563C1" w:themeColor="hyperlink"/>
      <w:u w:val="single"/>
    </w:rPr>
  </w:style>
  <w:style w:type="character" w:styleId="Menzionenonrisolta">
    <w:name w:val="Unresolved Mention"/>
    <w:basedOn w:val="Carpredefinitoparagrafo"/>
    <w:uiPriority w:val="99"/>
    <w:semiHidden/>
    <w:unhideWhenUsed/>
    <w:rsid w:val="002E703A"/>
    <w:rPr>
      <w:color w:val="605E5C"/>
      <w:shd w:val="clear" w:color="auto" w:fill="E1DFDD"/>
    </w:rPr>
  </w:style>
  <w:style w:type="paragraph" w:styleId="Paragrafoelenco">
    <w:name w:val="List Paragraph"/>
    <w:basedOn w:val="Normale"/>
    <w:uiPriority w:val="34"/>
    <w:qFormat/>
    <w:rsid w:val="002E703A"/>
    <w:pPr>
      <w:ind w:left="720"/>
    </w:pPr>
  </w:style>
  <w:style w:type="paragraph" w:styleId="Titolo">
    <w:name w:val="Title"/>
    <w:basedOn w:val="Normale"/>
    <w:next w:val="Normale"/>
    <w:link w:val="TitoloCarattere"/>
    <w:uiPriority w:val="10"/>
    <w:qFormat/>
    <w:rsid w:val="00C92CB2"/>
    <w:pPr>
      <w:spacing w:after="0" w:line="240" w:lineRule="auto"/>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92CB2"/>
    <w:rPr>
      <w:rFonts w:asciiTheme="majorHAnsi" w:eastAsiaTheme="majorEastAsia" w:hAnsiTheme="majorHAnsi" w:cstheme="majorBidi"/>
      <w:spacing w:val="-10"/>
      <w:kern w:val="28"/>
      <w:sz w:val="56"/>
      <w:szCs w:val="56"/>
      <w:lang w:val="en-GB"/>
    </w:rPr>
  </w:style>
  <w:style w:type="table" w:styleId="Grigliatabella">
    <w:name w:val="Table Grid"/>
    <w:basedOn w:val="Tabellanormale"/>
    <w:uiPriority w:val="39"/>
    <w:rsid w:val="00B37F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2603D2"/>
    <w:pPr>
      <w:spacing w:after="200" w:line="240" w:lineRule="auto"/>
    </w:pPr>
    <w:rPr>
      <w:iCs/>
      <w:sz w:val="20"/>
      <w:szCs w:val="18"/>
    </w:rPr>
  </w:style>
  <w:style w:type="character" w:styleId="Testosegnaposto">
    <w:name w:val="Placeholder Text"/>
    <w:basedOn w:val="Carpredefinitoparagrafo"/>
    <w:uiPriority w:val="99"/>
    <w:semiHidden/>
    <w:rsid w:val="00F50B26"/>
    <w:rPr>
      <w:color w:val="808080"/>
    </w:rPr>
  </w:style>
  <w:style w:type="paragraph" w:styleId="NormaleWeb">
    <w:name w:val="Normal (Web)"/>
    <w:basedOn w:val="Normale"/>
    <w:uiPriority w:val="99"/>
    <w:semiHidden/>
    <w:unhideWhenUsed/>
    <w:rsid w:val="00535A93"/>
    <w:rPr>
      <w:rFonts w:cs="Times New Roman"/>
      <w:sz w:val="24"/>
      <w:szCs w:val="24"/>
    </w:rPr>
  </w:style>
  <w:style w:type="character" w:customStyle="1" w:styleId="text">
    <w:name w:val="text"/>
    <w:basedOn w:val="Carpredefinitoparagrafo"/>
    <w:rsid w:val="00997D01"/>
  </w:style>
  <w:style w:type="character" w:customStyle="1" w:styleId="Titolo4Carattere">
    <w:name w:val="Titolo 4 Carattere"/>
    <w:basedOn w:val="Carpredefinitoparagrafo"/>
    <w:link w:val="Titolo4"/>
    <w:uiPriority w:val="9"/>
    <w:rsid w:val="00AB1C43"/>
    <w:rPr>
      <w:rFonts w:ascii="Times New Roman" w:eastAsiaTheme="majorEastAsia" w:hAnsi="Times New Roman" w:cstheme="majorBidi"/>
      <w:i/>
      <w:iCs/>
      <w:lang w:val="en-GB"/>
    </w:rPr>
  </w:style>
  <w:style w:type="character" w:styleId="Rimandocommento">
    <w:name w:val="annotation reference"/>
    <w:basedOn w:val="Carpredefinitoparagrafo"/>
    <w:uiPriority w:val="99"/>
    <w:semiHidden/>
    <w:unhideWhenUsed/>
    <w:rsid w:val="00FA36E8"/>
    <w:rPr>
      <w:sz w:val="16"/>
      <w:szCs w:val="16"/>
    </w:rPr>
  </w:style>
  <w:style w:type="paragraph" w:styleId="Testocommento">
    <w:name w:val="annotation text"/>
    <w:basedOn w:val="Normale"/>
    <w:link w:val="TestocommentoCarattere"/>
    <w:uiPriority w:val="99"/>
    <w:semiHidden/>
    <w:unhideWhenUsed/>
    <w:rsid w:val="00FA36E8"/>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FA36E8"/>
    <w:rPr>
      <w:rFonts w:ascii="Times New Roman" w:hAnsi="Times New Roman"/>
      <w:sz w:val="20"/>
      <w:szCs w:val="20"/>
      <w:lang w:val="en-GB"/>
    </w:rPr>
  </w:style>
  <w:style w:type="paragraph" w:styleId="Soggettocommento">
    <w:name w:val="annotation subject"/>
    <w:basedOn w:val="Testocommento"/>
    <w:next w:val="Testocommento"/>
    <w:link w:val="SoggettocommentoCarattere"/>
    <w:uiPriority w:val="99"/>
    <w:semiHidden/>
    <w:unhideWhenUsed/>
    <w:rsid w:val="00FA36E8"/>
    <w:rPr>
      <w:b/>
      <w:bCs/>
    </w:rPr>
  </w:style>
  <w:style w:type="character" w:customStyle="1" w:styleId="SoggettocommentoCarattere">
    <w:name w:val="Soggetto commento Carattere"/>
    <w:basedOn w:val="TestocommentoCarattere"/>
    <w:link w:val="Soggettocommento"/>
    <w:uiPriority w:val="99"/>
    <w:semiHidden/>
    <w:rsid w:val="00FA36E8"/>
    <w:rPr>
      <w:rFonts w:ascii="Times New Roman" w:hAnsi="Times New Roman"/>
      <w:b/>
      <w:bCs/>
      <w:sz w:val="20"/>
      <w:szCs w:val="20"/>
      <w:lang w:val="en-GB"/>
    </w:rPr>
  </w:style>
  <w:style w:type="paragraph" w:styleId="Revisione">
    <w:name w:val="Revision"/>
    <w:hidden/>
    <w:uiPriority w:val="99"/>
    <w:semiHidden/>
    <w:rsid w:val="00FC7DAF"/>
    <w:pPr>
      <w:spacing w:after="0" w:line="240" w:lineRule="auto"/>
    </w:pPr>
    <w:rPr>
      <w:rFonts w:ascii="Times New Roman" w:hAnsi="Times New Roman"/>
      <w:lang w:val="en-GB"/>
    </w:rPr>
  </w:style>
  <w:style w:type="paragraph" w:styleId="Nessunaspaziatura">
    <w:name w:val="No Spacing"/>
    <w:uiPriority w:val="1"/>
    <w:qFormat/>
    <w:rsid w:val="002603D2"/>
    <w:pPr>
      <w:spacing w:after="0" w:line="240" w:lineRule="auto"/>
      <w:contextualSpacing/>
    </w:pPr>
    <w:rPr>
      <w:rFonts w:ascii="Times New Roman" w:hAnsi="Times New Roman"/>
      <w:lang w:val="en-GB"/>
    </w:rPr>
  </w:style>
  <w:style w:type="paragraph" w:styleId="Intestazione">
    <w:name w:val="header"/>
    <w:basedOn w:val="Normale"/>
    <w:link w:val="IntestazioneCarattere"/>
    <w:uiPriority w:val="99"/>
    <w:unhideWhenUsed/>
    <w:rsid w:val="009A270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A2704"/>
    <w:rPr>
      <w:rFonts w:ascii="Times New Roman" w:hAnsi="Times New Roman"/>
      <w:lang w:val="en-GB"/>
    </w:rPr>
  </w:style>
  <w:style w:type="paragraph" w:styleId="Pidipagina">
    <w:name w:val="footer"/>
    <w:basedOn w:val="Normale"/>
    <w:link w:val="PidipaginaCarattere"/>
    <w:uiPriority w:val="99"/>
    <w:unhideWhenUsed/>
    <w:rsid w:val="009A270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A2704"/>
    <w:rPr>
      <w:rFonts w:ascii="Times New Roman" w:hAnsi="Times New Roman"/>
      <w:lang w:val="en-GB"/>
    </w:rPr>
  </w:style>
  <w:style w:type="character" w:styleId="Numeroriga">
    <w:name w:val="line number"/>
    <w:basedOn w:val="Carpredefinitoparagrafo"/>
    <w:uiPriority w:val="99"/>
    <w:semiHidden/>
    <w:unhideWhenUsed/>
    <w:rsid w:val="003E6B30"/>
  </w:style>
  <w:style w:type="paragraph" w:styleId="PreformattatoHTML">
    <w:name w:val="HTML Preformatted"/>
    <w:basedOn w:val="Normale"/>
    <w:link w:val="PreformattatoHTMLCarattere"/>
    <w:uiPriority w:val="99"/>
    <w:semiHidden/>
    <w:unhideWhenUsed/>
    <w:rsid w:val="00926E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val="0"/>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semiHidden/>
    <w:rsid w:val="00926EED"/>
    <w:rPr>
      <w:rFonts w:ascii="Courier New" w:eastAsia="Times New Roman" w:hAnsi="Courier New" w:cs="Courier New"/>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0996002">
      <w:bodyDiv w:val="1"/>
      <w:marLeft w:val="0"/>
      <w:marRight w:val="0"/>
      <w:marTop w:val="0"/>
      <w:marBottom w:val="0"/>
      <w:divBdr>
        <w:top w:val="none" w:sz="0" w:space="0" w:color="auto"/>
        <w:left w:val="none" w:sz="0" w:space="0" w:color="auto"/>
        <w:bottom w:val="none" w:sz="0" w:space="0" w:color="auto"/>
        <w:right w:val="none" w:sz="0" w:space="0" w:color="auto"/>
      </w:divBdr>
    </w:div>
    <w:div w:id="789125137">
      <w:bodyDiv w:val="1"/>
      <w:marLeft w:val="0"/>
      <w:marRight w:val="0"/>
      <w:marTop w:val="0"/>
      <w:marBottom w:val="0"/>
      <w:divBdr>
        <w:top w:val="none" w:sz="0" w:space="0" w:color="auto"/>
        <w:left w:val="none" w:sz="0" w:space="0" w:color="auto"/>
        <w:bottom w:val="none" w:sz="0" w:space="0" w:color="auto"/>
        <w:right w:val="none" w:sz="0" w:space="0" w:color="auto"/>
      </w:divBdr>
    </w:div>
    <w:div w:id="1365667842">
      <w:bodyDiv w:val="1"/>
      <w:marLeft w:val="0"/>
      <w:marRight w:val="0"/>
      <w:marTop w:val="0"/>
      <w:marBottom w:val="0"/>
      <w:divBdr>
        <w:top w:val="none" w:sz="0" w:space="0" w:color="auto"/>
        <w:left w:val="none" w:sz="0" w:space="0" w:color="auto"/>
        <w:bottom w:val="none" w:sz="0" w:space="0" w:color="auto"/>
        <w:right w:val="none" w:sz="0" w:space="0" w:color="auto"/>
      </w:divBdr>
    </w:div>
    <w:div w:id="1589147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2FE9D1-EFDD-4AC0-8A15-AF7F235D5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51158</Words>
  <Characters>291605</Characters>
  <Application>Microsoft Office Word</Application>
  <DocSecurity>0</DocSecurity>
  <Lines>2430</Lines>
  <Paragraphs>684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342079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chiappero</dc:creator>
  <cp:keywords/>
  <dc:description/>
  <cp:lastModifiedBy>Silvia Fiore</cp:lastModifiedBy>
  <cp:revision>3</cp:revision>
  <dcterms:created xsi:type="dcterms:W3CDTF">2022-09-12T15:49:00Z</dcterms:created>
  <dcterms:modified xsi:type="dcterms:W3CDTF">2022-09-12T15:49:00Z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http://www.zotero.org/styles/bioresource-technology</vt:lpwstr>
  </property>
  <property fmtid="{D5CDD505-2E9C-101B-9397-08002B2CF9AE}" pid="7" name="Mendeley Recent Style Name 2_1">
    <vt:lpwstr>Bioresource Technology</vt:lpwstr>
  </property>
  <property fmtid="{D5CDD505-2E9C-101B-9397-08002B2CF9AE}" pid="8" name="Mendeley Recent Style Id 3_1">
    <vt:lpwstr>http://www.zotero.org/styles/catalysts</vt:lpwstr>
  </property>
  <property fmtid="{D5CDD505-2E9C-101B-9397-08002B2CF9AE}" pid="9" name="Mendeley Recent Style Name 3_1">
    <vt:lpwstr>Catalysts</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http://www.zotero.org/styles/journal-of-environmental-chemical-engineering</vt:lpwstr>
  </property>
  <property fmtid="{D5CDD505-2E9C-101B-9397-08002B2CF9AE}" pid="17" name="Mendeley Recent Style Name 7_1">
    <vt:lpwstr>Journal of Environmental Chemical Engineering</vt:lpwstr>
  </property>
  <property fmtid="{D5CDD505-2E9C-101B-9397-08002B2CF9AE}" pid="18" name="Mendeley Recent Style Id 8_1">
    <vt:lpwstr>http://www.zotero.org/styles/renewable-and-sustainable-energy-reviews</vt:lpwstr>
  </property>
  <property fmtid="{D5CDD505-2E9C-101B-9397-08002B2CF9AE}" pid="19" name="Mendeley Recent Style Name 8_1">
    <vt:lpwstr>Renewable and Sustainable Energy Reviews</vt:lpwstr>
  </property>
  <property fmtid="{D5CDD505-2E9C-101B-9397-08002B2CF9AE}" pid="20" name="Mendeley Recent Style Id 9_1">
    <vt:lpwstr>http://www.zotero.org/styles/waste-management</vt:lpwstr>
  </property>
  <property fmtid="{D5CDD505-2E9C-101B-9397-08002B2CF9AE}" pid="21" name="Mendeley Recent Style Name 9_1">
    <vt:lpwstr>Waste Management</vt:lpwstr>
  </property>
  <property fmtid="{D5CDD505-2E9C-101B-9397-08002B2CF9AE}" pid="22" name="Mendeley Citation Style_1">
    <vt:lpwstr>http://www.zotero.org/styles/journal-of-environmental-chemical-engineering</vt:lpwstr>
  </property>
  <property fmtid="{D5CDD505-2E9C-101B-9397-08002B2CF9AE}" pid="23" name="Mendeley Document_1">
    <vt:lpwstr>True</vt:lpwstr>
  </property>
  <property fmtid="{D5CDD505-2E9C-101B-9397-08002B2CF9AE}" pid="24" name="Mendeley Unique User Id_1">
    <vt:lpwstr>7ba8ba7d-764d-3bd4-8d31-ff2567dd69d9</vt:lpwstr>
  </property>
</Properties>
</file>