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DEEE37" w14:textId="2EBC18B6" w:rsidR="00787F02" w:rsidRPr="00CD57FA" w:rsidRDefault="00CD57FA" w:rsidP="007C1C13">
      <w:pPr>
        <w:spacing w:after="0" w:line="360" w:lineRule="auto"/>
        <w:jc w:val="center"/>
        <w:rPr>
          <w:rFonts w:ascii="Century Gothic" w:hAnsi="Century Gothic" w:cs="Times New Roman"/>
          <w:b/>
          <w:bCs/>
          <w:szCs w:val="28"/>
          <w:lang w:val="it-IT"/>
        </w:rPr>
      </w:pPr>
      <w:r>
        <w:rPr>
          <w:rFonts w:ascii="Century Gothic" w:hAnsi="Century Gothic" w:cs="Times New Roman"/>
          <w:b/>
          <w:bCs/>
          <w:szCs w:val="28"/>
          <w:lang w:val="it-IT"/>
        </w:rPr>
        <w:t>Sospensioni colloidali</w:t>
      </w:r>
      <w:r w:rsidR="000E59DA" w:rsidRPr="00CD57FA">
        <w:rPr>
          <w:rFonts w:ascii="Century Gothic" w:hAnsi="Century Gothic" w:cs="Times New Roman"/>
          <w:b/>
          <w:bCs/>
          <w:szCs w:val="28"/>
          <w:lang w:val="it-IT"/>
        </w:rPr>
        <w:t xml:space="preserve"> per </w:t>
      </w:r>
      <w:r>
        <w:rPr>
          <w:rFonts w:ascii="Century Gothic" w:hAnsi="Century Gothic" w:cs="Times New Roman"/>
          <w:b/>
          <w:bCs/>
          <w:szCs w:val="28"/>
          <w:lang w:val="it-IT"/>
        </w:rPr>
        <w:t xml:space="preserve">la conversione del calore di </w:t>
      </w:r>
      <w:r w:rsidR="00B84927">
        <w:rPr>
          <w:rFonts w:ascii="Century Gothic" w:hAnsi="Century Gothic" w:cs="Times New Roman"/>
          <w:b/>
          <w:bCs/>
          <w:szCs w:val="28"/>
          <w:lang w:val="it-IT"/>
        </w:rPr>
        <w:t>scarto in energia elettrica</w:t>
      </w:r>
    </w:p>
    <w:p w14:paraId="1D659A69" w14:textId="23191A22" w:rsidR="00787F02" w:rsidRPr="00CD57FA" w:rsidRDefault="00787F02" w:rsidP="00787F02">
      <w:pPr>
        <w:spacing w:after="0" w:line="360" w:lineRule="auto"/>
        <w:jc w:val="center"/>
        <w:rPr>
          <w:rFonts w:ascii="Century Gothic" w:hAnsi="Century Gothic" w:cs="Times New Roman"/>
          <w:sz w:val="20"/>
          <w:szCs w:val="22"/>
          <w:lang w:val="it-IT"/>
        </w:rPr>
      </w:pPr>
      <w:r w:rsidRPr="00CD57FA">
        <w:rPr>
          <w:rFonts w:ascii="Century Gothic" w:hAnsi="Century Gothic" w:cs="Times New Roman"/>
          <w:sz w:val="20"/>
          <w:szCs w:val="22"/>
          <w:lang w:val="it-IT"/>
        </w:rPr>
        <w:t>Erik Garofalo</w:t>
      </w:r>
      <w:r w:rsidRPr="00CD57FA">
        <w:rPr>
          <w:rFonts w:ascii="Century Gothic" w:hAnsi="Century Gothic" w:cs="Times New Roman"/>
          <w:sz w:val="20"/>
          <w:szCs w:val="22"/>
          <w:vertAlign w:val="superscript"/>
          <w:lang w:val="it-IT"/>
        </w:rPr>
        <w:t>1,2</w:t>
      </w:r>
      <w:r w:rsidRPr="00CD57FA">
        <w:rPr>
          <w:rFonts w:ascii="Century Gothic" w:hAnsi="Century Gothic" w:cs="Times New Roman"/>
          <w:sz w:val="20"/>
          <w:szCs w:val="22"/>
          <w:lang w:val="it-IT"/>
        </w:rPr>
        <w:t xml:space="preserve">, </w:t>
      </w:r>
      <w:r w:rsidR="007C1C13" w:rsidRPr="00CD57FA">
        <w:rPr>
          <w:rFonts w:ascii="Century Gothic" w:hAnsi="Century Gothic" w:cs="Times New Roman"/>
          <w:sz w:val="20"/>
          <w:szCs w:val="22"/>
          <w:lang w:val="it-IT"/>
        </w:rPr>
        <w:t>Matteo Bevione</w:t>
      </w:r>
      <w:r w:rsidRPr="00CD57FA">
        <w:rPr>
          <w:rFonts w:ascii="Century Gothic" w:hAnsi="Century Gothic" w:cs="Times New Roman"/>
          <w:sz w:val="20"/>
          <w:szCs w:val="22"/>
          <w:vertAlign w:val="superscript"/>
          <w:lang w:val="it-IT"/>
        </w:rPr>
        <w:t>1</w:t>
      </w:r>
      <w:r w:rsidRPr="00CD57FA">
        <w:rPr>
          <w:rFonts w:ascii="Century Gothic" w:hAnsi="Century Gothic" w:cs="Times New Roman"/>
          <w:sz w:val="20"/>
          <w:szCs w:val="22"/>
          <w:lang w:val="it-IT"/>
        </w:rPr>
        <w:t xml:space="preserve">, </w:t>
      </w:r>
      <w:r w:rsidR="007C1C13" w:rsidRPr="00CD57FA">
        <w:rPr>
          <w:rFonts w:ascii="Century Gothic" w:hAnsi="Century Gothic" w:cs="Times New Roman"/>
          <w:sz w:val="20"/>
          <w:szCs w:val="22"/>
          <w:lang w:val="it-IT"/>
        </w:rPr>
        <w:t>Luca Cecchini</w:t>
      </w:r>
      <w:r w:rsidRPr="00CD57FA">
        <w:rPr>
          <w:rFonts w:ascii="Century Gothic" w:hAnsi="Century Gothic" w:cs="Times New Roman"/>
          <w:sz w:val="20"/>
          <w:szCs w:val="22"/>
          <w:vertAlign w:val="superscript"/>
          <w:lang w:val="it-IT"/>
        </w:rPr>
        <w:t>2</w:t>
      </w:r>
      <w:r w:rsidRPr="00CD57FA">
        <w:rPr>
          <w:rFonts w:ascii="Century Gothic" w:hAnsi="Century Gothic" w:cs="Times New Roman"/>
          <w:sz w:val="20"/>
          <w:szCs w:val="22"/>
          <w:lang w:val="it-IT"/>
        </w:rPr>
        <w:t>, Alessandro Chiolerio</w:t>
      </w:r>
      <w:r w:rsidRPr="00CD57FA">
        <w:rPr>
          <w:rFonts w:ascii="Century Gothic" w:hAnsi="Century Gothic" w:cs="Times New Roman"/>
          <w:sz w:val="20"/>
          <w:szCs w:val="22"/>
          <w:vertAlign w:val="superscript"/>
          <w:lang w:val="it-IT"/>
        </w:rPr>
        <w:t>1</w:t>
      </w:r>
      <w:r w:rsidR="00CD57FA">
        <w:rPr>
          <w:rFonts w:ascii="Century Gothic" w:hAnsi="Century Gothic" w:cs="Times New Roman"/>
          <w:sz w:val="20"/>
          <w:szCs w:val="22"/>
          <w:vertAlign w:val="superscript"/>
          <w:lang w:val="it-IT"/>
        </w:rPr>
        <w:t>*</w:t>
      </w:r>
    </w:p>
    <w:p w14:paraId="5DE16D3C" w14:textId="77777777" w:rsidR="00787F02" w:rsidRPr="00CD57FA" w:rsidRDefault="00787F02" w:rsidP="00787F02">
      <w:pPr>
        <w:spacing w:after="0" w:line="360" w:lineRule="auto"/>
        <w:jc w:val="center"/>
        <w:rPr>
          <w:rFonts w:ascii="Century Gothic" w:hAnsi="Century Gothic" w:cs="Times New Roman"/>
          <w:color w:val="343434"/>
          <w:sz w:val="18"/>
          <w:szCs w:val="20"/>
          <w:lang w:val="it-IT"/>
        </w:rPr>
      </w:pPr>
      <w:r w:rsidRPr="00CD57FA">
        <w:rPr>
          <w:rFonts w:ascii="Century Gothic" w:hAnsi="Century Gothic" w:cs="Times New Roman"/>
          <w:sz w:val="18"/>
          <w:szCs w:val="20"/>
          <w:vertAlign w:val="superscript"/>
          <w:lang w:val="it-IT"/>
        </w:rPr>
        <w:t>1</w:t>
      </w:r>
      <w:r w:rsidRPr="007C1C13">
        <w:rPr>
          <w:sz w:val="22"/>
          <w:szCs w:val="22"/>
        </w:rPr>
        <w:t xml:space="preserve"> </w:t>
      </w:r>
      <w:r w:rsidRPr="00CD57FA">
        <w:rPr>
          <w:rFonts w:ascii="Century Gothic" w:hAnsi="Century Gothic" w:cs="Times New Roman"/>
          <w:sz w:val="18"/>
          <w:szCs w:val="20"/>
          <w:lang w:val="it-IT"/>
        </w:rPr>
        <w:t>Istituto Italiano di Tecnologia, Center for Sustainable Future Technologies, Corso Trento 21, 10129 Torino, Italy</w:t>
      </w:r>
    </w:p>
    <w:p w14:paraId="2C286E64" w14:textId="66D3FDA7" w:rsidR="00787F02" w:rsidRPr="00B84927" w:rsidRDefault="00787F02" w:rsidP="00B84927">
      <w:pPr>
        <w:pStyle w:val="ListParagraph"/>
        <w:numPr>
          <w:ilvl w:val="0"/>
          <w:numId w:val="1"/>
        </w:numPr>
        <w:spacing w:after="0" w:line="360" w:lineRule="auto"/>
        <w:jc w:val="center"/>
        <w:rPr>
          <w:rFonts w:ascii="Century Gothic" w:hAnsi="Century Gothic" w:cs="Times New Roman"/>
          <w:color w:val="343434"/>
          <w:sz w:val="18"/>
          <w:szCs w:val="20"/>
          <w:lang w:val="it-IT"/>
        </w:rPr>
      </w:pPr>
      <w:r w:rsidRPr="00B84927">
        <w:rPr>
          <w:rFonts w:ascii="Century Gothic" w:hAnsi="Century Gothic" w:cs="Times New Roman"/>
          <w:sz w:val="18"/>
          <w:szCs w:val="20"/>
          <w:lang w:val="it-IT"/>
        </w:rPr>
        <w:t>Politecnico di Torino, Corso Duca degli Abruzzi 24, 10129 Torino, Italy</w:t>
      </w:r>
    </w:p>
    <w:p w14:paraId="261FB2C5" w14:textId="7328F186" w:rsidR="00787F02" w:rsidRPr="00B84927" w:rsidRDefault="00B84927" w:rsidP="00787F02">
      <w:pPr>
        <w:spacing w:after="0" w:line="360" w:lineRule="auto"/>
        <w:jc w:val="center"/>
        <w:rPr>
          <w:rFonts w:ascii="Century Gothic" w:hAnsi="Century Gothic" w:cs="Times New Roman"/>
          <w:sz w:val="18"/>
          <w:szCs w:val="20"/>
          <w:lang w:val="it-IT"/>
        </w:rPr>
      </w:pPr>
      <w:r>
        <w:rPr>
          <w:rFonts w:ascii="Century Gothic" w:hAnsi="Century Gothic" w:cs="Times New Roman"/>
          <w:color w:val="343434"/>
          <w:sz w:val="18"/>
          <w:szCs w:val="20"/>
          <w:lang w:val="it-IT"/>
        </w:rPr>
        <w:t xml:space="preserve">* </w:t>
      </w:r>
      <w:r w:rsidR="00787F02" w:rsidRPr="00CD57FA">
        <w:rPr>
          <w:rFonts w:ascii="Century Gothic" w:hAnsi="Century Gothic" w:cs="Times New Roman"/>
          <w:color w:val="343434"/>
          <w:sz w:val="18"/>
          <w:szCs w:val="20"/>
          <w:lang w:val="it-IT"/>
        </w:rPr>
        <w:t xml:space="preserve">email: </w:t>
      </w:r>
      <w:hyperlink r:id="rId8" w:history="1">
        <w:r w:rsidR="007C1C13" w:rsidRPr="00CD57FA">
          <w:rPr>
            <w:rStyle w:val="Hyperlink"/>
            <w:rFonts w:ascii="Century Gothic" w:hAnsi="Century Gothic" w:cs="Times New Roman"/>
            <w:sz w:val="18"/>
            <w:szCs w:val="20"/>
            <w:lang w:val="it-IT"/>
          </w:rPr>
          <w:t>alessandro.chiolerio@iit.it</w:t>
        </w:r>
      </w:hyperlink>
      <w:r w:rsidRPr="00B84927">
        <w:rPr>
          <w:rStyle w:val="Hyperlink"/>
          <w:rFonts w:ascii="Century Gothic" w:hAnsi="Century Gothic" w:cs="Times New Roman"/>
          <w:sz w:val="18"/>
          <w:szCs w:val="20"/>
          <w:u w:val="none"/>
          <w:lang w:val="it-IT"/>
        </w:rPr>
        <w:t>, membro SIF</w:t>
      </w:r>
    </w:p>
    <w:p w14:paraId="716DE286" w14:textId="77777777" w:rsidR="007C1C13" w:rsidRPr="00CD57FA" w:rsidRDefault="007C1C13" w:rsidP="00787F02">
      <w:pPr>
        <w:spacing w:after="0" w:line="360" w:lineRule="auto"/>
        <w:jc w:val="center"/>
        <w:rPr>
          <w:rFonts w:ascii="Century Gothic" w:hAnsi="Century Gothic" w:cs="Times New Roman"/>
          <w:color w:val="343434"/>
          <w:sz w:val="18"/>
          <w:szCs w:val="20"/>
          <w:lang w:val="it-IT"/>
        </w:rPr>
      </w:pPr>
    </w:p>
    <w:p w14:paraId="2B011335" w14:textId="4C488C93" w:rsidR="00787F02" w:rsidRPr="00CD57FA" w:rsidRDefault="007C1C13" w:rsidP="007C1C13">
      <w:pPr>
        <w:spacing w:after="0" w:line="360" w:lineRule="auto"/>
        <w:jc w:val="both"/>
        <w:rPr>
          <w:rFonts w:ascii="Century Gothic" w:hAnsi="Century Gothic" w:cs="Times New Roman"/>
          <w:b/>
          <w:bCs/>
          <w:sz w:val="20"/>
          <w:szCs w:val="22"/>
          <w:lang w:val="it-IT"/>
        </w:rPr>
      </w:pPr>
      <w:r w:rsidRPr="00CD57FA">
        <w:rPr>
          <w:rFonts w:ascii="Century Gothic" w:hAnsi="Century Gothic" w:cs="Times New Roman"/>
          <w:b/>
          <w:bCs/>
          <w:sz w:val="20"/>
          <w:szCs w:val="22"/>
          <w:lang w:val="it-IT"/>
        </w:rPr>
        <w:t>Sezione: Fisica della materia condensata: proprietà elettriche</w:t>
      </w:r>
    </w:p>
    <w:p w14:paraId="70CA2256" w14:textId="77777777" w:rsidR="007C1C13" w:rsidRPr="00CD57FA" w:rsidRDefault="007C1C13" w:rsidP="007C1C13">
      <w:pPr>
        <w:spacing w:after="0" w:line="360" w:lineRule="auto"/>
        <w:jc w:val="both"/>
        <w:rPr>
          <w:rFonts w:ascii="Century Gothic" w:hAnsi="Century Gothic" w:cs="Times New Roman"/>
          <w:b/>
          <w:bCs/>
          <w:sz w:val="20"/>
          <w:szCs w:val="22"/>
          <w:lang w:val="it-IT"/>
        </w:rPr>
      </w:pPr>
    </w:p>
    <w:p w14:paraId="40E29942" w14:textId="37341191" w:rsidR="00535951" w:rsidRPr="00CD57FA" w:rsidRDefault="00F52699" w:rsidP="007C1C13">
      <w:pPr>
        <w:spacing w:after="0" w:line="360" w:lineRule="auto"/>
        <w:jc w:val="both"/>
        <w:rPr>
          <w:rFonts w:ascii="Arial" w:hAnsi="Arial" w:cs="Arial"/>
          <w:sz w:val="20"/>
          <w:szCs w:val="22"/>
          <w:lang w:val="it-IT"/>
        </w:rPr>
      </w:pPr>
      <w:bookmarkStart w:id="0" w:name="_GoBack"/>
      <w:r w:rsidRPr="00CD57FA">
        <w:rPr>
          <w:rFonts w:ascii="Arial" w:hAnsi="Arial" w:cs="Arial"/>
          <w:sz w:val="20"/>
          <w:szCs w:val="22"/>
          <w:lang w:val="it-IT"/>
        </w:rPr>
        <w:t xml:space="preserve">Ogni processo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reale </w:t>
      </w:r>
      <w:r w:rsidRPr="00CD57FA">
        <w:rPr>
          <w:rFonts w:ascii="Arial" w:hAnsi="Arial" w:cs="Arial"/>
          <w:sz w:val="20"/>
          <w:szCs w:val="22"/>
          <w:lang w:val="it-IT"/>
        </w:rPr>
        <w:t xml:space="preserve">di trasformazione dell’energia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comporta un’efficienza non unitaria e la concorrente generazione di calore di scarto </w:t>
      </w:r>
      <w:r w:rsidRPr="00CD57FA">
        <w:rPr>
          <w:rFonts w:ascii="Arial" w:hAnsi="Arial" w:cs="Arial"/>
          <w:sz w:val="20"/>
          <w:szCs w:val="22"/>
          <w:lang w:val="it-IT"/>
        </w:rPr>
        <w:t xml:space="preserve">che può essere </w:t>
      </w:r>
      <w:r w:rsidR="00B84927">
        <w:rPr>
          <w:rFonts w:ascii="Arial" w:hAnsi="Arial" w:cs="Arial"/>
          <w:sz w:val="20"/>
          <w:szCs w:val="22"/>
          <w:lang w:val="it-IT"/>
        </w:rPr>
        <w:t>stoccato</w:t>
      </w:r>
      <w:r w:rsidRPr="00CD57FA">
        <w:rPr>
          <w:rFonts w:ascii="Arial" w:hAnsi="Arial" w:cs="Arial"/>
          <w:sz w:val="20"/>
          <w:szCs w:val="22"/>
          <w:lang w:val="it-IT"/>
        </w:rPr>
        <w:t xml:space="preserve"> e </w:t>
      </w:r>
      <w:r w:rsidR="00B84927">
        <w:rPr>
          <w:rFonts w:ascii="Arial" w:hAnsi="Arial" w:cs="Arial"/>
          <w:sz w:val="20"/>
          <w:szCs w:val="22"/>
          <w:lang w:val="it-IT"/>
        </w:rPr>
        <w:t>riconvertito</w:t>
      </w:r>
      <w:r w:rsidRPr="00CD57FA">
        <w:rPr>
          <w:rFonts w:ascii="Arial" w:hAnsi="Arial" w:cs="Arial"/>
          <w:sz w:val="20"/>
          <w:szCs w:val="22"/>
          <w:lang w:val="it-IT"/>
        </w:rPr>
        <w:t xml:space="preserve">, </w:t>
      </w:r>
      <w:r w:rsidR="00B84927">
        <w:rPr>
          <w:rFonts w:ascii="Arial" w:hAnsi="Arial" w:cs="Arial"/>
          <w:sz w:val="20"/>
          <w:szCs w:val="22"/>
          <w:lang w:val="it-IT"/>
        </w:rPr>
        <w:t>diventando</w:t>
      </w:r>
      <w:r w:rsidRPr="00CD57FA">
        <w:rPr>
          <w:rFonts w:ascii="Arial" w:hAnsi="Arial" w:cs="Arial"/>
          <w:sz w:val="20"/>
          <w:szCs w:val="22"/>
          <w:lang w:val="it-IT"/>
        </w:rPr>
        <w:t xml:space="preserve">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quindi </w:t>
      </w:r>
      <w:r w:rsidRPr="00CD57FA">
        <w:rPr>
          <w:rFonts w:ascii="Arial" w:hAnsi="Arial" w:cs="Arial"/>
          <w:sz w:val="20"/>
          <w:szCs w:val="22"/>
          <w:lang w:val="it-IT"/>
        </w:rPr>
        <w:t>un’opportunità economica</w:t>
      </w:r>
      <w:r w:rsidR="00CC1151" w:rsidRPr="00CD57FA">
        <w:rPr>
          <w:rFonts w:ascii="Arial" w:hAnsi="Arial" w:cs="Arial"/>
          <w:sz w:val="20"/>
          <w:szCs w:val="22"/>
          <w:lang w:val="it-IT"/>
        </w:rPr>
        <w:t xml:space="preserve">. </w:t>
      </w:r>
      <w:r w:rsidR="00B84927">
        <w:rPr>
          <w:rFonts w:ascii="Arial" w:hAnsi="Arial" w:cs="Arial"/>
          <w:sz w:val="20"/>
          <w:szCs w:val="22"/>
          <w:lang w:val="it-IT"/>
        </w:rPr>
        <w:t>L’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approccio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innovativo che abbiamo messo a punto </w:t>
      </w:r>
      <w:r w:rsidR="000E59DA" w:rsidRPr="00CD57FA">
        <w:rPr>
          <w:rFonts w:ascii="Arial" w:hAnsi="Arial" w:cs="Arial"/>
          <w:sz w:val="20"/>
          <w:szCs w:val="22"/>
          <w:lang w:val="it-IT"/>
        </w:rPr>
        <w:t>si basa sull’</w:t>
      </w:r>
      <w:r w:rsidR="0056337E">
        <w:rPr>
          <w:rFonts w:ascii="Arial" w:hAnsi="Arial" w:cs="Arial"/>
          <w:sz w:val="20"/>
          <w:szCs w:val="22"/>
          <w:lang w:val="it-IT"/>
        </w:rPr>
        <w:t>intuizione che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sospensioni </w:t>
      </w:r>
      <w:r w:rsidR="000E59DA" w:rsidRPr="00CD57FA">
        <w:rPr>
          <w:rFonts w:ascii="Arial" w:hAnsi="Arial" w:cs="Arial"/>
          <w:sz w:val="20"/>
          <w:szCs w:val="22"/>
          <w:lang w:val="it-IT"/>
        </w:rPr>
        <w:t>colloid</w:t>
      </w:r>
      <w:r w:rsidR="0056337E">
        <w:rPr>
          <w:rFonts w:ascii="Arial" w:hAnsi="Arial" w:cs="Arial"/>
          <w:sz w:val="20"/>
          <w:szCs w:val="22"/>
          <w:lang w:val="it-IT"/>
        </w:rPr>
        <w:t>ali possono essere</w:t>
      </w:r>
      <w:r w:rsidR="00B84927">
        <w:rPr>
          <w:rFonts w:ascii="Arial" w:hAnsi="Arial" w:cs="Arial"/>
          <w:sz w:val="20"/>
          <w:szCs w:val="22"/>
          <w:lang w:val="it-IT"/>
        </w:rPr>
        <w:t xml:space="preserve"> messe in movimento da convezione ed avvezione termomagnetica, </w:t>
      </w:r>
      <w:r w:rsidR="0056337E">
        <w:rPr>
          <w:rFonts w:ascii="Arial" w:hAnsi="Arial" w:cs="Arial"/>
          <w:sz w:val="20"/>
          <w:szCs w:val="22"/>
          <w:lang w:val="it-IT"/>
        </w:rPr>
        <w:t>per rilasciare o indurre una</w:t>
      </w:r>
      <w:r w:rsidR="00B84927">
        <w:rPr>
          <w:rFonts w:ascii="Arial" w:hAnsi="Arial" w:cs="Arial"/>
          <w:sz w:val="20"/>
          <w:szCs w:val="22"/>
          <w:lang w:val="it-IT"/>
        </w:rPr>
        <w:t xml:space="preserve"> carica elettrica con ottimi livelli di efficienza elettrocinetica</w:t>
      </w:r>
      <w:r w:rsidR="00E91DCF" w:rsidRPr="00CD57FA">
        <w:rPr>
          <w:rFonts w:ascii="Arial" w:hAnsi="Arial" w:cs="Arial"/>
          <w:sz w:val="20"/>
          <w:szCs w:val="22"/>
          <w:lang w:val="it-IT"/>
        </w:rPr>
        <w:t>.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</w:t>
      </w:r>
      <w:r w:rsidR="00B84927">
        <w:rPr>
          <w:rFonts w:ascii="Arial" w:hAnsi="Arial" w:cs="Arial"/>
          <w:sz w:val="20"/>
          <w:szCs w:val="22"/>
          <w:lang w:val="it-IT"/>
        </w:rPr>
        <w:t>Abbiamo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</w:t>
      </w:r>
      <w:r w:rsidR="0056337E">
        <w:rPr>
          <w:rFonts w:ascii="Arial" w:hAnsi="Arial" w:cs="Arial"/>
          <w:sz w:val="20"/>
          <w:szCs w:val="22"/>
          <w:lang w:val="it-IT"/>
        </w:rPr>
        <w:t>confrontato</w:t>
      </w:r>
      <w:r w:rsidR="00B84927">
        <w:rPr>
          <w:rFonts w:ascii="Arial" w:hAnsi="Arial" w:cs="Arial"/>
          <w:sz w:val="20"/>
          <w:szCs w:val="22"/>
          <w:lang w:val="it-IT"/>
        </w:rPr>
        <w:t xml:space="preserve"> tre fenomeni fisici di conversione: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l’induzione elettromagnetica </w:t>
      </w:r>
      <w:r w:rsidR="00B84927">
        <w:rPr>
          <w:rFonts w:ascii="Arial" w:hAnsi="Arial" w:cs="Arial"/>
          <w:sz w:val="20"/>
          <w:szCs w:val="22"/>
          <w:lang w:val="it-IT"/>
        </w:rPr>
        <w:t>(colloide a base di magnetite)</w:t>
      </w:r>
      <w:r w:rsidR="00E91DCF" w:rsidRPr="00CD57FA">
        <w:rPr>
          <w:rFonts w:ascii="Arial" w:hAnsi="Arial" w:cs="Arial"/>
          <w:sz w:val="20"/>
          <w:szCs w:val="22"/>
          <w:lang w:val="it-IT"/>
        </w:rPr>
        <w:t xml:space="preserve">, 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l’effetto piroelettrico </w:t>
      </w:r>
      <w:r w:rsidR="00B84927">
        <w:rPr>
          <w:rFonts w:ascii="Arial" w:hAnsi="Arial" w:cs="Arial"/>
          <w:sz w:val="20"/>
          <w:szCs w:val="22"/>
          <w:lang w:val="it-IT"/>
        </w:rPr>
        <w:t xml:space="preserve">(titanato di bario) </w:t>
      </w:r>
      <w:r w:rsidR="000E59DA" w:rsidRPr="00CD57FA">
        <w:rPr>
          <w:rFonts w:ascii="Arial" w:hAnsi="Arial" w:cs="Arial"/>
          <w:sz w:val="20"/>
          <w:szCs w:val="22"/>
          <w:lang w:val="it-IT"/>
        </w:rPr>
        <w:t>e</w:t>
      </w:r>
      <w:r w:rsidR="00B84927">
        <w:rPr>
          <w:rFonts w:ascii="Arial" w:hAnsi="Arial" w:cs="Arial"/>
          <w:sz w:val="20"/>
          <w:szCs w:val="22"/>
          <w:lang w:val="it-IT"/>
        </w:rPr>
        <w:t xml:space="preserve"> quello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triboelettrico </w:t>
      </w:r>
      <w:r w:rsidR="0056337E">
        <w:rPr>
          <w:rFonts w:ascii="Arial" w:hAnsi="Arial" w:cs="Arial"/>
          <w:sz w:val="20"/>
          <w:szCs w:val="22"/>
          <w:lang w:val="it-IT"/>
        </w:rPr>
        <w:t>(titania), arrivando a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valutar</w:t>
      </w:r>
      <w:r w:rsidR="0056337E">
        <w:rPr>
          <w:rFonts w:ascii="Arial" w:hAnsi="Arial" w:cs="Arial"/>
          <w:sz w:val="20"/>
          <w:szCs w:val="22"/>
          <w:lang w:val="it-IT"/>
        </w:rPr>
        <w:t>n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e </w:t>
      </w:r>
      <w:r w:rsidR="0056337E">
        <w:rPr>
          <w:rFonts w:ascii="Arial" w:hAnsi="Arial" w:cs="Arial"/>
          <w:sz w:val="20"/>
          <w:szCs w:val="22"/>
          <w:lang w:val="it-IT"/>
        </w:rPr>
        <w:t>le rispettive potenzialità</w:t>
      </w:r>
      <w:r w:rsidR="000E59DA" w:rsidRPr="00CD57FA">
        <w:rPr>
          <w:rFonts w:ascii="Arial" w:hAnsi="Arial" w:cs="Arial"/>
          <w:sz w:val="20"/>
          <w:szCs w:val="22"/>
          <w:lang w:val="it-IT"/>
        </w:rPr>
        <w:t xml:space="preserve"> nei processi di conversione.</w:t>
      </w:r>
      <w:bookmarkEnd w:id="0"/>
    </w:p>
    <w:sectPr w:rsidR="00535951" w:rsidRPr="00CD57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B61E11"/>
    <w:multiLevelType w:val="hybridMultilevel"/>
    <w:tmpl w:val="F2BCB8EE"/>
    <w:lvl w:ilvl="0" w:tplc="C532AAE0">
      <w:start w:val="2"/>
      <w:numFmt w:val="bullet"/>
      <w:lvlText w:val="%1"/>
      <w:lvlJc w:val="left"/>
      <w:pPr>
        <w:ind w:left="720" w:hanging="360"/>
      </w:pPr>
      <w:rPr>
        <w:rFonts w:ascii="Century Gothic" w:eastAsiaTheme="minorEastAsia" w:hAnsi="Century Gothic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951"/>
    <w:rsid w:val="000E59DA"/>
    <w:rsid w:val="00535951"/>
    <w:rsid w:val="0056337E"/>
    <w:rsid w:val="00787F02"/>
    <w:rsid w:val="007C1C13"/>
    <w:rsid w:val="009135C8"/>
    <w:rsid w:val="00AA09D0"/>
    <w:rsid w:val="00B84927"/>
    <w:rsid w:val="00CC1151"/>
    <w:rsid w:val="00CD57FA"/>
    <w:rsid w:val="00E91DCF"/>
    <w:rsid w:val="00F52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CF6E9"/>
  <w15:chartTrackingRefBased/>
  <w15:docId w15:val="{9ACE7A2F-A86A-4A4D-917C-511D5B0E2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7F02"/>
    <w:pPr>
      <w:spacing w:after="200" w:line="240" w:lineRule="auto"/>
    </w:pPr>
    <w:rPr>
      <w:rFonts w:eastAsiaTheme="minorEastAsia"/>
      <w:sz w:val="24"/>
      <w:szCs w:val="24"/>
      <w:lang w:val="pt-PT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87F0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F0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C1C13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C1C1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849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essandro.chiolerio@iit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D855745D3121A4E939BFD7D0BB1A711" ma:contentTypeVersion="15" ma:contentTypeDescription="Creare un nuovo documento." ma:contentTypeScope="" ma:versionID="2d6f8062dfe49c2adec1d45e239aaa42">
  <xsd:schema xmlns:xsd="http://www.w3.org/2001/XMLSchema" xmlns:xs="http://www.w3.org/2001/XMLSchema" xmlns:p="http://schemas.microsoft.com/office/2006/metadata/properties" xmlns:ns1="http://schemas.microsoft.com/sharepoint/v3" xmlns:ns3="089157ed-a8c7-46f1-a2b0-222b7ac98bf1" xmlns:ns4="bc9d7c25-4b4b-4fc2-8685-a5d6c797f5c1" targetNamespace="http://schemas.microsoft.com/office/2006/metadata/properties" ma:root="true" ma:fieldsID="1c4abff5161bdf67d00c876c8142c48b" ns1:_="" ns3:_="" ns4:_="">
    <xsd:import namespace="http://schemas.microsoft.com/sharepoint/v3"/>
    <xsd:import namespace="089157ed-a8c7-46f1-a2b0-222b7ac98bf1"/>
    <xsd:import namespace="bc9d7c25-4b4b-4fc2-8685-a5d6c797f5c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Proprietà criteri di conformità unificati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Azione interfaccia utente criteri di conformità unificat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9157ed-a8c7-46f1-a2b0-222b7ac98b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7c25-4b4b-4fc2-8685-a5d6c797f5c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6780E3-DC4C-4E16-9576-2AEB96552AC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0665BCB-3D15-4246-8546-2E43390C03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9444AC-FADD-42A4-9E54-C3795423E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9157ed-a8c7-46f1-a2b0-222b7ac98bf1"/>
    <ds:schemaRef ds:uri="bc9d7c25-4b4b-4fc2-8685-a5d6c797f5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Garofalo</dc:creator>
  <cp:keywords/>
  <dc:description/>
  <cp:lastModifiedBy>Alessandro Chiolerio</cp:lastModifiedBy>
  <cp:revision>4</cp:revision>
  <dcterms:created xsi:type="dcterms:W3CDTF">2020-05-26T13:21:00Z</dcterms:created>
  <dcterms:modified xsi:type="dcterms:W3CDTF">2020-05-26T21:32:00Z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0x010100AD855745D3121A4E939BFD7D0BB1A711</vt:lpwstr>
  </property>
</Properties>
</file>