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55DD85" w14:textId="104821E8" w:rsidR="00DC5133" w:rsidRPr="003A12B3" w:rsidRDefault="00C92E2A" w:rsidP="00E20598">
      <w:pPr>
        <w:spacing w:after="240"/>
        <w:jc w:val="center"/>
        <w:rPr>
          <w:rFonts w:ascii="Times New Roman" w:hAnsi="Times New Roman" w:cs="Times New Roman"/>
          <w:lang w:val="en-GB"/>
        </w:rPr>
      </w:pPr>
      <w:r w:rsidRPr="00C92E2A">
        <w:rPr>
          <w:rFonts w:ascii="Arial" w:hAnsi="Arial" w:cs="Arial"/>
          <w:b/>
          <w:lang w:val="en-GB"/>
        </w:rPr>
        <w:t xml:space="preserve">Waste heat to power by means of </w:t>
      </w:r>
      <w:r w:rsidR="00497F32">
        <w:rPr>
          <w:rFonts w:ascii="Arial" w:hAnsi="Arial" w:cs="Arial"/>
          <w:b/>
          <w:lang w:val="en-GB"/>
        </w:rPr>
        <w:t xml:space="preserve">a </w:t>
      </w:r>
      <w:r w:rsidRPr="00C92E2A">
        <w:rPr>
          <w:rFonts w:ascii="Arial" w:hAnsi="Arial" w:cs="Arial"/>
          <w:b/>
          <w:lang w:val="en-GB"/>
        </w:rPr>
        <w:t>thermomagnetic</w:t>
      </w:r>
      <w:r w:rsidR="00497F32">
        <w:rPr>
          <w:rFonts w:ascii="Arial" w:hAnsi="Arial" w:cs="Arial"/>
          <w:b/>
          <w:lang w:val="en-GB"/>
        </w:rPr>
        <w:t xml:space="preserve"> colloidal</w:t>
      </w:r>
      <w:r w:rsidRPr="00C92E2A">
        <w:rPr>
          <w:rFonts w:ascii="Arial" w:hAnsi="Arial" w:cs="Arial"/>
          <w:b/>
          <w:lang w:val="en-GB"/>
        </w:rPr>
        <w:t xml:space="preserve"> energy harvester</w:t>
      </w:r>
    </w:p>
    <w:p w14:paraId="73201E74" w14:textId="1E11583F" w:rsidR="00760F42" w:rsidRPr="00497F32" w:rsidRDefault="00C92E2A" w:rsidP="003A12B3">
      <w:pPr>
        <w:spacing w:after="0" w:line="360" w:lineRule="auto"/>
        <w:jc w:val="center"/>
        <w:rPr>
          <w:rFonts w:ascii="Century Gothic" w:hAnsi="Century Gothic" w:cs="Times New Roman"/>
          <w:sz w:val="20"/>
          <w:szCs w:val="22"/>
          <w:lang w:val="en-GB"/>
        </w:rPr>
      </w:pPr>
      <w:r w:rsidRPr="00C92E2A">
        <w:rPr>
          <w:rFonts w:ascii="Century Gothic" w:hAnsi="Century Gothic" w:cs="Times New Roman"/>
          <w:sz w:val="20"/>
          <w:szCs w:val="22"/>
          <w:lang w:val="en-GB"/>
        </w:rPr>
        <w:t>Erik Garofalo</w:t>
      </w:r>
      <w:r w:rsidR="00760F42"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1</w:t>
      </w:r>
      <w:r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,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2</w:t>
      </w:r>
      <w:r w:rsidR="00760F42" w:rsidRPr="003C7B0B">
        <w:rPr>
          <w:rFonts w:ascii="Century Gothic" w:hAnsi="Century Gothic" w:cs="Times New Roman"/>
          <w:sz w:val="20"/>
          <w:szCs w:val="22"/>
          <w:lang w:val="en-GB"/>
        </w:rPr>
        <w:t>*,</w:t>
      </w:r>
      <w:r w:rsidR="00497F32">
        <w:rPr>
          <w:rFonts w:ascii="Century Gothic" w:hAnsi="Century Gothic" w:cs="Times New Roman"/>
          <w:sz w:val="20"/>
          <w:szCs w:val="22"/>
          <w:lang w:val="en-GB"/>
        </w:rPr>
        <w:t xml:space="preserve"> </w:t>
      </w:r>
      <w:r w:rsidRPr="00C92E2A">
        <w:rPr>
          <w:rFonts w:ascii="Century Gothic" w:hAnsi="Century Gothic" w:cs="Times New Roman"/>
          <w:sz w:val="20"/>
          <w:szCs w:val="22"/>
          <w:lang w:val="en-GB"/>
        </w:rPr>
        <w:t>Fabio Mattiussi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1</w:t>
      </w:r>
      <w:r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,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2</w:t>
      </w:r>
      <w:r>
        <w:rPr>
          <w:rFonts w:ascii="Century Gothic" w:hAnsi="Century Gothic" w:cs="Times New Roman"/>
          <w:sz w:val="20"/>
          <w:szCs w:val="22"/>
          <w:lang w:val="en-GB"/>
        </w:rPr>
        <w:t xml:space="preserve">, </w:t>
      </w:r>
      <w:r w:rsidRPr="00C92E2A">
        <w:rPr>
          <w:rFonts w:ascii="Century Gothic" w:hAnsi="Century Gothic" w:cs="Times New Roman"/>
          <w:sz w:val="20"/>
          <w:szCs w:val="22"/>
          <w:lang w:val="en-GB"/>
        </w:rPr>
        <w:t>Giuseppe Fortunato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1</w:t>
      </w:r>
      <w:r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,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2</w:t>
      </w:r>
      <w:r>
        <w:rPr>
          <w:rFonts w:ascii="Century Gothic" w:hAnsi="Century Gothic" w:cs="Times New Roman"/>
          <w:sz w:val="20"/>
          <w:szCs w:val="22"/>
          <w:lang w:val="en-GB"/>
        </w:rPr>
        <w:t xml:space="preserve">, </w:t>
      </w:r>
      <w:r w:rsidRPr="00C92E2A">
        <w:rPr>
          <w:rFonts w:ascii="Century Gothic" w:hAnsi="Century Gothic" w:cs="Times New Roman"/>
          <w:sz w:val="20"/>
          <w:szCs w:val="22"/>
          <w:lang w:val="en-GB"/>
        </w:rPr>
        <w:t>Michele Iovieno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2</w:t>
      </w:r>
      <w:r>
        <w:rPr>
          <w:rFonts w:ascii="Century Gothic" w:hAnsi="Century Gothic" w:cs="Times New Roman"/>
          <w:sz w:val="20"/>
          <w:szCs w:val="22"/>
          <w:lang w:val="en-GB"/>
        </w:rPr>
        <w:t>, Luca Cecchini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1</w:t>
      </w:r>
      <w:r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,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2</w:t>
      </w:r>
      <w:r>
        <w:rPr>
          <w:rFonts w:ascii="Century Gothic" w:hAnsi="Century Gothic" w:cs="Times New Roman"/>
          <w:sz w:val="20"/>
          <w:szCs w:val="22"/>
          <w:lang w:val="en-GB"/>
        </w:rPr>
        <w:t>, Matteo Bevione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1</w:t>
      </w:r>
      <w:r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,</w:t>
      </w: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2</w:t>
      </w:r>
      <w:r w:rsidR="00497F32">
        <w:rPr>
          <w:rFonts w:ascii="Century Gothic" w:hAnsi="Century Gothic" w:cs="Times New Roman"/>
          <w:sz w:val="20"/>
          <w:szCs w:val="22"/>
          <w:lang w:val="en-GB"/>
        </w:rPr>
        <w:t xml:space="preserve">, </w:t>
      </w:r>
      <w:r w:rsidR="00497F32" w:rsidRPr="00C92E2A">
        <w:rPr>
          <w:rFonts w:ascii="Century Gothic" w:hAnsi="Century Gothic" w:cs="Times New Roman"/>
          <w:sz w:val="20"/>
          <w:szCs w:val="22"/>
          <w:lang w:val="en-GB"/>
        </w:rPr>
        <w:t>Alessandro Chiolerio</w:t>
      </w:r>
      <w:r w:rsidR="00497F32"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1</w:t>
      </w:r>
    </w:p>
    <w:p w14:paraId="323D3649" w14:textId="7AF6EF4F" w:rsidR="00760F42" w:rsidRPr="00A13F0D" w:rsidRDefault="00760F42" w:rsidP="003A12B3">
      <w:pPr>
        <w:spacing w:after="0" w:line="360" w:lineRule="auto"/>
        <w:jc w:val="center"/>
        <w:rPr>
          <w:rFonts w:ascii="Century Gothic" w:hAnsi="Century Gothic" w:cs="Times New Roman"/>
          <w:color w:val="343434"/>
          <w:sz w:val="20"/>
          <w:szCs w:val="22"/>
          <w:lang w:val="en-US"/>
        </w:rPr>
      </w:pP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1</w:t>
      </w:r>
      <w:r w:rsidR="00C92E2A" w:rsidRPr="00C92E2A">
        <w:t xml:space="preserve"> </w:t>
      </w:r>
      <w:proofErr w:type="spellStart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>Istituto</w:t>
      </w:r>
      <w:proofErr w:type="spellEnd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 xml:space="preserve"> </w:t>
      </w:r>
      <w:proofErr w:type="spellStart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>Italiano</w:t>
      </w:r>
      <w:proofErr w:type="spellEnd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 xml:space="preserve"> di </w:t>
      </w:r>
      <w:proofErr w:type="spellStart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>Tecnologia</w:t>
      </w:r>
      <w:proofErr w:type="spellEnd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 xml:space="preserve">, </w:t>
      </w:r>
      <w:proofErr w:type="spellStart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>Center</w:t>
      </w:r>
      <w:proofErr w:type="spellEnd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 xml:space="preserve"> for Sustainable Future Technologies, Corso Trento 21, 10129 Torino, Italy</w:t>
      </w:r>
    </w:p>
    <w:p w14:paraId="715868F5" w14:textId="1A2E3D6B" w:rsidR="00760F42" w:rsidRDefault="00760F42" w:rsidP="003A12B3">
      <w:pPr>
        <w:spacing w:after="0" w:line="360" w:lineRule="auto"/>
        <w:jc w:val="center"/>
        <w:rPr>
          <w:rFonts w:ascii="Century Gothic" w:hAnsi="Century Gothic" w:cs="Times New Roman"/>
          <w:color w:val="343434"/>
          <w:sz w:val="20"/>
          <w:szCs w:val="22"/>
          <w:lang w:val="en-US"/>
        </w:rPr>
      </w:pPr>
      <w:r w:rsidRPr="003C7B0B">
        <w:rPr>
          <w:rFonts w:ascii="Century Gothic" w:hAnsi="Century Gothic" w:cs="Times New Roman"/>
          <w:sz w:val="20"/>
          <w:szCs w:val="22"/>
          <w:vertAlign w:val="superscript"/>
          <w:lang w:val="en-GB"/>
        </w:rPr>
        <w:t>2</w:t>
      </w:r>
      <w:r w:rsidR="00C92E2A" w:rsidRPr="00C92E2A">
        <w:t xml:space="preserve"> </w:t>
      </w:r>
      <w:proofErr w:type="spellStart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>Politecnico</w:t>
      </w:r>
      <w:proofErr w:type="spellEnd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 xml:space="preserve"> di Torino, Corso </w:t>
      </w:r>
      <w:proofErr w:type="spellStart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>Duca</w:t>
      </w:r>
      <w:proofErr w:type="spellEnd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 xml:space="preserve"> </w:t>
      </w:r>
      <w:proofErr w:type="spellStart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>degli</w:t>
      </w:r>
      <w:proofErr w:type="spellEnd"/>
      <w:r w:rsidR="00C92E2A" w:rsidRPr="00C92E2A">
        <w:rPr>
          <w:rFonts w:ascii="Century Gothic" w:hAnsi="Century Gothic" w:cs="Times New Roman"/>
          <w:sz w:val="20"/>
          <w:szCs w:val="22"/>
          <w:lang w:val="en-GB"/>
        </w:rPr>
        <w:t xml:space="preserve"> Abruzzi 24, 10129 Torino, Italy</w:t>
      </w:r>
    </w:p>
    <w:p w14:paraId="67BF620F" w14:textId="003A1E75" w:rsidR="003A12B3" w:rsidRPr="00C92E2A" w:rsidRDefault="001032FD" w:rsidP="00C92E2A">
      <w:pPr>
        <w:spacing w:after="0" w:line="360" w:lineRule="auto"/>
        <w:jc w:val="center"/>
        <w:rPr>
          <w:rFonts w:ascii="Century Gothic" w:hAnsi="Century Gothic" w:cs="Times New Roman"/>
          <w:color w:val="343434"/>
          <w:sz w:val="20"/>
          <w:szCs w:val="22"/>
          <w:lang w:val="en-US"/>
        </w:rPr>
      </w:pPr>
      <w:r>
        <w:rPr>
          <w:rFonts w:ascii="Century Gothic" w:hAnsi="Century Gothic" w:cs="Times New Roman"/>
          <w:color w:val="343434"/>
          <w:sz w:val="20"/>
          <w:szCs w:val="22"/>
          <w:lang w:val="en-US"/>
        </w:rPr>
        <w:t xml:space="preserve">email: </w:t>
      </w:r>
      <w:r w:rsidR="00C92E2A">
        <w:rPr>
          <w:rFonts w:ascii="Century Gothic" w:hAnsi="Century Gothic" w:cs="Times New Roman"/>
          <w:sz w:val="20"/>
          <w:szCs w:val="22"/>
          <w:lang w:val="en-GB"/>
        </w:rPr>
        <w:t>erik.garofalo@iit.it</w:t>
      </w:r>
    </w:p>
    <w:p w14:paraId="37B52631" w14:textId="20E12BD5" w:rsidR="003C7B0B" w:rsidRPr="00A13F0D" w:rsidRDefault="003A12B3" w:rsidP="003C7B0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color w:val="343434"/>
          <w:sz w:val="20"/>
          <w:szCs w:val="20"/>
          <w:lang w:val="en-US"/>
        </w:rPr>
      </w:pPr>
      <w:r w:rsidRPr="00A13F0D">
        <w:rPr>
          <w:rFonts w:ascii="Arial" w:hAnsi="Arial" w:cs="Arial"/>
          <w:b/>
          <w:sz w:val="20"/>
          <w:szCs w:val="20"/>
          <w:lang w:val="en-US"/>
        </w:rPr>
        <w:t xml:space="preserve">Abstract </w:t>
      </w:r>
    </w:p>
    <w:p w14:paraId="19EDEFDD" w14:textId="77777777" w:rsidR="00A4717B" w:rsidRPr="00C40674" w:rsidRDefault="00A4717B" w:rsidP="003C7B0B">
      <w:pPr>
        <w:spacing w:after="0"/>
        <w:jc w:val="both"/>
        <w:outlineLvl w:val="0"/>
        <w:rPr>
          <w:rFonts w:ascii="Arial" w:hAnsi="Arial" w:cs="Arial"/>
          <w:color w:val="000000" w:themeColor="text1"/>
          <w:sz w:val="20"/>
          <w:szCs w:val="20"/>
          <w:lang w:val="en-US"/>
        </w:rPr>
      </w:pPr>
    </w:p>
    <w:p w14:paraId="7428434C" w14:textId="32820B98" w:rsidR="00A4717B" w:rsidRDefault="00EE30B6" w:rsidP="00C92E2A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EE30B6">
        <w:rPr>
          <w:rFonts w:ascii="Arial" w:hAnsi="Arial" w:cs="Arial"/>
          <w:color w:val="000000" w:themeColor="text1"/>
          <w:sz w:val="20"/>
          <w:szCs w:val="20"/>
          <w:lang w:val="en-US"/>
        </w:rPr>
        <w:t>Energy utilization</w:t>
      </w:r>
      <w:r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, </w:t>
      </w:r>
      <w:r w:rsidRPr="00EE30B6">
        <w:rPr>
          <w:rFonts w:ascii="Arial" w:hAnsi="Arial" w:cs="Arial"/>
          <w:color w:val="000000" w:themeColor="text1"/>
          <w:sz w:val="20"/>
          <w:szCs w:val="20"/>
          <w:lang w:val="en-US"/>
        </w:rPr>
        <w:t>sustainab</w:t>
      </w:r>
      <w:r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ility </w:t>
      </w:r>
      <w:r w:rsidRPr="00EE30B6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and care for the environment are now under the spotlight; </w:t>
      </w:r>
      <w:r>
        <w:rPr>
          <w:rFonts w:ascii="Arial" w:hAnsi="Arial" w:cs="Arial"/>
          <w:color w:val="000000" w:themeColor="text1"/>
          <w:sz w:val="20"/>
          <w:szCs w:val="20"/>
          <w:lang w:val="en-US"/>
        </w:rPr>
        <w:t>dealing with</w:t>
      </w:r>
      <w:r w:rsidRPr="00EE30B6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energy must take into account the non-unitary efficiency of any </w:t>
      </w:r>
      <w:r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thermodynamic </w:t>
      </w:r>
      <w:r w:rsidRPr="00EE30B6">
        <w:rPr>
          <w:rFonts w:ascii="Arial" w:hAnsi="Arial" w:cs="Arial"/>
          <w:color w:val="000000" w:themeColor="text1"/>
          <w:sz w:val="20"/>
          <w:szCs w:val="20"/>
          <w:lang w:val="en-US"/>
        </w:rPr>
        <w:t>process and the consequent production of waste heat, playing a crucial role in global warming. A valuable approach to tackle this problem is to capture and reuse the waste heat, providing an attractive opportunity for an emission-free and cost</w:t>
      </w:r>
      <w:r>
        <w:rPr>
          <w:rFonts w:ascii="Arial" w:hAnsi="Arial" w:cs="Arial"/>
          <w:color w:val="000000" w:themeColor="text1"/>
          <w:sz w:val="20"/>
          <w:szCs w:val="20"/>
          <w:lang w:val="en-US"/>
        </w:rPr>
        <w:t>-</w:t>
      </w:r>
      <w:r w:rsidRPr="00EE30B6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effective energy resource. Waste heat to power is the process of converting the heat discarded </w:t>
      </w:r>
      <w:r w:rsidR="00C96A10">
        <w:rPr>
          <w:rFonts w:ascii="Arial" w:hAnsi="Arial" w:cs="Arial"/>
          <w:color w:val="000000" w:themeColor="text1"/>
          <w:sz w:val="20"/>
          <w:szCs w:val="20"/>
          <w:lang w:val="en-US"/>
        </w:rPr>
        <w:t>in</w:t>
      </w:r>
      <w:r w:rsidRPr="00EE30B6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electricity, via thermodynamic cycles, thermoelectric materials, pyroelectric materials. </w:t>
      </w:r>
      <w:r>
        <w:rPr>
          <w:rFonts w:ascii="Arial" w:hAnsi="Arial" w:cs="Arial"/>
          <w:color w:val="000000" w:themeColor="text1"/>
          <w:sz w:val="20"/>
          <w:szCs w:val="20"/>
          <w:lang w:val="en-US"/>
        </w:rPr>
        <w:t>Here, a</w:t>
      </w:r>
      <w:r w:rsidR="00C96A10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new </w:t>
      </w:r>
      <w:proofErr w:type="spellStart"/>
      <w:r w:rsidR="00C96A10" w:rsidRPr="00C96A10">
        <w:rPr>
          <w:rFonts w:ascii="Arial" w:hAnsi="Arial" w:cs="Arial"/>
          <w:color w:val="000000" w:themeColor="text1"/>
          <w:sz w:val="20"/>
          <w:szCs w:val="20"/>
          <w:lang w:val="en-US"/>
        </w:rPr>
        <w:t>ThermOmagnetic</w:t>
      </w:r>
      <w:proofErr w:type="spellEnd"/>
      <w:r w:rsidR="00C96A10" w:rsidRPr="00C96A10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</w:t>
      </w:r>
      <w:proofErr w:type="spellStart"/>
      <w:r w:rsidR="00C96A10" w:rsidRPr="00C96A10">
        <w:rPr>
          <w:rFonts w:ascii="Arial" w:hAnsi="Arial" w:cs="Arial"/>
          <w:color w:val="000000" w:themeColor="text1"/>
          <w:sz w:val="20"/>
          <w:szCs w:val="20"/>
          <w:lang w:val="en-US"/>
        </w:rPr>
        <w:t>hydRODYNAmic</w:t>
      </w:r>
      <w:proofErr w:type="spellEnd"/>
      <w:r w:rsidR="00C96A10" w:rsidRPr="00C96A10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energy harvester</w:t>
      </w:r>
      <w:r w:rsidR="00C96A10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(TORODYNA)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exploiting a commercial ferrofluid, is 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>presented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>. The lab-scale prototype has a toroidal geometry adopted from the well</w:t>
      </w:r>
      <w:r w:rsidR="00C96A10">
        <w:rPr>
          <w:rFonts w:ascii="Arial" w:hAnsi="Arial" w:cs="Arial"/>
          <w:color w:val="000000" w:themeColor="text1"/>
          <w:sz w:val="20"/>
          <w:szCs w:val="20"/>
          <w:lang w:val="en-US"/>
        </w:rPr>
        <w:t>-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known </w:t>
      </w:r>
      <w:r w:rsidR="00C92E2A" w:rsidRPr="00497F32">
        <w:rPr>
          <w:rFonts w:ascii="Arial" w:hAnsi="Arial" w:cs="Arial"/>
          <w:i/>
          <w:iCs/>
          <w:color w:val="000000" w:themeColor="text1"/>
          <w:sz w:val="20"/>
          <w:szCs w:val="20"/>
          <w:lang w:val="en-US"/>
        </w:rPr>
        <w:t>tokamak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>reactor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. Peltier modules are used to 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>generate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the thermal gradient 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between the two sides of the reactor, 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>that</w:t>
      </w:r>
      <w:r w:rsidR="00C96A10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combined </w:t>
      </w:r>
      <w:r w:rsidR="00C96A10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with the 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effect of 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>permanent magnets trigger the advection. To extract and ensure the output electrical energy, the structure is wrapped-up with coils and connected to an impedance and pico-</w:t>
      </w:r>
      <w:proofErr w:type="spellStart"/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>amperometer</w:t>
      </w:r>
      <w:proofErr w:type="spellEnd"/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>. Two coil configurations (purely poloidal and mixed poloidal/toroidal windings) are tested,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in a heterogeneous 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water-ferrofluid 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two-phase flow, reaching a maximum extracted electrical power of 10.4 </w:t>
      </w:r>
      <w:proofErr w:type="spellStart"/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>μW</w:t>
      </w:r>
      <w:proofErr w:type="spellEnd"/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>/K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from a thermal gradient of 10 K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, </w:t>
      </w:r>
      <w:r w:rsidR="00497F32">
        <w:rPr>
          <w:rFonts w:ascii="Arial" w:hAnsi="Arial" w:cs="Arial"/>
          <w:color w:val="000000" w:themeColor="text1"/>
          <w:sz w:val="20"/>
          <w:szCs w:val="20"/>
          <w:lang w:val="en-US"/>
        </w:rPr>
        <w:t>which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is approximately 20% of the ideal Carnot efficiency of a thermal machine working in the same temperature drop. </w:t>
      </w:r>
      <w:r w:rsidR="00C96A10">
        <w:rPr>
          <w:rFonts w:ascii="Arial" w:hAnsi="Arial" w:cs="Arial"/>
          <w:color w:val="000000" w:themeColor="text1"/>
          <w:sz w:val="20"/>
          <w:szCs w:val="20"/>
          <w:lang w:val="en-US"/>
        </w:rPr>
        <w:t>Furthermore, n</w:t>
      </w:r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umerical analysis of the system has been performed developing a Fortran™ code in </w:t>
      </w:r>
      <w:proofErr w:type="gramStart"/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>an</w:t>
      </w:r>
      <w:proofErr w:type="gramEnd"/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Eulerian framework, using </w:t>
      </w:r>
      <w:proofErr w:type="spellStart"/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>Galerkin</w:t>
      </w:r>
      <w:proofErr w:type="spellEnd"/>
      <w:r w:rsidR="00C92E2A" w:rsidRPr="00C92E2A">
        <w:rPr>
          <w:rFonts w:ascii="Arial" w:hAnsi="Arial" w:cs="Arial"/>
          <w:color w:val="000000" w:themeColor="text1"/>
          <w:sz w:val="20"/>
          <w:szCs w:val="20"/>
          <w:lang w:val="en-US"/>
        </w:rPr>
        <w:t xml:space="preserve"> approximation and harmonic functions.</w:t>
      </w:r>
    </w:p>
    <w:p w14:paraId="53D92CC7" w14:textId="4D97AA61" w:rsidR="00497F32" w:rsidRDefault="00497F32" w:rsidP="00C92E2A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en-US"/>
        </w:rPr>
      </w:pPr>
    </w:p>
    <w:p w14:paraId="4E702E25" w14:textId="189A340F" w:rsidR="00497F32" w:rsidRDefault="00EE30B6" w:rsidP="00C96A10">
      <w:pPr>
        <w:spacing w:after="0"/>
        <w:jc w:val="center"/>
        <w:rPr>
          <w:rFonts w:ascii="Arial" w:hAnsi="Arial" w:cs="Arial"/>
          <w:color w:val="000000" w:themeColor="text1"/>
          <w:sz w:val="20"/>
          <w:szCs w:val="20"/>
          <w:lang w:val="en-US"/>
        </w:rPr>
      </w:pPr>
      <w:r>
        <w:rPr>
          <w:noProof/>
        </w:rPr>
        <w:drawing>
          <wp:inline distT="0" distB="0" distL="0" distR="0" wp14:anchorId="606E1DF5" wp14:editId="37D66519">
            <wp:extent cx="1897380" cy="1422614"/>
            <wp:effectExtent l="0" t="0" r="7620" b="635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257" cy="1428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CBF15F" w14:textId="20F7C61F" w:rsidR="00C96A10" w:rsidRDefault="00C96A10" w:rsidP="00C96A10">
      <w:pPr>
        <w:spacing w:after="0"/>
        <w:jc w:val="center"/>
        <w:rPr>
          <w:rFonts w:ascii="Arial" w:hAnsi="Arial" w:cs="Arial"/>
          <w:color w:val="000000" w:themeColor="text1"/>
          <w:sz w:val="20"/>
          <w:szCs w:val="20"/>
          <w:lang w:val="en-US"/>
        </w:rPr>
      </w:pPr>
    </w:p>
    <w:p w14:paraId="4676D426" w14:textId="024C37D2" w:rsidR="00633C1F" w:rsidRPr="00C96A10" w:rsidRDefault="00C96A10" w:rsidP="00C96A10">
      <w:pPr>
        <w:jc w:val="center"/>
        <w:rPr>
          <w:rFonts w:ascii="Palatino Linotype" w:hAnsi="Palatino Linotype" w:cstheme="majorHAnsi"/>
          <w:color w:val="000000" w:themeColor="text1"/>
          <w:sz w:val="20"/>
          <w:szCs w:val="20"/>
          <w:lang w:val="en-US"/>
        </w:rPr>
      </w:pPr>
      <w:r w:rsidRPr="00C40674">
        <w:rPr>
          <w:rFonts w:ascii="Arial" w:hAnsi="Arial" w:cs="Arial"/>
          <w:sz w:val="20"/>
          <w:szCs w:val="20"/>
          <w:lang w:val="en-GB"/>
        </w:rPr>
        <w:t>Figure 1.</w:t>
      </w:r>
      <w:r>
        <w:rPr>
          <w:rFonts w:ascii="Arial" w:hAnsi="Arial" w:cs="Arial"/>
          <w:sz w:val="20"/>
          <w:szCs w:val="20"/>
          <w:lang w:val="en-GB"/>
        </w:rPr>
        <w:t xml:space="preserve"> </w:t>
      </w:r>
      <w:r w:rsidRPr="00C96A10">
        <w:rPr>
          <w:rFonts w:ascii="Arial" w:hAnsi="Arial" w:cs="Arial"/>
          <w:sz w:val="20"/>
          <w:szCs w:val="20"/>
          <w:lang w:val="en-GB"/>
        </w:rPr>
        <w:t>Side view of the operational TORODYNA with a thermal camera.</w:t>
      </w:r>
    </w:p>
    <w:p w14:paraId="57B5805B" w14:textId="407F255E" w:rsidR="003A12B3" w:rsidRDefault="003A12B3" w:rsidP="003C7B0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color w:val="343434"/>
          <w:sz w:val="20"/>
          <w:szCs w:val="20"/>
          <w:lang w:val="en-GB"/>
        </w:rPr>
      </w:pPr>
      <w:r w:rsidRPr="00C40674">
        <w:rPr>
          <w:rFonts w:ascii="Arial" w:hAnsi="Arial" w:cs="Arial"/>
          <w:b/>
          <w:sz w:val="20"/>
          <w:szCs w:val="20"/>
          <w:lang w:val="en-GB"/>
        </w:rPr>
        <w:t>References</w:t>
      </w:r>
    </w:p>
    <w:p w14:paraId="6B91F943" w14:textId="77777777" w:rsidR="00C92E2A" w:rsidRPr="00C40674" w:rsidRDefault="00C92E2A" w:rsidP="003C7B0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en-GB" w:eastAsia="pt-PT"/>
        </w:rPr>
      </w:pPr>
    </w:p>
    <w:p w14:paraId="50B69B1B" w14:textId="7D23EDE3" w:rsidR="00C92E2A" w:rsidRPr="00C92E2A" w:rsidRDefault="00C92E2A" w:rsidP="00C92E2A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en-GB" w:eastAsia="pt-PT"/>
        </w:rPr>
      </w:pPr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[</w:t>
      </w:r>
      <w:r w:rsidR="00EE30B6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1</w:t>
      </w:r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 xml:space="preserve">] Garofalo, Erik and </w:t>
      </w:r>
      <w:proofErr w:type="spellStart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Cecchini</w:t>
      </w:r>
      <w:proofErr w:type="spellEnd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 xml:space="preserve">, Luca and </w:t>
      </w:r>
      <w:proofErr w:type="spellStart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Bevione</w:t>
      </w:r>
      <w:proofErr w:type="spellEnd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 xml:space="preserve">, Matteo and </w:t>
      </w:r>
      <w:proofErr w:type="spellStart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Mattiussi</w:t>
      </w:r>
      <w:proofErr w:type="spellEnd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 xml:space="preserve">, Fabio and </w:t>
      </w:r>
      <w:proofErr w:type="spellStart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Chiolerio</w:t>
      </w:r>
      <w:proofErr w:type="spellEnd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 xml:space="preserve">, Alessandro, “Waste Heat to Power: Technologies, Current Applications and Future Potentials.” Submitted to </w:t>
      </w:r>
      <w:r w:rsidR="00EE30B6" w:rsidRPr="00EE30B6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Progress in Energy and Combustion Science</w:t>
      </w:r>
      <w:r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.</w:t>
      </w:r>
    </w:p>
    <w:p w14:paraId="00C6EDF5" w14:textId="3793A99D" w:rsidR="00C92E2A" w:rsidRPr="00C92E2A" w:rsidRDefault="00C92E2A" w:rsidP="00C92E2A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en-GB" w:eastAsia="pt-PT"/>
        </w:rPr>
      </w:pPr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[</w:t>
      </w:r>
      <w:r w:rsidR="007658C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2</w:t>
      </w:r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 xml:space="preserve">] </w:t>
      </w:r>
      <w:proofErr w:type="spellStart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Chiolerio</w:t>
      </w:r>
      <w:proofErr w:type="spellEnd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 xml:space="preserve">, Alessandro and </w:t>
      </w:r>
      <w:proofErr w:type="spellStart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Quadrelli</w:t>
      </w:r>
      <w:proofErr w:type="spellEnd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, Marco B., “Colloidal Energetic Systems”, Energy Technology 1800580, 2019</w:t>
      </w:r>
      <w:r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.</w:t>
      </w:r>
    </w:p>
    <w:p w14:paraId="75983AFC" w14:textId="1CDE0E0E" w:rsidR="00C92E2A" w:rsidRPr="00C92E2A" w:rsidRDefault="00C92E2A" w:rsidP="00C92E2A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en-GB" w:eastAsia="pt-PT"/>
        </w:rPr>
      </w:pPr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[</w:t>
      </w:r>
      <w:r w:rsidR="007658C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3</w:t>
      </w:r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] N. S. Mousavi and S. Kumar, “Effective heat capacity of ferrofluids e Analytical approach,” International Journal of Thermal Sciences, vol. 84, pp. 267-274, 2014</w:t>
      </w:r>
      <w:r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.</w:t>
      </w:r>
    </w:p>
    <w:p w14:paraId="704C07BE" w14:textId="3011AD9F" w:rsidR="00C92E2A" w:rsidRPr="00C92E2A" w:rsidRDefault="00C92E2A" w:rsidP="00C92E2A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en-GB" w:eastAsia="pt-PT"/>
        </w:rPr>
      </w:pPr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[</w:t>
      </w:r>
      <w:r w:rsidR="007658C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4</w:t>
      </w:r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 xml:space="preserve">] </w:t>
      </w:r>
      <w:proofErr w:type="spellStart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Suslov</w:t>
      </w:r>
      <w:proofErr w:type="spellEnd"/>
      <w:r w:rsidRPr="00C92E2A"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, Sergey A., “Thermomagnetic convection in a vertical layer of ferromagnetic fluid”, Physics of Fluid, vol. 20, pp. 084101-1-084101-17, 2008</w:t>
      </w:r>
      <w:r>
        <w:rPr>
          <w:rFonts w:ascii="Arial" w:hAnsi="Arial" w:cs="Arial"/>
          <w:color w:val="000000" w:themeColor="text1"/>
          <w:sz w:val="20"/>
          <w:szCs w:val="20"/>
          <w:lang w:val="en-GB" w:eastAsia="pt-PT"/>
        </w:rPr>
        <w:t>.</w:t>
      </w:r>
    </w:p>
    <w:p w14:paraId="1F8932FC" w14:textId="77777777" w:rsidR="00C92E2A" w:rsidRPr="00C40674" w:rsidRDefault="00C92E2A" w:rsidP="00C92E2A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en-GB" w:eastAsia="pt-PT"/>
        </w:rPr>
      </w:pPr>
      <w:bookmarkStart w:id="0" w:name="_GoBack"/>
      <w:bookmarkEnd w:id="0"/>
    </w:p>
    <w:p w14:paraId="3F4E5821" w14:textId="5DB24962" w:rsidR="00633C1F" w:rsidRDefault="003A12B3" w:rsidP="003C7B0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color w:val="343434"/>
          <w:sz w:val="20"/>
          <w:szCs w:val="20"/>
          <w:lang w:val="en-GB"/>
        </w:rPr>
      </w:pPr>
      <w:r w:rsidRPr="00C40674">
        <w:rPr>
          <w:rFonts w:ascii="Arial" w:hAnsi="Arial" w:cs="Arial"/>
          <w:b/>
          <w:sz w:val="20"/>
          <w:szCs w:val="20"/>
          <w:lang w:val="en-GB"/>
        </w:rPr>
        <w:t>Acknowledgements</w:t>
      </w:r>
    </w:p>
    <w:p w14:paraId="4D33627D" w14:textId="77777777" w:rsidR="00A4717B" w:rsidRPr="00C40674" w:rsidRDefault="00A4717B" w:rsidP="003C7B0B">
      <w:pPr>
        <w:spacing w:after="0"/>
        <w:jc w:val="both"/>
        <w:rPr>
          <w:rFonts w:ascii="Arial" w:hAnsi="Arial" w:cs="Arial"/>
          <w:sz w:val="20"/>
          <w:szCs w:val="20"/>
          <w:lang w:val="en-GB"/>
        </w:rPr>
      </w:pPr>
    </w:p>
    <w:p w14:paraId="01AB8AAD" w14:textId="6DA22389" w:rsidR="008817CB" w:rsidRPr="00C92E2A" w:rsidRDefault="00C92E2A" w:rsidP="00C92E2A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C92E2A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The Authors wish to thank </w:t>
      </w:r>
      <w:proofErr w:type="spellStart"/>
      <w:r w:rsidRPr="00C92E2A">
        <w:rPr>
          <w:rFonts w:ascii="Arial" w:hAnsi="Arial" w:cs="Arial"/>
          <w:color w:val="000000" w:themeColor="text1"/>
          <w:sz w:val="20"/>
          <w:szCs w:val="20"/>
          <w:lang w:val="en-GB"/>
        </w:rPr>
        <w:t>Politronica</w:t>
      </w:r>
      <w:proofErr w:type="spellEnd"/>
      <w:r w:rsidRPr="00C92E2A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Inkjet Printing </w:t>
      </w:r>
      <w:proofErr w:type="spellStart"/>
      <w:r w:rsidRPr="00C92E2A">
        <w:rPr>
          <w:rFonts w:ascii="Arial" w:hAnsi="Arial" w:cs="Arial"/>
          <w:color w:val="000000" w:themeColor="text1"/>
          <w:sz w:val="20"/>
          <w:szCs w:val="20"/>
          <w:lang w:val="en-GB"/>
        </w:rPr>
        <w:t>S.r.l</w:t>
      </w:r>
      <w:proofErr w:type="spellEnd"/>
      <w:r w:rsidRPr="00C92E2A">
        <w:rPr>
          <w:rFonts w:ascii="Arial" w:hAnsi="Arial" w:cs="Arial"/>
          <w:color w:val="000000" w:themeColor="text1"/>
          <w:sz w:val="20"/>
          <w:szCs w:val="20"/>
          <w:lang w:val="en-GB"/>
        </w:rPr>
        <w:t>. for providing the 3d printed prototype of the TORODYNA vessel for free.</w:t>
      </w:r>
    </w:p>
    <w:sectPr w:rsidR="008817CB" w:rsidRPr="00C92E2A" w:rsidSect="00E20598">
      <w:pgSz w:w="1190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▪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F42"/>
    <w:rsid w:val="001032FD"/>
    <w:rsid w:val="003A12B3"/>
    <w:rsid w:val="003C7B0B"/>
    <w:rsid w:val="00497F32"/>
    <w:rsid w:val="00580B08"/>
    <w:rsid w:val="00633C1F"/>
    <w:rsid w:val="00760F42"/>
    <w:rsid w:val="007658CA"/>
    <w:rsid w:val="0078057C"/>
    <w:rsid w:val="007E0C65"/>
    <w:rsid w:val="008817CB"/>
    <w:rsid w:val="00A13F0D"/>
    <w:rsid w:val="00A33B9E"/>
    <w:rsid w:val="00A4717B"/>
    <w:rsid w:val="00C35060"/>
    <w:rsid w:val="00C40674"/>
    <w:rsid w:val="00C92E2A"/>
    <w:rsid w:val="00C96A10"/>
    <w:rsid w:val="00CD1726"/>
    <w:rsid w:val="00DC5133"/>
    <w:rsid w:val="00E20598"/>
    <w:rsid w:val="00EE30B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81FE44"/>
  <w15:docId w15:val="{0DEEFB47-2E6A-5242-BE7C-D247E489C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DC5133"/>
    <w:rPr>
      <w:lang w:val="pt-P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3A12B3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3A12B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20598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20598"/>
    <w:rPr>
      <w:rFonts w:ascii="Lucida Grande" w:hAnsi="Lucida Grande" w:cs="Lucida Grande"/>
      <w:sz w:val="18"/>
      <w:szCs w:val="18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5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91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D855745D3121A4E939BFD7D0BB1A711" ma:contentTypeVersion="11" ma:contentTypeDescription="Creare un nuovo documento." ma:contentTypeScope="" ma:versionID="bd893cd898e38fe6c760ce6a07ce4a0e">
  <xsd:schema xmlns:xsd="http://www.w3.org/2001/XMLSchema" xmlns:xs="http://www.w3.org/2001/XMLSchema" xmlns:p="http://schemas.microsoft.com/office/2006/metadata/properties" xmlns:ns3="089157ed-a8c7-46f1-a2b0-222b7ac98bf1" xmlns:ns4="bc9d7c25-4b4b-4fc2-8685-a5d6c797f5c1" targetNamespace="http://schemas.microsoft.com/office/2006/metadata/properties" ma:root="true" ma:fieldsID="53a597b6804231a18cdde562b61f27fa" ns3:_="" ns4:_="">
    <xsd:import namespace="089157ed-a8c7-46f1-a2b0-222b7ac98bf1"/>
    <xsd:import namespace="bc9d7c25-4b4b-4fc2-8685-a5d6c797f5c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9157ed-a8c7-46f1-a2b0-222b7ac98b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7c25-4b4b-4fc2-8685-a5d6c797f5c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>
  <b:Source>
    <b:Tag>BCS08</b:Tag>
    <b:SourceType>Report</b:SourceType>
    <b:Guid>{794ABC50-86D7-4C7B-9C2B-F71D73219E70}</b:Guid>
    <b:Title>Waste Heat Recovery:</b:Title>
    <b:Year>2008</b:Year>
    <b:Author>
      <b:Author>
        <b:NameList>
          <b:Person>
            <b:Last>BCS</b:Last>
            <b:First>Incorporated</b:First>
          </b:Person>
        </b:NameList>
      </b:Author>
    </b:Author>
    <b:RefOrder>1</b:RefOrder>
  </b:Source>
</b:Sources>
</file>

<file path=customXml/itemProps1.xml><?xml version="1.0" encoding="utf-8"?>
<ds:datastoreItem xmlns:ds="http://schemas.openxmlformats.org/officeDocument/2006/customXml" ds:itemID="{41C76BC6-16A4-439C-9DCC-D77996E1AC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15577B6-D374-4D2F-9677-FCCB695776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9157ed-a8c7-46f1-a2b0-222b7ac98bf1"/>
    <ds:schemaRef ds:uri="bc9d7c25-4b4b-4fc2-8685-a5d6c797f5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66F7AB3-B6D3-402C-AF43-9F0075CFEC4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DB89800-4151-4411-82F7-09077468F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451</Words>
  <Characters>2571</Characters>
  <Application>Microsoft Office Word</Application>
  <DocSecurity>0</DocSecurity>
  <Lines>21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uvigo</Company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 Santos</dc:creator>
  <cp:keywords/>
  <dc:description/>
  <cp:lastModifiedBy>Erik Garofalo</cp:lastModifiedBy>
  <cp:revision>4</cp:revision>
  <dcterms:created xsi:type="dcterms:W3CDTF">2019-09-13T13:47:00Z</dcterms:created>
  <dcterms:modified xsi:type="dcterms:W3CDTF">2019-09-13T14:34:00Z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0x010100AD855745D3121A4E939BFD7D0BB1A711</vt:lpwstr>
  </property>
</Properties>
</file>