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B7D796" w14:textId="257519F4" w:rsidR="00307047" w:rsidRPr="00CE1107" w:rsidRDefault="00777178" w:rsidP="00CE1107">
      <w:pPr>
        <w:pStyle w:val="EFCFTitle"/>
        <w:spacing w:line="480" w:lineRule="auto"/>
        <w:jc w:val="left"/>
        <w:rPr>
          <w:rFonts w:ascii="Times New Roman" w:hAnsi="Times New Roman" w:cs="Times New Roman"/>
          <w:sz w:val="32"/>
          <w:szCs w:val="32"/>
        </w:rPr>
      </w:pPr>
      <w:bookmarkStart w:id="0" w:name="_GoBack"/>
      <w:r>
        <w:rPr>
          <w:rFonts w:ascii="Times New Roman" w:hAnsi="Times New Roman" w:cs="Times New Roman"/>
          <w:sz w:val="32"/>
          <w:szCs w:val="32"/>
        </w:rPr>
        <w:t>Reporting degradation from different fuel contaminants</w:t>
      </w:r>
      <w:r w:rsidR="00307047" w:rsidRPr="00CE1107">
        <w:rPr>
          <w:rFonts w:ascii="Times New Roman" w:hAnsi="Times New Roman" w:cs="Times New Roman"/>
          <w:sz w:val="32"/>
          <w:szCs w:val="32"/>
        </w:rPr>
        <w:t xml:space="preserve"> in Ni-anode SOFCs</w:t>
      </w:r>
    </w:p>
    <w:bookmarkEnd w:id="0"/>
    <w:p w14:paraId="64D6788C" w14:textId="12110060" w:rsidR="00CE1107" w:rsidRPr="00CE1107" w:rsidRDefault="00307047" w:rsidP="00CE1107">
      <w:pPr>
        <w:pStyle w:val="EFCFAuthors"/>
        <w:spacing w:line="480" w:lineRule="auto"/>
        <w:jc w:val="left"/>
        <w:rPr>
          <w:rFonts w:ascii="Times New Roman" w:hAnsi="Times New Roman" w:cs="Times New Roman"/>
          <w:b w:val="0"/>
          <w:lang w:val="it-IT"/>
        </w:rPr>
      </w:pPr>
      <w:r w:rsidRPr="00CE1107">
        <w:rPr>
          <w:rFonts w:ascii="Times New Roman" w:hAnsi="Times New Roman" w:cs="Times New Roman"/>
          <w:b w:val="0"/>
          <w:lang w:val="it-IT"/>
        </w:rPr>
        <w:t>A</w:t>
      </w:r>
      <w:r w:rsidR="00711D2D">
        <w:rPr>
          <w:rFonts w:ascii="Times New Roman" w:hAnsi="Times New Roman" w:cs="Times New Roman"/>
          <w:b w:val="0"/>
          <w:lang w:val="it-IT"/>
        </w:rPr>
        <w:t>ndrea</w:t>
      </w:r>
      <w:r w:rsidRPr="00CE1107">
        <w:rPr>
          <w:rFonts w:ascii="Times New Roman" w:hAnsi="Times New Roman" w:cs="Times New Roman"/>
          <w:b w:val="0"/>
          <w:lang w:val="it-IT"/>
        </w:rPr>
        <w:t xml:space="preserve"> Lanzini</w:t>
      </w:r>
      <w:r w:rsidR="00CE1107" w:rsidRPr="00CE1107">
        <w:rPr>
          <w:rFonts w:ascii="Times New Roman" w:hAnsi="Times New Roman" w:cs="Times New Roman"/>
          <w:b w:val="0"/>
          <w:vertAlign w:val="superscript"/>
          <w:lang w:val="it-IT"/>
        </w:rPr>
        <w:t>1*</w:t>
      </w:r>
      <w:r w:rsidRPr="00CE1107">
        <w:rPr>
          <w:rFonts w:ascii="Times New Roman" w:hAnsi="Times New Roman" w:cs="Times New Roman"/>
          <w:b w:val="0"/>
          <w:lang w:val="it-IT"/>
        </w:rPr>
        <w:t>, D</w:t>
      </w:r>
      <w:r w:rsidR="00711D2D">
        <w:rPr>
          <w:rFonts w:ascii="Times New Roman" w:hAnsi="Times New Roman" w:cs="Times New Roman"/>
          <w:b w:val="0"/>
          <w:lang w:val="it-IT"/>
        </w:rPr>
        <w:t>omenico Ferrero</w:t>
      </w:r>
      <w:r w:rsidR="00CE1107" w:rsidRPr="00CE1107">
        <w:rPr>
          <w:rFonts w:ascii="Times New Roman" w:hAnsi="Times New Roman" w:cs="Times New Roman"/>
          <w:b w:val="0"/>
          <w:vertAlign w:val="superscript"/>
          <w:lang w:val="it-IT"/>
        </w:rPr>
        <w:t>1</w:t>
      </w:r>
      <w:r w:rsidRPr="00CE1107">
        <w:rPr>
          <w:rFonts w:ascii="Times New Roman" w:hAnsi="Times New Roman" w:cs="Times New Roman"/>
          <w:b w:val="0"/>
          <w:lang w:val="it-IT"/>
        </w:rPr>
        <w:t>, D</w:t>
      </w:r>
      <w:r w:rsidR="00711D2D">
        <w:rPr>
          <w:rFonts w:ascii="Times New Roman" w:hAnsi="Times New Roman" w:cs="Times New Roman"/>
          <w:b w:val="0"/>
          <w:lang w:val="it-IT"/>
        </w:rPr>
        <w:t>avide</w:t>
      </w:r>
      <w:r w:rsidRPr="00CE1107">
        <w:rPr>
          <w:rFonts w:ascii="Times New Roman" w:hAnsi="Times New Roman" w:cs="Times New Roman"/>
          <w:b w:val="0"/>
          <w:lang w:val="it-IT"/>
        </w:rPr>
        <w:t xml:space="preserve"> </w:t>
      </w:r>
      <w:r w:rsidR="00711D2D">
        <w:rPr>
          <w:rFonts w:ascii="Times New Roman" w:hAnsi="Times New Roman" w:cs="Times New Roman"/>
          <w:b w:val="0"/>
          <w:lang w:val="it-IT"/>
        </w:rPr>
        <w:t>Papurello</w:t>
      </w:r>
      <w:r w:rsidR="00CE1107" w:rsidRPr="00CE1107">
        <w:rPr>
          <w:rFonts w:ascii="Times New Roman" w:hAnsi="Times New Roman" w:cs="Times New Roman"/>
          <w:b w:val="0"/>
          <w:vertAlign w:val="superscript"/>
          <w:lang w:val="it-IT"/>
        </w:rPr>
        <w:t>1</w:t>
      </w:r>
      <w:r w:rsidR="00711D2D">
        <w:rPr>
          <w:rFonts w:ascii="Times New Roman" w:hAnsi="Times New Roman" w:cs="Times New Roman"/>
          <w:b w:val="0"/>
          <w:lang w:val="it-IT"/>
        </w:rPr>
        <w:t>, Massimo</w:t>
      </w:r>
      <w:r w:rsidRPr="00CE1107">
        <w:rPr>
          <w:rFonts w:ascii="Times New Roman" w:hAnsi="Times New Roman" w:cs="Times New Roman"/>
          <w:b w:val="0"/>
          <w:lang w:val="it-IT"/>
        </w:rPr>
        <w:t xml:space="preserve"> Santarelli</w:t>
      </w:r>
      <w:r w:rsidR="00CE1107" w:rsidRPr="00CE1107">
        <w:rPr>
          <w:rFonts w:ascii="Times New Roman" w:hAnsi="Times New Roman" w:cs="Times New Roman"/>
          <w:b w:val="0"/>
          <w:vertAlign w:val="superscript"/>
          <w:lang w:val="it-IT"/>
        </w:rPr>
        <w:t>1</w:t>
      </w:r>
    </w:p>
    <w:p w14:paraId="12DB71A6" w14:textId="77777777" w:rsidR="00307047" w:rsidRPr="00CE1107" w:rsidRDefault="00CE1107" w:rsidP="00CE1107">
      <w:pPr>
        <w:pStyle w:val="EFCFAdress"/>
        <w:spacing w:line="480" w:lineRule="auto"/>
        <w:jc w:val="left"/>
        <w:rPr>
          <w:rFonts w:ascii="Times New Roman" w:hAnsi="Times New Roman" w:cs="Times New Roman"/>
          <w:lang w:val="it-IT"/>
        </w:rPr>
      </w:pPr>
      <w:r w:rsidRPr="00CE1107">
        <w:rPr>
          <w:rFonts w:ascii="Times New Roman" w:hAnsi="Times New Roman" w:cs="Times New Roman"/>
          <w:vertAlign w:val="superscript"/>
          <w:lang w:val="it-IT"/>
        </w:rPr>
        <w:t xml:space="preserve">1 </w:t>
      </w:r>
      <w:r w:rsidRPr="00CE1107">
        <w:rPr>
          <w:rFonts w:ascii="Times New Roman" w:hAnsi="Times New Roman" w:cs="Times New Roman"/>
          <w:lang w:val="it-IT"/>
        </w:rPr>
        <w:t xml:space="preserve">Politecnico di Torino, </w:t>
      </w:r>
      <w:r w:rsidR="00307047" w:rsidRPr="00CE1107">
        <w:rPr>
          <w:rFonts w:ascii="Times New Roman" w:hAnsi="Times New Roman" w:cs="Times New Roman"/>
          <w:lang w:val="it-IT"/>
        </w:rPr>
        <w:t xml:space="preserve">Energy Department, Corso Duca degli Abruzzi 24, 10129 Torino, </w:t>
      </w:r>
      <w:r w:rsidRPr="00CE1107">
        <w:rPr>
          <w:rFonts w:ascii="Times New Roman" w:hAnsi="Times New Roman" w:cs="Times New Roman"/>
          <w:lang w:val="it-IT"/>
        </w:rPr>
        <w:t>Italy</w:t>
      </w:r>
    </w:p>
    <w:p w14:paraId="07A3982B" w14:textId="77777777" w:rsidR="00CE1107" w:rsidRDefault="00CE1107" w:rsidP="00CE1107">
      <w:pPr>
        <w:pStyle w:val="EFCFemail"/>
        <w:spacing w:line="480" w:lineRule="auto"/>
        <w:jc w:val="left"/>
        <w:rPr>
          <w:rFonts w:ascii="Times New Roman" w:hAnsi="Times New Roman" w:cs="Times New Roman"/>
          <w:sz w:val="24"/>
          <w:szCs w:val="24"/>
          <w:lang w:val="en-GB"/>
        </w:rPr>
      </w:pPr>
      <w:r w:rsidRPr="00CE1107">
        <w:rPr>
          <w:rFonts w:ascii="Times New Roman" w:hAnsi="Times New Roman" w:cs="Times New Roman"/>
          <w:i/>
          <w:sz w:val="24"/>
          <w:szCs w:val="24"/>
          <w:lang w:val="en-GB"/>
        </w:rPr>
        <w:t>[*]Corresponding author</w:t>
      </w:r>
      <w:r w:rsidRPr="00CE1107">
        <w:rPr>
          <w:rFonts w:ascii="Times New Roman" w:hAnsi="Times New Roman" w:cs="Times New Roman"/>
          <w:sz w:val="24"/>
          <w:szCs w:val="24"/>
          <w:lang w:val="en-GB"/>
        </w:rPr>
        <w:t>: andrea.lanzini@polito.it</w:t>
      </w:r>
    </w:p>
    <w:p w14:paraId="2A115934" w14:textId="77777777" w:rsidR="00CE1107" w:rsidRPr="00CE1107" w:rsidRDefault="00CE1107" w:rsidP="00CE1107">
      <w:pPr>
        <w:pStyle w:val="EFCFText"/>
        <w:rPr>
          <w:lang w:val="en-GB"/>
        </w:rPr>
      </w:pPr>
    </w:p>
    <w:p w14:paraId="7697E07A" w14:textId="77777777" w:rsidR="00307047" w:rsidRPr="00CE1107" w:rsidRDefault="00307047" w:rsidP="00CE1107">
      <w:pPr>
        <w:pStyle w:val="EFCFSubtitle1"/>
        <w:jc w:val="left"/>
        <w:rPr>
          <w:rFonts w:ascii="Times New Roman" w:hAnsi="Times New Roman" w:cs="Times New Roman"/>
        </w:rPr>
      </w:pPr>
      <w:r w:rsidRPr="00CE1107">
        <w:rPr>
          <w:rFonts w:ascii="Times New Roman" w:hAnsi="Times New Roman" w:cs="Times New Roman"/>
        </w:rPr>
        <w:t>Abstract</w:t>
      </w:r>
    </w:p>
    <w:p w14:paraId="3B8B9830" w14:textId="77777777" w:rsidR="00307047" w:rsidRPr="00485853" w:rsidRDefault="00307047" w:rsidP="00307047">
      <w:pPr>
        <w:pStyle w:val="EFCFText"/>
        <w:jc w:val="center"/>
      </w:pPr>
    </w:p>
    <w:p w14:paraId="755A4A9E" w14:textId="77777777" w:rsidR="00307047" w:rsidRPr="00917C37" w:rsidRDefault="00307047" w:rsidP="002067A9">
      <w:pPr>
        <w:pStyle w:val="EFCFText"/>
        <w:spacing w:line="480" w:lineRule="auto"/>
        <w:rPr>
          <w:rFonts w:ascii="Times New Roman" w:hAnsi="Times New Roman" w:cs="Times New Roman"/>
          <w:lang w:val="en-GB"/>
        </w:rPr>
      </w:pPr>
      <w:r w:rsidRPr="00917C37">
        <w:rPr>
          <w:rFonts w:ascii="Times New Roman" w:hAnsi="Times New Roman" w:cs="Times New Roman"/>
          <w:lang w:val="en-GB"/>
        </w:rPr>
        <w:t>The real-life operation of solid oxide fuel cell (SOFC) system has to deal with fuel contaminants that might reduce even significantly the lifetime of reformer and stack depending on the type and amount of contaminant present in the feed stream.</w:t>
      </w:r>
    </w:p>
    <w:p w14:paraId="23ED7FCB" w14:textId="48152955" w:rsidR="00307047" w:rsidRPr="00917C37" w:rsidRDefault="00307047" w:rsidP="002067A9">
      <w:pPr>
        <w:pStyle w:val="EFCFText"/>
        <w:spacing w:line="480" w:lineRule="auto"/>
        <w:rPr>
          <w:rFonts w:ascii="Times New Roman" w:hAnsi="Times New Roman" w:cs="Times New Roman"/>
          <w:lang w:val="en-GB"/>
        </w:rPr>
      </w:pPr>
      <w:r w:rsidRPr="00917C37">
        <w:rPr>
          <w:rFonts w:ascii="Times New Roman" w:hAnsi="Times New Roman" w:cs="Times New Roman"/>
          <w:lang w:val="en-GB"/>
        </w:rPr>
        <w:t xml:space="preserve">From a </w:t>
      </w:r>
      <w:r w:rsidRPr="00873410">
        <w:rPr>
          <w:rFonts w:ascii="Times New Roman" w:hAnsi="Times New Roman" w:cs="Times New Roman"/>
          <w:noProof/>
          <w:lang w:val="en-GB"/>
        </w:rPr>
        <w:t>system</w:t>
      </w:r>
      <w:r w:rsidR="00873410">
        <w:rPr>
          <w:rFonts w:ascii="Times New Roman" w:hAnsi="Times New Roman" w:cs="Times New Roman"/>
          <w:noProof/>
          <w:lang w:val="en-GB"/>
        </w:rPr>
        <w:t xml:space="preserve"> </w:t>
      </w:r>
      <w:r w:rsidRPr="00873410">
        <w:rPr>
          <w:rFonts w:ascii="Times New Roman" w:hAnsi="Times New Roman" w:cs="Times New Roman"/>
          <w:noProof/>
          <w:lang w:val="en-GB"/>
        </w:rPr>
        <w:t>perspective</w:t>
      </w:r>
      <w:r w:rsidRPr="00917C37">
        <w:rPr>
          <w:rFonts w:ascii="Times New Roman" w:hAnsi="Times New Roman" w:cs="Times New Roman"/>
          <w:lang w:val="en-GB"/>
        </w:rPr>
        <w:t xml:space="preserve">, detecting and correlating observed stack and reformer performance degradation with fuel contamination is fundamental to implement correctional procedures (e.g., change of clean-up vessels catalysts) and/or trigger alarms to prevent a further </w:t>
      </w:r>
      <w:r w:rsidRPr="00873410">
        <w:rPr>
          <w:rFonts w:ascii="Times New Roman" w:hAnsi="Times New Roman" w:cs="Times New Roman"/>
          <w:noProof/>
          <w:lang w:val="en-GB"/>
        </w:rPr>
        <w:t>contamination</w:t>
      </w:r>
      <w:r w:rsidRPr="00917C37">
        <w:rPr>
          <w:rFonts w:ascii="Times New Roman" w:hAnsi="Times New Roman" w:cs="Times New Roman"/>
          <w:lang w:val="en-GB"/>
        </w:rPr>
        <w:t xml:space="preserve"> of the fuel cell.</w:t>
      </w:r>
    </w:p>
    <w:p w14:paraId="694C53E7" w14:textId="77777777" w:rsidR="00307047" w:rsidRPr="00917C37" w:rsidRDefault="00307047" w:rsidP="002067A9">
      <w:pPr>
        <w:pStyle w:val="EFCFText"/>
        <w:spacing w:line="480" w:lineRule="auto"/>
        <w:rPr>
          <w:rFonts w:ascii="Times New Roman" w:hAnsi="Times New Roman" w:cs="Times New Roman"/>
          <w:lang w:val="en-GB"/>
        </w:rPr>
      </w:pPr>
      <w:r w:rsidRPr="00917C37">
        <w:rPr>
          <w:rFonts w:ascii="Times New Roman" w:hAnsi="Times New Roman" w:cs="Times New Roman"/>
          <w:lang w:val="en-GB"/>
        </w:rPr>
        <w:t>In this work, based on own experiments with several fuel contaminants (H</w:t>
      </w:r>
      <w:r w:rsidRPr="00917C37">
        <w:rPr>
          <w:rFonts w:ascii="Times New Roman" w:hAnsi="Times New Roman" w:cs="Times New Roman"/>
          <w:vertAlign w:val="subscript"/>
          <w:lang w:val="en-GB"/>
        </w:rPr>
        <w:t>2</w:t>
      </w:r>
      <w:r w:rsidRPr="00917C37">
        <w:rPr>
          <w:rFonts w:ascii="Times New Roman" w:hAnsi="Times New Roman" w:cs="Times New Roman"/>
          <w:lang w:val="en-GB"/>
        </w:rPr>
        <w:t>S, HCl, tars, siloxanes), we have developed empirical degradation models that are able to quantitatively correlate the range of degradation rate resulting from known amounts of a certain contaminant type in the fuel stream.</w:t>
      </w:r>
      <w:r w:rsidR="003F5AA4">
        <w:rPr>
          <w:rFonts w:ascii="Times New Roman" w:hAnsi="Times New Roman" w:cs="Times New Roman"/>
          <w:lang w:val="en-GB"/>
        </w:rPr>
        <w:t xml:space="preserve"> Degradation induced by carbon deposition is also assessed using a simulation model.</w:t>
      </w:r>
    </w:p>
    <w:p w14:paraId="303BB7DC" w14:textId="379BB70D" w:rsidR="00307047" w:rsidRPr="00917C37" w:rsidRDefault="00307047" w:rsidP="002067A9">
      <w:pPr>
        <w:pStyle w:val="EFCFText"/>
        <w:spacing w:line="480" w:lineRule="auto"/>
        <w:rPr>
          <w:rFonts w:ascii="Times New Roman" w:hAnsi="Times New Roman" w:cs="Times New Roman"/>
          <w:lang w:val="en-GB"/>
        </w:rPr>
      </w:pPr>
      <w:r w:rsidRPr="00917C37">
        <w:rPr>
          <w:rFonts w:ascii="Times New Roman" w:hAnsi="Times New Roman" w:cs="Times New Roman"/>
          <w:lang w:val="en-GB"/>
        </w:rPr>
        <w:t xml:space="preserve">The techno-economic trade-off of having ultra-stringent purification requirements on the fuel clean-up unit  due to additional operating costs (e.g., for </w:t>
      </w:r>
      <w:r w:rsidRPr="00873410">
        <w:rPr>
          <w:rFonts w:ascii="Times New Roman" w:hAnsi="Times New Roman" w:cs="Times New Roman"/>
          <w:noProof/>
          <w:lang w:val="en-GB"/>
        </w:rPr>
        <w:t>frequent</w:t>
      </w:r>
      <w:r w:rsidRPr="00917C37">
        <w:rPr>
          <w:rFonts w:ascii="Times New Roman" w:hAnsi="Times New Roman" w:cs="Times New Roman"/>
          <w:lang w:val="en-GB"/>
        </w:rPr>
        <w:t xml:space="preserve"> catalysts change) or capital costs (e.g., for vessel over-sizing to accommodate for</w:t>
      </w:r>
      <w:r w:rsidR="00873410">
        <w:rPr>
          <w:rFonts w:ascii="Times New Roman" w:hAnsi="Times New Roman" w:cs="Times New Roman"/>
          <w:lang w:val="en-GB"/>
        </w:rPr>
        <w:t xml:space="preserve"> a</w:t>
      </w:r>
      <w:r w:rsidRPr="00917C37">
        <w:rPr>
          <w:rFonts w:ascii="Times New Roman" w:hAnsi="Times New Roman" w:cs="Times New Roman"/>
          <w:lang w:val="en-GB"/>
        </w:rPr>
        <w:t xml:space="preserve"> </w:t>
      </w:r>
      <w:r w:rsidRPr="00873410">
        <w:rPr>
          <w:rFonts w:ascii="Times New Roman" w:hAnsi="Times New Roman" w:cs="Times New Roman"/>
          <w:noProof/>
          <w:lang w:val="en-GB"/>
        </w:rPr>
        <w:t>larger</w:t>
      </w:r>
      <w:r w:rsidRPr="00917C37">
        <w:rPr>
          <w:rFonts w:ascii="Times New Roman" w:hAnsi="Times New Roman" w:cs="Times New Roman"/>
          <w:lang w:val="en-GB"/>
        </w:rPr>
        <w:t xml:space="preserve"> amount of catalysts and possibly of different types) versus the lifetime of the fuel cell stacks is eventually </w:t>
      </w:r>
      <w:r w:rsidRPr="00873410">
        <w:rPr>
          <w:rFonts w:ascii="Times New Roman" w:hAnsi="Times New Roman" w:cs="Times New Roman"/>
          <w:noProof/>
          <w:lang w:val="en-GB"/>
        </w:rPr>
        <w:t>analy</w:t>
      </w:r>
      <w:r w:rsidR="00873410">
        <w:rPr>
          <w:rFonts w:ascii="Times New Roman" w:hAnsi="Times New Roman" w:cs="Times New Roman"/>
          <w:noProof/>
          <w:lang w:val="en-GB"/>
        </w:rPr>
        <w:t>z</w:t>
      </w:r>
      <w:r w:rsidRPr="00873410">
        <w:rPr>
          <w:rFonts w:ascii="Times New Roman" w:hAnsi="Times New Roman" w:cs="Times New Roman"/>
          <w:noProof/>
          <w:lang w:val="en-GB"/>
        </w:rPr>
        <w:t>ed</w:t>
      </w:r>
      <w:r w:rsidRPr="00917C37">
        <w:rPr>
          <w:rFonts w:ascii="Times New Roman" w:hAnsi="Times New Roman" w:cs="Times New Roman"/>
          <w:lang w:val="en-GB"/>
        </w:rPr>
        <w:t xml:space="preserve">. </w:t>
      </w:r>
    </w:p>
    <w:p w14:paraId="7E093ED2" w14:textId="77777777" w:rsidR="00A6464B" w:rsidRPr="00307047" w:rsidRDefault="00A6464B">
      <w:pPr>
        <w:rPr>
          <w:b/>
          <w:i/>
          <w:sz w:val="40"/>
          <w:lang w:val="en-GB"/>
        </w:rPr>
      </w:pPr>
    </w:p>
    <w:p w14:paraId="43BBFE91" w14:textId="77777777" w:rsidR="00D661F1" w:rsidRDefault="006B7A58" w:rsidP="00D661F1">
      <w:pPr>
        <w:spacing w:line="480" w:lineRule="auto"/>
        <w:rPr>
          <w:rFonts w:ascii="Times New Roman" w:hAnsi="Times New Roman" w:cs="Times New Roman"/>
          <w:sz w:val="24"/>
          <w:szCs w:val="24"/>
        </w:rPr>
      </w:pPr>
      <w:r w:rsidRPr="00917C37">
        <w:rPr>
          <w:rFonts w:ascii="Times New Roman" w:hAnsi="Times New Roman" w:cs="Times New Roman"/>
          <w:b/>
          <w:sz w:val="24"/>
          <w:szCs w:val="24"/>
        </w:rPr>
        <w:t>Keywords</w:t>
      </w:r>
      <w:r w:rsidRPr="00917C37">
        <w:rPr>
          <w:rFonts w:ascii="Times New Roman" w:hAnsi="Times New Roman" w:cs="Times New Roman"/>
          <w:sz w:val="24"/>
          <w:szCs w:val="24"/>
        </w:rPr>
        <w:t xml:space="preserve">: </w:t>
      </w:r>
      <w:r w:rsidR="00713A79" w:rsidRPr="00917C37">
        <w:rPr>
          <w:rFonts w:ascii="Times New Roman" w:hAnsi="Times New Roman" w:cs="Times New Roman"/>
          <w:sz w:val="24"/>
          <w:szCs w:val="24"/>
        </w:rPr>
        <w:t xml:space="preserve">Carbon Deposition, Chlorine, Contaminants, Degradation, Siloxanes, </w:t>
      </w:r>
      <w:r w:rsidRPr="00917C37">
        <w:rPr>
          <w:rFonts w:ascii="Times New Roman" w:hAnsi="Times New Roman" w:cs="Times New Roman"/>
          <w:sz w:val="24"/>
          <w:szCs w:val="24"/>
        </w:rPr>
        <w:t xml:space="preserve">Solid Oxide Fuel Cells (SOFC), </w:t>
      </w:r>
      <w:r w:rsidR="00713A79" w:rsidRPr="00917C37">
        <w:rPr>
          <w:rFonts w:ascii="Times New Roman" w:hAnsi="Times New Roman" w:cs="Times New Roman"/>
          <w:sz w:val="24"/>
          <w:szCs w:val="24"/>
        </w:rPr>
        <w:t>Sulfur, Tars.</w:t>
      </w:r>
    </w:p>
    <w:p w14:paraId="139ACDB2" w14:textId="77777777" w:rsidR="00D661F1" w:rsidRPr="00D661F1" w:rsidRDefault="00344C5C" w:rsidP="00D661F1">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1 Introduction</w:t>
      </w:r>
    </w:p>
    <w:p w14:paraId="34D1F444" w14:textId="0EEB2195" w:rsidR="00393E77" w:rsidRPr="0036378E" w:rsidRDefault="00393E77" w:rsidP="0036378E">
      <w:pPr>
        <w:spacing w:line="480" w:lineRule="auto"/>
        <w:jc w:val="both"/>
        <w:rPr>
          <w:rFonts w:ascii="Times New Roman" w:hAnsi="Times New Roman" w:cs="Times New Roman"/>
          <w:sz w:val="24"/>
          <w:szCs w:val="24"/>
          <w:lang w:bidi="fa-IR"/>
        </w:rPr>
      </w:pPr>
      <w:r w:rsidRPr="00D661F1">
        <w:rPr>
          <w:rFonts w:ascii="Times New Roman" w:hAnsi="Times New Roman" w:cs="Times New Roman"/>
          <w:sz w:val="24"/>
          <w:lang w:bidi="fa-IR"/>
        </w:rPr>
        <w:t xml:space="preserve">Dealing with </w:t>
      </w:r>
      <w:r w:rsidRPr="00873410">
        <w:rPr>
          <w:rFonts w:ascii="Times New Roman" w:hAnsi="Times New Roman" w:cs="Times New Roman"/>
          <w:noProof/>
          <w:sz w:val="24"/>
          <w:lang w:bidi="fa-IR"/>
        </w:rPr>
        <w:t>practical</w:t>
      </w:r>
      <w:r w:rsidRPr="00D661F1">
        <w:rPr>
          <w:rFonts w:ascii="Times New Roman" w:hAnsi="Times New Roman" w:cs="Times New Roman"/>
          <w:sz w:val="24"/>
          <w:lang w:bidi="fa-IR"/>
        </w:rPr>
        <w:t xml:space="preserve"> fuels </w:t>
      </w:r>
      <w:r w:rsidR="00063CDE" w:rsidRPr="00D661F1">
        <w:rPr>
          <w:rFonts w:ascii="Times New Roman" w:hAnsi="Times New Roman" w:cs="Times New Roman"/>
          <w:sz w:val="24"/>
          <w:lang w:bidi="fa-IR"/>
        </w:rPr>
        <w:t>in</w:t>
      </w:r>
      <w:r w:rsidR="00EA195D" w:rsidRPr="00D661F1">
        <w:rPr>
          <w:rFonts w:ascii="Times New Roman" w:hAnsi="Times New Roman" w:cs="Times New Roman"/>
          <w:sz w:val="24"/>
          <w:lang w:bidi="fa-IR"/>
        </w:rPr>
        <w:t xml:space="preserve"> Ni-anode</w:t>
      </w:r>
      <w:r w:rsidR="00063CDE" w:rsidRPr="00D661F1">
        <w:rPr>
          <w:rFonts w:ascii="Times New Roman" w:hAnsi="Times New Roman" w:cs="Times New Roman"/>
          <w:sz w:val="24"/>
          <w:lang w:bidi="fa-IR"/>
        </w:rPr>
        <w:t xml:space="preserve"> SOFCs </w:t>
      </w:r>
      <w:r w:rsidRPr="00D661F1">
        <w:rPr>
          <w:rFonts w:ascii="Times New Roman" w:hAnsi="Times New Roman" w:cs="Times New Roman"/>
          <w:sz w:val="24"/>
          <w:lang w:bidi="fa-IR"/>
        </w:rPr>
        <w:t xml:space="preserve">introduces the risk of contamination of the fuel cell anode. Especially, biogas from anaerobic digestion and syngas (from biomass and/or coal gasification) contain a </w:t>
      </w:r>
      <w:r w:rsidRPr="00873410">
        <w:rPr>
          <w:rFonts w:ascii="Times New Roman" w:hAnsi="Times New Roman" w:cs="Times New Roman"/>
          <w:noProof/>
          <w:sz w:val="24"/>
          <w:lang w:bidi="fa-IR"/>
        </w:rPr>
        <w:t>wide</w:t>
      </w:r>
      <w:r w:rsidRPr="00D661F1">
        <w:rPr>
          <w:rFonts w:ascii="Times New Roman" w:hAnsi="Times New Roman" w:cs="Times New Roman"/>
          <w:sz w:val="24"/>
          <w:lang w:bidi="fa-IR"/>
        </w:rPr>
        <w:t xml:space="preserve"> range of impurities that can be harmful to the SOFC system operation if not properly removed and monitored. In addition to the contaminants that may be present in fuel st</w:t>
      </w:r>
      <w:r w:rsidR="00063CDE" w:rsidRPr="00D661F1">
        <w:rPr>
          <w:rFonts w:ascii="Times New Roman" w:hAnsi="Times New Roman" w:cs="Times New Roman"/>
          <w:sz w:val="24"/>
          <w:lang w:bidi="fa-IR"/>
        </w:rPr>
        <w:t>r</w:t>
      </w:r>
      <w:r w:rsidRPr="00D661F1">
        <w:rPr>
          <w:rFonts w:ascii="Times New Roman" w:hAnsi="Times New Roman" w:cs="Times New Roman"/>
          <w:sz w:val="24"/>
          <w:lang w:bidi="fa-IR"/>
        </w:rPr>
        <w:t>eams, also carbon-containing species</w:t>
      </w:r>
      <w:r w:rsidR="00063CDE" w:rsidRPr="00D661F1">
        <w:rPr>
          <w:rFonts w:ascii="Times New Roman" w:hAnsi="Times New Roman" w:cs="Times New Roman"/>
          <w:sz w:val="24"/>
          <w:lang w:bidi="fa-IR"/>
        </w:rPr>
        <w:t xml:space="preserve"> of </w:t>
      </w:r>
      <w:r w:rsidR="00063CDE" w:rsidRPr="00873410">
        <w:rPr>
          <w:rFonts w:ascii="Times New Roman" w:hAnsi="Times New Roman" w:cs="Times New Roman"/>
          <w:noProof/>
          <w:sz w:val="24"/>
          <w:lang w:bidi="fa-IR"/>
        </w:rPr>
        <w:t>practical</w:t>
      </w:r>
      <w:r w:rsidR="00063CDE" w:rsidRPr="00D661F1">
        <w:rPr>
          <w:rFonts w:ascii="Times New Roman" w:hAnsi="Times New Roman" w:cs="Times New Roman"/>
          <w:sz w:val="24"/>
          <w:lang w:bidi="fa-IR"/>
        </w:rPr>
        <w:t xml:space="preserve"> fuels</w:t>
      </w:r>
      <w:r w:rsidRPr="00D661F1">
        <w:rPr>
          <w:rFonts w:ascii="Times New Roman" w:hAnsi="Times New Roman" w:cs="Times New Roman"/>
          <w:sz w:val="24"/>
          <w:lang w:bidi="fa-IR"/>
        </w:rPr>
        <w:t xml:space="preserve"> can be</w:t>
      </w:r>
      <w:r w:rsidR="009B2A6C" w:rsidRPr="00D661F1">
        <w:rPr>
          <w:rFonts w:ascii="Times New Roman" w:hAnsi="Times New Roman" w:cs="Times New Roman"/>
          <w:sz w:val="24"/>
          <w:lang w:bidi="fa-IR"/>
        </w:rPr>
        <w:t xml:space="preserve"> potential</w:t>
      </w:r>
      <w:r w:rsidRPr="00D661F1">
        <w:rPr>
          <w:rFonts w:ascii="Times New Roman" w:hAnsi="Times New Roman" w:cs="Times New Roman"/>
          <w:sz w:val="24"/>
          <w:lang w:bidi="fa-IR"/>
        </w:rPr>
        <w:t xml:space="preserve"> </w:t>
      </w:r>
      <w:r w:rsidR="00365961" w:rsidRPr="00D661F1">
        <w:rPr>
          <w:rFonts w:ascii="Times New Roman" w:hAnsi="Times New Roman" w:cs="Times New Roman"/>
          <w:sz w:val="24"/>
          <w:lang w:bidi="fa-IR"/>
        </w:rPr>
        <w:t>sources of degradation for SOFC</w:t>
      </w:r>
      <w:r w:rsidR="009B2A6C" w:rsidRPr="00D661F1">
        <w:rPr>
          <w:rFonts w:ascii="Times New Roman" w:hAnsi="Times New Roman" w:cs="Times New Roman"/>
          <w:sz w:val="24"/>
          <w:lang w:bidi="fa-IR"/>
        </w:rPr>
        <w:t xml:space="preserve">s based on Ni-anode </w:t>
      </w:r>
      <w:r w:rsidR="009B2A6C" w:rsidRPr="00873410">
        <w:rPr>
          <w:rFonts w:ascii="Times New Roman" w:hAnsi="Times New Roman" w:cs="Times New Roman"/>
          <w:noProof/>
          <w:sz w:val="24"/>
          <w:lang w:bidi="fa-IR"/>
        </w:rPr>
        <w:t>electrodes</w:t>
      </w:r>
      <w:r w:rsidR="00365961" w:rsidRPr="00D661F1">
        <w:rPr>
          <w:rFonts w:ascii="Times New Roman" w:hAnsi="Times New Roman" w:cs="Times New Roman"/>
          <w:sz w:val="24"/>
          <w:lang w:bidi="fa-IR"/>
        </w:rPr>
        <w:t xml:space="preserve"> </w:t>
      </w:r>
      <w:r w:rsidR="00C3719B" w:rsidRPr="00D661F1">
        <w:rPr>
          <w:rFonts w:ascii="Times New Roman" w:hAnsi="Times New Roman" w:cs="Times New Roman"/>
          <w:sz w:val="24"/>
          <w:lang w:bidi="fa-IR"/>
        </w:rPr>
        <w:t>if</w:t>
      </w:r>
      <w:r w:rsidR="00DE28EC" w:rsidRPr="00D661F1">
        <w:rPr>
          <w:rFonts w:ascii="Times New Roman" w:hAnsi="Times New Roman" w:cs="Times New Roman"/>
          <w:sz w:val="24"/>
          <w:lang w:bidi="fa-IR"/>
        </w:rPr>
        <w:t xml:space="preserve"> </w:t>
      </w:r>
      <w:r w:rsidR="00C3719B" w:rsidRPr="00D661F1">
        <w:rPr>
          <w:rFonts w:ascii="Times New Roman" w:hAnsi="Times New Roman" w:cs="Times New Roman"/>
          <w:sz w:val="24"/>
          <w:lang w:bidi="fa-IR"/>
        </w:rPr>
        <w:t>the</w:t>
      </w:r>
      <w:r w:rsidR="00253A6C" w:rsidRPr="00D661F1">
        <w:rPr>
          <w:rFonts w:ascii="Times New Roman" w:hAnsi="Times New Roman" w:cs="Times New Roman"/>
          <w:sz w:val="24"/>
          <w:lang w:bidi="fa-IR"/>
        </w:rPr>
        <w:t xml:space="preserve"> </w:t>
      </w:r>
      <w:r w:rsidR="00365961" w:rsidRPr="00D661F1">
        <w:rPr>
          <w:rFonts w:ascii="Times New Roman" w:hAnsi="Times New Roman" w:cs="Times New Roman"/>
          <w:sz w:val="24"/>
          <w:lang w:bidi="fa-IR"/>
        </w:rPr>
        <w:t>conditions</w:t>
      </w:r>
      <w:r w:rsidR="00DE28EC" w:rsidRPr="00D661F1">
        <w:rPr>
          <w:rFonts w:ascii="Times New Roman" w:hAnsi="Times New Roman" w:cs="Times New Roman"/>
          <w:sz w:val="24"/>
          <w:lang w:bidi="fa-IR"/>
        </w:rPr>
        <w:t xml:space="preserve"> </w:t>
      </w:r>
      <w:r w:rsidR="00253A6C" w:rsidRPr="00D661F1">
        <w:rPr>
          <w:rFonts w:ascii="Times New Roman" w:hAnsi="Times New Roman" w:cs="Times New Roman"/>
          <w:sz w:val="24"/>
          <w:lang w:bidi="fa-IR"/>
        </w:rPr>
        <w:t xml:space="preserve">are favorable for </w:t>
      </w:r>
      <w:r w:rsidRPr="00D661F1">
        <w:rPr>
          <w:rFonts w:ascii="Times New Roman" w:hAnsi="Times New Roman" w:cs="Times New Roman"/>
          <w:sz w:val="24"/>
          <w:lang w:bidi="fa-IR"/>
        </w:rPr>
        <w:t xml:space="preserve">the </w:t>
      </w:r>
      <w:r w:rsidR="0017554B" w:rsidRPr="00D661F1">
        <w:rPr>
          <w:rFonts w:ascii="Times New Roman" w:hAnsi="Times New Roman" w:cs="Times New Roman"/>
          <w:sz w:val="24"/>
          <w:lang w:bidi="fa-IR"/>
        </w:rPr>
        <w:t xml:space="preserve">formation of </w:t>
      </w:r>
      <w:r w:rsidR="00365961" w:rsidRPr="00D661F1">
        <w:rPr>
          <w:rFonts w:ascii="Times New Roman" w:hAnsi="Times New Roman" w:cs="Times New Roman"/>
          <w:sz w:val="24"/>
          <w:lang w:bidi="fa-IR"/>
        </w:rPr>
        <w:t>solid carbon</w:t>
      </w:r>
      <w:r w:rsidR="00C3719B" w:rsidRPr="00D661F1">
        <w:rPr>
          <w:rFonts w:ascii="Times New Roman" w:hAnsi="Times New Roman" w:cs="Times New Roman"/>
          <w:sz w:val="24"/>
          <w:lang w:bidi="fa-IR"/>
        </w:rPr>
        <w:t xml:space="preserve"> from </w:t>
      </w:r>
      <w:r w:rsidR="00DE28EC" w:rsidRPr="00D661F1">
        <w:rPr>
          <w:rFonts w:ascii="Times New Roman" w:hAnsi="Times New Roman" w:cs="Times New Roman"/>
          <w:sz w:val="24"/>
          <w:lang w:bidi="fa-IR"/>
        </w:rPr>
        <w:t xml:space="preserve">carbon-carrier </w:t>
      </w:r>
      <w:r w:rsidR="00DE28EC" w:rsidRPr="00873410">
        <w:rPr>
          <w:rFonts w:ascii="Times New Roman" w:hAnsi="Times New Roman" w:cs="Times New Roman"/>
          <w:noProof/>
          <w:sz w:val="24"/>
          <w:lang w:bidi="fa-IR"/>
        </w:rPr>
        <w:t>ga</w:t>
      </w:r>
      <w:r w:rsidR="00873410">
        <w:rPr>
          <w:rFonts w:ascii="Times New Roman" w:hAnsi="Times New Roman" w:cs="Times New Roman"/>
          <w:noProof/>
          <w:sz w:val="24"/>
          <w:lang w:bidi="fa-IR"/>
        </w:rPr>
        <w:t>s</w:t>
      </w:r>
      <w:r w:rsidR="00DE28EC" w:rsidRPr="00873410">
        <w:rPr>
          <w:rFonts w:ascii="Times New Roman" w:hAnsi="Times New Roman" w:cs="Times New Roman"/>
          <w:noProof/>
          <w:sz w:val="24"/>
          <w:lang w:bidi="fa-IR"/>
        </w:rPr>
        <w:t>ses</w:t>
      </w:r>
      <w:r w:rsidR="00365961" w:rsidRPr="00D661F1">
        <w:rPr>
          <w:rFonts w:ascii="Times New Roman" w:hAnsi="Times New Roman" w:cs="Times New Roman"/>
          <w:sz w:val="24"/>
          <w:lang w:bidi="fa-IR"/>
        </w:rPr>
        <w:t>. This</w:t>
      </w:r>
      <w:r w:rsidR="002E07BC" w:rsidRPr="00D661F1">
        <w:rPr>
          <w:rFonts w:ascii="Times New Roman" w:hAnsi="Times New Roman" w:cs="Times New Roman"/>
          <w:sz w:val="24"/>
          <w:lang w:bidi="fa-IR"/>
        </w:rPr>
        <w:t xml:space="preserve"> could</w:t>
      </w:r>
      <w:r w:rsidR="00365961" w:rsidRPr="00D661F1">
        <w:rPr>
          <w:rFonts w:ascii="Times New Roman" w:hAnsi="Times New Roman" w:cs="Times New Roman"/>
          <w:sz w:val="24"/>
          <w:lang w:bidi="fa-IR"/>
        </w:rPr>
        <w:t xml:space="preserve"> </w:t>
      </w:r>
      <w:r w:rsidR="007D2A82" w:rsidRPr="00D661F1">
        <w:rPr>
          <w:rFonts w:ascii="Times New Roman" w:hAnsi="Times New Roman" w:cs="Times New Roman"/>
          <w:sz w:val="24"/>
          <w:lang w:bidi="fa-IR"/>
        </w:rPr>
        <w:t>occur</w:t>
      </w:r>
      <w:r w:rsidR="002E07BC" w:rsidRPr="00D661F1">
        <w:rPr>
          <w:rFonts w:ascii="Times New Roman" w:hAnsi="Times New Roman" w:cs="Times New Roman"/>
          <w:sz w:val="24"/>
          <w:lang w:bidi="fa-IR"/>
        </w:rPr>
        <w:t xml:space="preserve"> </w:t>
      </w:r>
      <w:r w:rsidR="00365961" w:rsidRPr="00873410">
        <w:rPr>
          <w:rFonts w:ascii="Times New Roman" w:hAnsi="Times New Roman" w:cs="Times New Roman"/>
          <w:noProof/>
          <w:sz w:val="24"/>
          <w:lang w:bidi="fa-IR"/>
        </w:rPr>
        <w:t>in</w:t>
      </w:r>
      <w:r w:rsidR="00365961" w:rsidRPr="00D661F1">
        <w:rPr>
          <w:rFonts w:ascii="Times New Roman" w:hAnsi="Times New Roman" w:cs="Times New Roman"/>
          <w:sz w:val="24"/>
          <w:lang w:bidi="fa-IR"/>
        </w:rPr>
        <w:t xml:space="preserve"> the </w:t>
      </w:r>
      <w:r w:rsidRPr="00D661F1">
        <w:rPr>
          <w:rFonts w:ascii="Times New Roman" w:hAnsi="Times New Roman" w:cs="Times New Roman"/>
          <w:sz w:val="24"/>
          <w:lang w:bidi="fa-IR"/>
        </w:rPr>
        <w:t>cell</w:t>
      </w:r>
      <w:r w:rsidR="00365961" w:rsidRPr="00D661F1">
        <w:rPr>
          <w:rFonts w:ascii="Times New Roman" w:hAnsi="Times New Roman" w:cs="Times New Roman"/>
          <w:sz w:val="24"/>
          <w:lang w:bidi="fa-IR"/>
        </w:rPr>
        <w:t>s</w:t>
      </w:r>
      <w:r w:rsidR="009B2A6C" w:rsidRPr="00D661F1">
        <w:rPr>
          <w:rFonts w:ascii="Times New Roman" w:hAnsi="Times New Roman" w:cs="Times New Roman"/>
          <w:sz w:val="24"/>
          <w:lang w:bidi="fa-IR"/>
        </w:rPr>
        <w:t xml:space="preserve">, but also in the fuel </w:t>
      </w:r>
      <w:r w:rsidRPr="00D661F1">
        <w:rPr>
          <w:rFonts w:ascii="Times New Roman" w:hAnsi="Times New Roman" w:cs="Times New Roman"/>
          <w:sz w:val="24"/>
          <w:lang w:bidi="fa-IR"/>
        </w:rPr>
        <w:t>reformer</w:t>
      </w:r>
      <w:r w:rsidR="00365961" w:rsidRPr="00D661F1">
        <w:rPr>
          <w:rFonts w:ascii="Times New Roman" w:hAnsi="Times New Roman" w:cs="Times New Roman"/>
          <w:sz w:val="24"/>
          <w:lang w:bidi="fa-IR"/>
        </w:rPr>
        <w:t xml:space="preserve"> of SOFC systems</w:t>
      </w:r>
      <w:r w:rsidR="007D2A82" w:rsidRPr="00D661F1">
        <w:rPr>
          <w:rFonts w:ascii="Times New Roman" w:hAnsi="Times New Roman" w:cs="Times New Roman"/>
          <w:sz w:val="24"/>
          <w:lang w:bidi="fa-IR"/>
        </w:rPr>
        <w:t xml:space="preserve">, </w:t>
      </w:r>
      <w:r w:rsidR="002E07BC" w:rsidRPr="00D661F1">
        <w:rPr>
          <w:rFonts w:ascii="Times New Roman" w:hAnsi="Times New Roman" w:cs="Times New Roman"/>
          <w:sz w:val="24"/>
          <w:lang w:bidi="fa-IR"/>
        </w:rPr>
        <w:t xml:space="preserve">in which the </w:t>
      </w:r>
      <w:r w:rsidR="00AD24A4" w:rsidRPr="00873410">
        <w:rPr>
          <w:rFonts w:ascii="Times New Roman" w:hAnsi="Times New Roman" w:cs="Times New Roman"/>
          <w:noProof/>
          <w:sz w:val="24"/>
          <w:lang w:bidi="fa-IR"/>
        </w:rPr>
        <w:t>typical</w:t>
      </w:r>
      <w:r w:rsidR="007D2A82" w:rsidRPr="00D661F1">
        <w:rPr>
          <w:rFonts w:ascii="Times New Roman" w:hAnsi="Times New Roman" w:cs="Times New Roman"/>
          <w:sz w:val="24"/>
          <w:lang w:bidi="fa-IR"/>
        </w:rPr>
        <w:t xml:space="preserve"> Nickel</w:t>
      </w:r>
      <w:r w:rsidR="002E07BC" w:rsidRPr="00D661F1">
        <w:rPr>
          <w:rFonts w:ascii="Times New Roman" w:hAnsi="Times New Roman" w:cs="Times New Roman"/>
          <w:sz w:val="24"/>
          <w:lang w:bidi="fa-IR"/>
        </w:rPr>
        <w:t>-based reforming catalysts</w:t>
      </w:r>
      <w:r w:rsidR="007D2A82" w:rsidRPr="00D661F1">
        <w:rPr>
          <w:rFonts w:ascii="Times New Roman" w:hAnsi="Times New Roman" w:cs="Times New Roman"/>
          <w:sz w:val="24"/>
          <w:lang w:bidi="fa-IR"/>
        </w:rPr>
        <w:t xml:space="preserve"> </w:t>
      </w:r>
      <w:r w:rsidR="002E07BC" w:rsidRPr="00D661F1">
        <w:rPr>
          <w:rFonts w:ascii="Times New Roman" w:hAnsi="Times New Roman" w:cs="Times New Roman"/>
          <w:sz w:val="24"/>
          <w:lang w:bidi="fa-IR"/>
        </w:rPr>
        <w:t>are very active</w:t>
      </w:r>
      <w:r w:rsidR="007D2A82" w:rsidRPr="00D661F1">
        <w:rPr>
          <w:rFonts w:ascii="Times New Roman" w:hAnsi="Times New Roman" w:cs="Times New Roman"/>
          <w:sz w:val="24"/>
          <w:lang w:bidi="fa-IR"/>
        </w:rPr>
        <w:t xml:space="preserve"> </w:t>
      </w:r>
      <w:r w:rsidR="00AD24A4" w:rsidRPr="00D661F1">
        <w:rPr>
          <w:rFonts w:ascii="Times New Roman" w:hAnsi="Times New Roman" w:cs="Times New Roman"/>
          <w:sz w:val="24"/>
          <w:lang w:bidi="fa-IR"/>
        </w:rPr>
        <w:t>towards</w:t>
      </w:r>
      <w:r w:rsidR="007D2A82" w:rsidRPr="00D661F1">
        <w:rPr>
          <w:rFonts w:ascii="Times New Roman" w:hAnsi="Times New Roman" w:cs="Times New Roman"/>
          <w:sz w:val="24"/>
          <w:lang w:bidi="fa-IR"/>
        </w:rPr>
        <w:t xml:space="preserve"> </w:t>
      </w:r>
      <w:r w:rsidR="007D2A82" w:rsidRPr="0036378E">
        <w:rPr>
          <w:rFonts w:ascii="Times New Roman" w:hAnsi="Times New Roman" w:cs="Times New Roman"/>
          <w:sz w:val="24"/>
          <w:szCs w:val="24"/>
          <w:lang w:bidi="fa-IR"/>
        </w:rPr>
        <w:t>carbon deposition reactions</w:t>
      </w:r>
      <w:r w:rsidR="00365961" w:rsidRPr="0036378E">
        <w:rPr>
          <w:rFonts w:ascii="Times New Roman" w:hAnsi="Times New Roman" w:cs="Times New Roman"/>
          <w:sz w:val="24"/>
          <w:szCs w:val="24"/>
          <w:lang w:bidi="fa-IR"/>
        </w:rPr>
        <w:t>.</w:t>
      </w:r>
      <w:r w:rsidR="007D2A82" w:rsidRPr="0036378E">
        <w:rPr>
          <w:rFonts w:ascii="Times New Roman" w:hAnsi="Times New Roman" w:cs="Times New Roman"/>
          <w:sz w:val="24"/>
          <w:szCs w:val="24"/>
          <w:lang w:bidi="fa-IR"/>
        </w:rPr>
        <w:t xml:space="preserve"> </w:t>
      </w:r>
    </w:p>
    <w:p w14:paraId="75949CEE" w14:textId="507E048D" w:rsidR="007D2A82" w:rsidRPr="0036378E" w:rsidRDefault="00393E77" w:rsidP="0036378E">
      <w:pPr>
        <w:spacing w:line="480" w:lineRule="auto"/>
        <w:jc w:val="both"/>
        <w:rPr>
          <w:rFonts w:ascii="Times New Roman" w:hAnsi="Times New Roman" w:cs="Times New Roman"/>
          <w:sz w:val="24"/>
          <w:szCs w:val="24"/>
          <w:lang w:bidi="fa-IR"/>
        </w:rPr>
      </w:pPr>
      <w:r w:rsidRPr="0036378E">
        <w:rPr>
          <w:rFonts w:ascii="Times New Roman" w:hAnsi="Times New Roman" w:cs="Times New Roman"/>
          <w:sz w:val="24"/>
          <w:szCs w:val="24"/>
          <w:lang w:bidi="fa-IR"/>
        </w:rPr>
        <w:t xml:space="preserve">The segregation of contaminants – including </w:t>
      </w:r>
      <w:r w:rsidR="00365961" w:rsidRPr="0036378E">
        <w:rPr>
          <w:rFonts w:ascii="Times New Roman" w:hAnsi="Times New Roman" w:cs="Times New Roman"/>
          <w:sz w:val="24"/>
          <w:szCs w:val="24"/>
          <w:lang w:bidi="fa-IR"/>
        </w:rPr>
        <w:t xml:space="preserve">the deposition of </w:t>
      </w:r>
      <w:r w:rsidRPr="00873410">
        <w:rPr>
          <w:rFonts w:ascii="Times New Roman" w:hAnsi="Times New Roman" w:cs="Times New Roman"/>
          <w:noProof/>
          <w:sz w:val="24"/>
          <w:szCs w:val="24"/>
          <w:lang w:bidi="fa-IR"/>
        </w:rPr>
        <w:t>carbon</w:t>
      </w:r>
      <w:r w:rsidRPr="0036378E">
        <w:rPr>
          <w:rFonts w:ascii="Times New Roman" w:hAnsi="Times New Roman" w:cs="Times New Roman"/>
          <w:sz w:val="24"/>
          <w:szCs w:val="24"/>
          <w:lang w:bidi="fa-IR"/>
        </w:rPr>
        <w:t xml:space="preserve"> – at the three-phase boundary (TPB) can drastically reduce the lifetime of cells and stack. Contaminants can also affect stack components (namely interconnects and </w:t>
      </w:r>
      <w:r w:rsidRPr="00873410">
        <w:rPr>
          <w:rFonts w:ascii="Times New Roman" w:hAnsi="Times New Roman" w:cs="Times New Roman"/>
          <w:noProof/>
          <w:sz w:val="24"/>
          <w:szCs w:val="24"/>
          <w:lang w:bidi="fa-IR"/>
        </w:rPr>
        <w:t>sealant)</w:t>
      </w:r>
      <w:r w:rsidR="00873410">
        <w:rPr>
          <w:rFonts w:ascii="Times New Roman" w:hAnsi="Times New Roman" w:cs="Times New Roman"/>
          <w:noProof/>
          <w:sz w:val="24"/>
          <w:szCs w:val="24"/>
          <w:lang w:bidi="fa-IR"/>
        </w:rPr>
        <w:t xml:space="preserve">. </w:t>
      </w:r>
      <w:r w:rsidR="00873410" w:rsidRPr="00873410">
        <w:rPr>
          <w:rFonts w:ascii="Times New Roman" w:hAnsi="Times New Roman" w:cs="Times New Roman"/>
          <w:noProof/>
          <w:sz w:val="24"/>
          <w:szCs w:val="24"/>
          <w:lang w:bidi="fa-IR"/>
        </w:rPr>
        <w:t>H</w:t>
      </w:r>
      <w:r w:rsidRPr="00873410">
        <w:rPr>
          <w:rFonts w:ascii="Times New Roman" w:hAnsi="Times New Roman" w:cs="Times New Roman"/>
          <w:noProof/>
          <w:sz w:val="24"/>
          <w:szCs w:val="24"/>
          <w:lang w:bidi="fa-IR"/>
        </w:rPr>
        <w:t>owever</w:t>
      </w:r>
      <w:r w:rsidR="00873410">
        <w:rPr>
          <w:rFonts w:ascii="Times New Roman" w:hAnsi="Times New Roman" w:cs="Times New Roman"/>
          <w:noProof/>
          <w:sz w:val="24"/>
          <w:szCs w:val="24"/>
          <w:lang w:bidi="fa-IR"/>
        </w:rPr>
        <w:t>,</w:t>
      </w:r>
      <w:r w:rsidRPr="0036378E">
        <w:rPr>
          <w:rFonts w:ascii="Times New Roman" w:hAnsi="Times New Roman" w:cs="Times New Roman"/>
          <w:sz w:val="24"/>
          <w:szCs w:val="24"/>
          <w:lang w:bidi="fa-IR"/>
        </w:rPr>
        <w:t xml:space="preserve"> the region which is most sensitive to contamination and related degradation is the electrode interface with the electrolyte. Irvine et al. have recently reviewed those </w:t>
      </w:r>
      <w:r w:rsidRPr="00873410">
        <w:rPr>
          <w:rFonts w:ascii="Times New Roman" w:hAnsi="Times New Roman" w:cs="Times New Roman"/>
          <w:noProof/>
          <w:sz w:val="24"/>
          <w:szCs w:val="24"/>
          <w:lang w:bidi="fa-IR"/>
        </w:rPr>
        <w:t>key</w:t>
      </w:r>
      <w:r w:rsidRPr="0036378E">
        <w:rPr>
          <w:rFonts w:ascii="Times New Roman" w:hAnsi="Times New Roman" w:cs="Times New Roman"/>
          <w:sz w:val="24"/>
          <w:szCs w:val="24"/>
          <w:lang w:bidi="fa-IR"/>
        </w:rPr>
        <w:t xml:space="preserve"> phenomena affecting the dynamic evolution of electrode interfaces and the three-phase, or two-phase, boundary for both air and fuel electrodes of the SOFC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"10.1038/nenergy.2015.14", "ISSN" : "2058-7546", "author" : [ { "dropping-particle" : "", "family" : "Irvine", "given" : "John T. S.", "non-dropping-particle" : "", "parse-names" : false, "suffix" : "" }, { "dropping-particle" : "", "family" : "Neagu", "given" : "Dragos", "non-dropping-particle" : "", "parse-names" : false, "suffix" : "" }, { "dropping-particle" : "", "family" : "Verbraeken", "given" : "Maarten C.", "non-dropping-particle" : "", "parse-names" : false, "suffix" : "" }, { "dropping-particle" : "", "family" : "Chatzichristodoulou", "given" : "Christodoulos", "non-dropping-particle" : "", "parse-names" : false, "suffix" : "" }, { "dropping-particle" : "", "family" : "Graves", "given" : "Christopher", "non-dropping-particle" : "", "parse-names" : false, "suffix" : "" }, { "dropping-particle" : "", "family" : "Mogensen", "given" : "Mogens B.", "non-dropping-particle" : "", "parse-names" : false, "suffix" : "" } ], "container-title" : "Nature Energy", "id" : "ITEM-1", "issue" : "1", "issued" : { "date-parts" : [ [ "2016" ] ] }, "page" : "15014", "title" : "Evolution of the electrochemical interface in high-temperature fuel cells and electrolysers", "type" : "article-journal", "volume" : "1" }, "uris" : [ "http://www.mendeley.com/documents/?uuid=f2abfd3e-55ee-4259-a1d7-d066631bc54d", "http://www.mendeley.com/documents/?uuid=77f0b1e2-16d1-498d-901c-3e55e1186ca6" ] } ], "mendeley" : { "formattedCitation" : "[1]", "plainTextFormattedCitation" : "[1]", "previouslyFormattedCitation" : "[1]"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[1]</w:t>
      </w:r>
      <w:r w:rsidR="006141CA" w:rsidRPr="0036378E">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 xml:space="preserve">. </w:t>
      </w:r>
      <w:r w:rsidRPr="00873410">
        <w:rPr>
          <w:rFonts w:ascii="Times New Roman" w:hAnsi="Times New Roman" w:cs="Times New Roman"/>
          <w:noProof/>
          <w:sz w:val="24"/>
          <w:szCs w:val="24"/>
          <w:lang w:bidi="fa-IR"/>
        </w:rPr>
        <w:t>The accumulation of impurities is one of the</w:t>
      </w:r>
      <w:r w:rsidRPr="0036378E">
        <w:rPr>
          <w:rFonts w:ascii="Times New Roman" w:hAnsi="Times New Roman" w:cs="Times New Roman"/>
          <w:sz w:val="24"/>
          <w:szCs w:val="24"/>
          <w:lang w:bidi="fa-IR"/>
        </w:rPr>
        <w:t xml:space="preserve"> main source</w:t>
      </w:r>
      <w:r w:rsidR="007D2A82" w:rsidRPr="0036378E">
        <w:rPr>
          <w:rFonts w:ascii="Times New Roman" w:hAnsi="Times New Roman" w:cs="Times New Roman"/>
          <w:sz w:val="24"/>
          <w:szCs w:val="24"/>
          <w:lang w:bidi="fa-IR"/>
        </w:rPr>
        <w:t>s</w:t>
      </w:r>
      <w:r w:rsidRPr="0036378E">
        <w:rPr>
          <w:rFonts w:ascii="Times New Roman" w:hAnsi="Times New Roman" w:cs="Times New Roman"/>
          <w:sz w:val="24"/>
          <w:szCs w:val="24"/>
          <w:lang w:bidi="fa-IR"/>
        </w:rPr>
        <w:t xml:space="preserve"> of </w:t>
      </w:r>
      <w:r w:rsidRPr="00873410">
        <w:rPr>
          <w:rFonts w:ascii="Times New Roman" w:hAnsi="Times New Roman" w:cs="Times New Roman"/>
          <w:noProof/>
          <w:sz w:val="24"/>
          <w:szCs w:val="24"/>
          <w:lang w:bidi="fa-IR"/>
        </w:rPr>
        <w:t>degradation</w:t>
      </w:r>
      <w:r w:rsidR="00873410">
        <w:rPr>
          <w:rFonts w:ascii="Times New Roman" w:hAnsi="Times New Roman" w:cs="Times New Roman"/>
          <w:noProof/>
          <w:sz w:val="24"/>
          <w:szCs w:val="24"/>
          <w:lang w:bidi="fa-IR"/>
        </w:rPr>
        <w:t>,</w:t>
      </w:r>
      <w:r w:rsidRPr="0036378E">
        <w:rPr>
          <w:rFonts w:ascii="Times New Roman" w:hAnsi="Times New Roman" w:cs="Times New Roman"/>
          <w:sz w:val="24"/>
          <w:szCs w:val="24"/>
          <w:lang w:bidi="fa-IR"/>
        </w:rPr>
        <w:t xml:space="preserve"> and it can be reversible or irreversible. Impurities that gradually accumulate at the electrode/electrolyte interface reduce, in fact, the electrochemical activity</w:t>
      </w:r>
      <w:r w:rsidR="007D2A82" w:rsidRPr="0036378E">
        <w:rPr>
          <w:rFonts w:ascii="Times New Roman" w:hAnsi="Times New Roman" w:cs="Times New Roman"/>
          <w:sz w:val="24"/>
          <w:szCs w:val="24"/>
          <w:lang w:bidi="fa-IR"/>
        </w:rPr>
        <w:t xml:space="preserve"> by blocking the reaction sites of the cell</w:t>
      </w:r>
      <w:r w:rsidRPr="0036378E">
        <w:rPr>
          <w:rFonts w:ascii="Times New Roman" w:hAnsi="Times New Roman" w:cs="Times New Roman"/>
          <w:sz w:val="24"/>
          <w:szCs w:val="24"/>
          <w:lang w:bidi="fa-IR"/>
        </w:rPr>
        <w:t>.</w:t>
      </w:r>
      <w:r w:rsidR="007D2A82" w:rsidRPr="0036378E">
        <w:rPr>
          <w:rFonts w:ascii="Times New Roman" w:hAnsi="Times New Roman" w:cs="Times New Roman"/>
          <w:sz w:val="24"/>
          <w:szCs w:val="24"/>
          <w:lang w:bidi="fa-IR"/>
        </w:rPr>
        <w:t xml:space="preserve"> In the case of carbon deposition, the </w:t>
      </w:r>
      <w:r w:rsidR="007D2A82" w:rsidRPr="00873410">
        <w:rPr>
          <w:rFonts w:ascii="Times New Roman" w:hAnsi="Times New Roman" w:cs="Times New Roman"/>
          <w:noProof/>
          <w:sz w:val="24"/>
          <w:szCs w:val="24"/>
          <w:lang w:bidi="fa-IR"/>
        </w:rPr>
        <w:t>solid</w:t>
      </w:r>
      <w:r w:rsidR="007D2A82" w:rsidRPr="0036378E">
        <w:rPr>
          <w:rFonts w:ascii="Times New Roman" w:hAnsi="Times New Roman" w:cs="Times New Roman"/>
          <w:sz w:val="24"/>
          <w:szCs w:val="24"/>
          <w:lang w:bidi="fa-IR"/>
        </w:rPr>
        <w:t xml:space="preserve"> deposits in the electrode </w:t>
      </w:r>
      <w:r w:rsidR="00704905" w:rsidRPr="0036378E">
        <w:rPr>
          <w:rFonts w:ascii="Times New Roman" w:hAnsi="Times New Roman" w:cs="Times New Roman"/>
          <w:sz w:val="24"/>
          <w:szCs w:val="24"/>
          <w:lang w:bidi="fa-IR"/>
        </w:rPr>
        <w:t>also</w:t>
      </w:r>
      <w:r w:rsidR="007D2A82" w:rsidRPr="0036378E">
        <w:rPr>
          <w:rFonts w:ascii="Times New Roman" w:hAnsi="Times New Roman" w:cs="Times New Roman"/>
          <w:sz w:val="24"/>
          <w:szCs w:val="24"/>
          <w:lang w:bidi="fa-IR"/>
        </w:rPr>
        <w:t xml:space="preserve"> reduce the porosity of </w:t>
      </w:r>
      <w:r w:rsidR="00253A6C" w:rsidRPr="0036378E">
        <w:rPr>
          <w:rFonts w:ascii="Times New Roman" w:hAnsi="Times New Roman" w:cs="Times New Roman"/>
          <w:sz w:val="24"/>
          <w:szCs w:val="24"/>
          <w:lang w:bidi="fa-IR"/>
        </w:rPr>
        <w:t xml:space="preserve">the </w:t>
      </w:r>
      <w:r w:rsidR="007D2A82" w:rsidRPr="0036378E">
        <w:rPr>
          <w:rFonts w:ascii="Times New Roman" w:hAnsi="Times New Roman" w:cs="Times New Roman"/>
          <w:sz w:val="24"/>
          <w:szCs w:val="24"/>
          <w:lang w:bidi="fa-IR"/>
        </w:rPr>
        <w:t>structures</w:t>
      </w:r>
      <w:r w:rsidR="009A35DA" w:rsidRPr="0036378E">
        <w:rPr>
          <w:rFonts w:ascii="Times New Roman" w:hAnsi="Times New Roman" w:cs="Times New Roman"/>
          <w:sz w:val="24"/>
          <w:szCs w:val="24"/>
          <w:lang w:bidi="fa-IR"/>
        </w:rPr>
        <w:t>, thus changing the morphology of the anode and</w:t>
      </w:r>
      <w:r w:rsidR="007D2A82" w:rsidRPr="0036378E">
        <w:rPr>
          <w:rFonts w:ascii="Times New Roman" w:hAnsi="Times New Roman" w:cs="Times New Roman"/>
          <w:sz w:val="24"/>
          <w:szCs w:val="24"/>
          <w:lang w:bidi="fa-IR"/>
        </w:rPr>
        <w:t xml:space="preserve"> </w:t>
      </w:r>
      <w:r w:rsidR="009A35DA" w:rsidRPr="0036378E">
        <w:rPr>
          <w:rFonts w:ascii="Times New Roman" w:hAnsi="Times New Roman" w:cs="Times New Roman"/>
          <w:sz w:val="24"/>
          <w:szCs w:val="24"/>
          <w:lang w:bidi="fa-IR"/>
        </w:rPr>
        <w:t>increasing</w:t>
      </w:r>
      <w:r w:rsidR="00253A6C" w:rsidRPr="0036378E">
        <w:rPr>
          <w:rFonts w:ascii="Times New Roman" w:hAnsi="Times New Roman" w:cs="Times New Roman"/>
          <w:sz w:val="24"/>
          <w:szCs w:val="24"/>
          <w:lang w:bidi="fa-IR"/>
        </w:rPr>
        <w:t xml:space="preserve"> </w:t>
      </w:r>
      <w:r w:rsidR="007D2A82" w:rsidRPr="0036378E">
        <w:rPr>
          <w:rFonts w:ascii="Times New Roman" w:hAnsi="Times New Roman" w:cs="Times New Roman"/>
          <w:sz w:val="24"/>
          <w:szCs w:val="24"/>
          <w:lang w:bidi="fa-IR"/>
        </w:rPr>
        <w:t>gas transport resistance</w:t>
      </w:r>
      <w:r w:rsidR="00253A6C" w:rsidRPr="0036378E">
        <w:rPr>
          <w:rFonts w:ascii="Times New Roman" w:hAnsi="Times New Roman" w:cs="Times New Roman"/>
          <w:sz w:val="24"/>
          <w:szCs w:val="24"/>
          <w:lang w:bidi="fa-IR"/>
        </w:rPr>
        <w:t xml:space="preserve"> within the electrode</w:t>
      </w:r>
      <w:r w:rsidR="009A35DA" w:rsidRPr="0036378E">
        <w:rPr>
          <w:rFonts w:ascii="Times New Roman" w:hAnsi="Times New Roman" w:cs="Times New Roman"/>
          <w:sz w:val="24"/>
          <w:szCs w:val="24"/>
          <w:lang w:bidi="fa-IR"/>
        </w:rPr>
        <w:t>.</w:t>
      </w:r>
    </w:p>
    <w:p w14:paraId="61555A8F" w14:textId="77777777" w:rsidR="000B3B21" w:rsidRPr="0036378E" w:rsidRDefault="009A35DA" w:rsidP="0036378E">
      <w:pPr>
        <w:spacing w:line="480" w:lineRule="auto"/>
        <w:jc w:val="both"/>
        <w:rPr>
          <w:rFonts w:ascii="Times New Roman" w:hAnsi="Times New Roman" w:cs="Times New Roman"/>
          <w:sz w:val="24"/>
          <w:szCs w:val="24"/>
          <w:lang w:bidi="fa-IR"/>
        </w:rPr>
      </w:pPr>
      <w:r w:rsidRPr="00873410">
        <w:rPr>
          <w:rFonts w:ascii="Times New Roman" w:hAnsi="Times New Roman" w:cs="Times New Roman"/>
          <w:noProof/>
          <w:sz w:val="24"/>
          <w:szCs w:val="24"/>
          <w:lang w:bidi="fa-IR"/>
        </w:rPr>
        <w:t>In this work, the</w:t>
      </w:r>
      <w:r w:rsidR="00870B7E" w:rsidRPr="00873410">
        <w:rPr>
          <w:rFonts w:ascii="Times New Roman" w:hAnsi="Times New Roman" w:cs="Times New Roman"/>
          <w:noProof/>
          <w:sz w:val="24"/>
          <w:szCs w:val="24"/>
          <w:lang w:bidi="fa-IR"/>
        </w:rPr>
        <w:t xml:space="preserve"> </w:t>
      </w:r>
      <w:r w:rsidRPr="00873410">
        <w:rPr>
          <w:rFonts w:ascii="Times New Roman" w:hAnsi="Times New Roman" w:cs="Times New Roman"/>
          <w:noProof/>
          <w:sz w:val="24"/>
          <w:szCs w:val="24"/>
          <w:lang w:bidi="fa-IR"/>
        </w:rPr>
        <w:t>focus is on the</w:t>
      </w:r>
      <w:r w:rsidRPr="0036378E">
        <w:rPr>
          <w:rFonts w:ascii="Times New Roman" w:hAnsi="Times New Roman" w:cs="Times New Roman"/>
          <w:sz w:val="24"/>
          <w:szCs w:val="24"/>
          <w:lang w:bidi="fa-IR"/>
        </w:rPr>
        <w:t xml:space="preserve"> </w:t>
      </w:r>
      <w:r w:rsidR="005661D6" w:rsidRPr="0036378E">
        <w:rPr>
          <w:rFonts w:ascii="Times New Roman" w:hAnsi="Times New Roman" w:cs="Times New Roman"/>
          <w:sz w:val="24"/>
          <w:szCs w:val="24"/>
          <w:lang w:bidi="fa-IR"/>
        </w:rPr>
        <w:t xml:space="preserve">SOFC performance </w:t>
      </w:r>
      <w:r w:rsidRPr="0036378E">
        <w:rPr>
          <w:rFonts w:ascii="Times New Roman" w:hAnsi="Times New Roman" w:cs="Times New Roman"/>
          <w:sz w:val="24"/>
          <w:szCs w:val="24"/>
          <w:lang w:bidi="fa-IR"/>
        </w:rPr>
        <w:t xml:space="preserve">degradation coming from fuel impurities. </w:t>
      </w:r>
      <w:r w:rsidR="00063CDE" w:rsidRPr="0036378E">
        <w:rPr>
          <w:rFonts w:ascii="Times New Roman" w:hAnsi="Times New Roman" w:cs="Times New Roman"/>
          <w:sz w:val="24"/>
          <w:szCs w:val="24"/>
          <w:lang w:bidi="fa-IR"/>
        </w:rPr>
        <w:t xml:space="preserve">In particular, we review the effect of sulfur, silicon, chlorine and tar compounds – which are the main contaminants in syngas and biogas fuels – on the performance of Ni-SOFC anodes. </w:t>
      </w:r>
      <w:r w:rsidRPr="0036378E">
        <w:rPr>
          <w:rFonts w:ascii="Times New Roman" w:hAnsi="Times New Roman" w:cs="Times New Roman"/>
          <w:sz w:val="24"/>
          <w:szCs w:val="24"/>
          <w:lang w:bidi="fa-IR"/>
        </w:rPr>
        <w:t>In addition to this, also the impact of carbon deposition is assessed</w:t>
      </w:r>
      <w:r w:rsidR="009A218B" w:rsidRPr="0036378E">
        <w:rPr>
          <w:rFonts w:ascii="Times New Roman" w:hAnsi="Times New Roman" w:cs="Times New Roman"/>
          <w:sz w:val="24"/>
          <w:szCs w:val="24"/>
          <w:lang w:bidi="fa-IR"/>
        </w:rPr>
        <w:t xml:space="preserve">. </w:t>
      </w:r>
    </w:p>
    <w:p w14:paraId="228002C8" w14:textId="76ECABEA" w:rsidR="0021247B" w:rsidRPr="0036378E" w:rsidRDefault="009A35DA" w:rsidP="0036378E">
      <w:pPr>
        <w:spacing w:line="480" w:lineRule="auto"/>
        <w:jc w:val="both"/>
        <w:rPr>
          <w:rFonts w:ascii="Times New Roman" w:hAnsi="Times New Roman" w:cs="Times New Roman"/>
          <w:sz w:val="24"/>
          <w:szCs w:val="24"/>
          <w:lang w:bidi="fa-IR"/>
        </w:rPr>
      </w:pPr>
      <w:r w:rsidRPr="0036378E">
        <w:rPr>
          <w:rFonts w:ascii="Times New Roman" w:hAnsi="Times New Roman" w:cs="Times New Roman"/>
          <w:sz w:val="24"/>
          <w:szCs w:val="24"/>
          <w:lang w:bidi="fa-IR"/>
        </w:rPr>
        <w:lastRenderedPageBreak/>
        <w:t xml:space="preserve">Typical contaminants for biogas fuel are reviewed in the work of Papadias et al.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"10.1016/j.energy.2012.06.031", "ISBN" : "0360-5442", "ISSN" : "03605442", "abstract" : "This paper reviews the information available on the impurities encountered in stationary fuel cell systems, their effects on the fuel cells, and the maximum allowable concentrations of select impurities suggested by manufacturers and researchers. A generic model of a molten carbonate fuel cell-based power plant operating on digester and landfill gas has been developed; it includes a gas processing unit, followed by a fuel cell system. The model includes the key impurity removal steps to enable predictions of impurity breakthrough, component sizing, and utility needs. These data, along with process efficiency results from the model, were subsequently used to calculate the cost of electricity. Sensitivity analyses were conducted to correlate the concentrations of key impurities in the fuel gas feedstock to the cost of electricity. (c) 2012 Published by Elsevier Ltd.", "author" : [ { "dropping-particle" : "", "family" : "Papadias", "given" : "Dionissios D.", "non-dropping-particle" : "", "parse-names" : false, "suffix" : "" }, { "dropping-particle" : "", "family" : "Ahmed", "given" : "Shabbir", "non-dropping-particle" : "", "parse-names" : false, "suffix" : "" }, { "dropping-particle" : "", "family" : "Kumar", "given" : "Romesh", "non-dropping-particle" : "", "parse-names" : false, "suffix" : "" } ], "container-title" : "Energy", "id" : "ITEM-1", "issue" : "1", "issued" : { "date-parts" : [ [ "2012", "8" ] ] }, "page" : "257-277", "publisher" : "Elsevier Ltd", "title" : "Fuel quality issues with biogas energy - An economic analysis for a stationary fuel cell system", "type" : "article-journal", "volume" : "44" }, "uris" : [ "http://www.mendeley.com/documents/?uuid=0a94c60f-23dd-4e8a-b19e-97f3df7ff0ba", "http://www.mendeley.com/documents/?uuid=24bfe6e5-6e72-4591-af4d-1e9fa0613eae" ] } ], "mendeley" : { "formattedCitation" : "[2]", "plainTextFormattedCitation" : "[2]", "previouslyFormattedCitation" : "[2]"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[2]</w:t>
      </w:r>
      <w:r w:rsidR="006141CA" w:rsidRPr="0036378E">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 xml:space="preserve">, while coal syngas contaminants are </w:t>
      </w:r>
      <w:r w:rsidRPr="00873410">
        <w:rPr>
          <w:rFonts w:ascii="Times New Roman" w:hAnsi="Times New Roman" w:cs="Times New Roman"/>
          <w:noProof/>
          <w:sz w:val="24"/>
          <w:szCs w:val="24"/>
          <w:lang w:bidi="fa-IR"/>
        </w:rPr>
        <w:t>reviewed</w:t>
      </w:r>
      <w:r w:rsidRPr="0036378E">
        <w:rPr>
          <w:rFonts w:ascii="Times New Roman" w:hAnsi="Times New Roman" w:cs="Times New Roman"/>
          <w:sz w:val="24"/>
          <w:szCs w:val="24"/>
          <w:lang w:bidi="fa-IR"/>
        </w:rPr>
        <w:t xml:space="preserve"> in the works of Trembly et al.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"10.1016/j.jpowsour.2007.03.018", "ISSN" : "03787753", "author" : [ { "dropping-particle" : "", "family" : "Trembly", "given" : "J.P.", "non-dropping-particle" : "", "parse-names" : false, "suffix" : "" }, { "dropping-particle" : "", "family" : "Gemmen", "given" : "R.S.", "non-dropping-particle" : "", "parse-names" : false, "suffix" : "" }, { "dropping-particle" : "", "family" : "Bayless", "given" : "D.J.", "non-dropping-particle" : "", "parse-names" : false, "suffix" : "" } ], "container-title" : "Journal of Power Sources", "id" : "ITEM-1", "issue" : "2", "issued" : { "date-parts" : [ [ "2007", "6" ] ] }, "page" : "347-354", "title" : "The effect of coal syngas containing HCl on the performance of solid oxide fuel cells: Investigations into the effect of operational temperature and HCl concentration", "type" : "article-journal", "volume" : "169" }, "uris" : [ "http://www.mendeley.com/documents/?uuid=92305151-8653-4861-a4e8-ee6feee80790", "http://www.mendeley.com/documents/?uuid=7080290d-cf3f-454a-a454-d9b1b24094e4" ] }, { "id" : "ITEM-2", "itemData" : { "DOI" : "10.1016/j.jpowsour.2005.09.055", "ISSN" : "0378-7753", "abstract" : "The performance of single-cell planar solid oxide fuel cells using coal syngas, with and without hydrogen sulfide (H2S), was studied. A state-of-the-art gas delivery system, data acquisition system, and test stand were designed and assembled for experimentation. All cells were tested at 850 \u00b0C with a constant current load of 14.3 A (current density of 0.20 A cm\u22122). The results from using syngas with no H2S indicated no degradation after 290 h of operation. After immediately injecting CO (and water) in the H2\u2013N2 mixture, there was a slight tendency of improving performance (power) and then the behavior remained steady. On the other hand, results for the test with syngas in the presence of H2S (200\u2013240 ppm) indicated good performance over 570 h (650 h total operation time) with 10\u201312.5% degradation. The results suggest these cells can be used for extended periods of time for syngas applications, and in the presence of H2S the cells show no major degradation.", "author" : [ { "dropping-particle" : "", "family" : "Trembly", "given" : "Jason P.", "non-dropping-particle" : "", "parse-names" : false, "suffix" : "" }, { "dropping-particle" : "", "family" : "Marquez", "given" : "Andres I.", "non-dropping-particle" : "", "parse-names" : false, "suffix" : "" }, { "dropping-particle" : "", "family" : "Ohrn", "given" : "Ted R.", "non-dropping-particle" : "", "parse-names" : false, "suffix" : "" }, { "dropping-particle" : "", "family" : "Bayless", "given" : "David J.", "non-dropping-particle" : "", "parse-names" : false, "suffix" : "" } ], "container-title" : "Journal of Power Sources", "id" : "ITEM-2", "issue" : "1", "issued" : { "date-parts" : [ [ "2006", "7" ] ] }, "page" : "263-273", "title" : "Effects of coal syngas and H2S on the performance of solid oxide fuel cells: Single-cell tests", "type" : "article-journal", "volume" : "158" }, "uris" : [ "http://www.mendeley.com/documents/?uuid=9e0c79c6-4320-448c-94f0-05dd6aedc3e0", "http://www.mendeley.com/documents/?uuid=ee4cde4f-b3f3-4f2e-8058-18a88f6a1bb8" ] }, { "id" : "ITEM-3", "itemData" : { "DOI" : "10.1016/j.jpowsour.2007.06.087", "ISSN" : "03787753", "author" : [ { "dropping-particle" : "", "family" : "Trembly", "given" : "J.P.", "non-dropping-particle" : "", "parse-names" : false, "suffix" : "" }, { "dropping-particle" : "", "family" : "Gemmen", "given" : "R.S.", "non-dropping-particle" : "", "parse-names" : false, "suffix" : "" }, { "dropping-particle" : "", "family" : "Bayless", "given" : "D.J.", "non-dropping-particle" : "", "parse-names" : false, "suffix" : "" } ], "container-title" : "Journal of Power Sources", "id" : "ITEM-3", "issue" : "2", "issued" : { "date-parts" : [ [ "2007", "9" ] ] }, "page" : "818-825", "title" : "The effect of coal syngas containing AsH3 on the performance of SOFCs: Investigations into the effect of operational temperature, current density and AsH3 concentration", "type" : "article-journal", "volume" : "171" }, "uris" : [ "http://www.mendeley.com/documents/?uuid=fca3881a-b709-4d79-acd7-42e3206ab433", "http://www.mendeley.com/documents/?uuid=51e6fad4-73b5-401c-aa93-f74262cc1083" ] }, { "id" : "ITEM-4", "itemData" : { "DOI" : "10.1149/1.3291913", "ISBN" : "0013-4651", "ISSN" : "00134651", "abstract" : "Impedance spectroscopy and current-voltage measurements were used to study the synergistic effects of the coal gas contaminants As, P, S, and Cl at the parts per million level on the performance of the anode-supported Ni-yttria-stabilized zirconia (YSZ)/YSZ/lanthanum strontium manganese solid oxide fuel cells (SOFCs) at 750 degrees C. Three semicircles were differentiated in cell impedance spectra. The results indicate that the effects of the contaminants are synergistic, can be destructive or constructive, and are not a simple addition of individual contaminants. Adding H(2)S to As and P accelerated the performance degradation. The addition of H(2)S also increased the charge-transfer resistance, whereas the removal of H(2)S resulted in a substantial ohmic resistance increase. The presence of Cl could mitigate or prevent performance loss from an attack by As and P. Impedance spectra show that the presence of Cl species protected the electronic percolation and slowed the rate of the charge-transfer resistance increase. Therefore, the tolerance limit of SOFCs for each contaminant could be significantly increased with Cl species in the gas stream. It is speculated that Cl species could react with nickel phosphides and Ni-P alloy to form NiCl(g), resulting in the restructuring of the catalyst surface.", "author" : [ { "dropping-particle" : "", "family" : "Bao", "given" : "JianEr", "non-dropping-particle" : "", "parse-names" : false, "suffix" : "" }, { "dropping-particle" : "", "family" : "Krishnan", "given" : "Gopala N.", "non-dropping-particle" : "", "parse-names" : false, "suffix" : "" }, { "dropping-particle" : "", "family" : "Jayaweera", "given" : "Palitha", "non-dropping-particle" : "", "parse-names" : false, "suffix" : "" }, { "dropping-particle" : "", "family" : "Sanjurjo", "given" : "Angel", "non-dropping-particle" : "", "parse-names" : false, "suffix" : "" } ], "container-title" : "Journal of The Electrochemical Society", "id" : "ITEM-4", "issue" : "3", "issued" : { "date-parts" : [ [ "2010" ] ] }, "page" : "B415", "title" : "Impedance Study of the Synergistic Effects of Coal Contaminants: Is Cl a Contaminant or a Performance Stabilizer?", "type" : "article-journal", "volume" : "157" }, "uris" : [ "http://www.mendeley.com/documents/?uuid=95968095-0b22-4f4d-9c4a-9f13efda8b0d", "http://www.mendeley.com/documents/?uuid=0e4b0a74-c5d8-4a7b-9772-1a6228bd8203" ] }, { "id" : "ITEM-5", "itemData" : { "DOI" : "10.1002/fuce.201300248", "ISSN" : "1615-6854", "abstract" : "Solid oxide fuel cells (SOFCs) have been considered as one of the most efficient power generators that can directly convert chemical energy in the natural gas, biomass, or coal-derived gas to electrical energy. Various contaminants in syngas are capable to cause catalyst malfunction and cell performance drop, limiting fuel cell to a wide application. The effects of PH3 and CH3Cl fuel impurities on the electrochemical performance of SOFCs are investigated at various testing conditions. Performance drop caused by the addition of 10 ppm PH3 remains identical in pure hydrogen and simulated coal-derived syngas at 750 \u00b0C, but a slight increase is observed when the cells are fueled syngas at 850 \u00b0C. The presence of CH3Cl in syngas causes cell degradation to a larger extent at 850 \u00b0C. Moreover, the cooperative influences of PH3 and CH3Cl impurities in hydrogen are also studied at 750, 800, and 850 \u00b0C. The addition of CH3Cl can stop and remove PH3 poisoning behavior, which is associated with each contaminant concentrations and operational temperatures. The related mechanism has been deeply analyzed and diagnosed.", "author" : [ { "dropping-particle" : "", "family" : "Li", "given" : "T. S.", "non-dropping-particle" : "", "parse-names" : false, "suffix" : "" }, { "dropping-particle" : "", "family" : "Gao", "given" : "C.", "non-dropping-particle" : "", "parse-names" : false, "suffix" : "" }, { "dropping-particle" : "", "family" : "Xu", "given" : "M.", "non-dropping-particle" : "", "parse-names" : false, "suffix" : "" }, { "dropping-particle" : "", "family" : "Li", "given" : "B.", "non-dropping-particle" : "", "parse-names" : false, "suffix" : "" }, { "dropping-particle" : "", "family" : "Wu", "given" : "M.", "non-dropping-particle" : "", "parse-names" : false, "suffix" : "" }, { "dropping-particle" : "", "family" : "Wang", "given" : "W. G.", "non-dropping-particle" : "", "parse-names" : false, "suffix" : "" } ], "container-title" : "Fuel Cells", "id" : "ITEM-5", "issue" : "6", "issued" : { "date-parts" : [ [ "2014" ] ] }, "language" : "en", "page" : "999\u20131005", "title" : "Effects of PH3 and CH3Cl Contaminants on the Performance of Solid Oxide Fuel Cells", "type" : "article-journal", "volume" : "14" }, "uris" : [ "http://www.mendeley.com/documents/?uuid=4e6e7526-c4bd-43e5-a54b-2a59b179d2ef", "http://www.mendeley.com/documents/?uuid=5222ba0c-b92f-4b60-afb9-5b5eca35845c" ] } ], "mendeley" : { "formattedCitation" : "[3\u20137]", "plainTextFormattedCitation" : "[3\u20137]", "previouslyFormattedCitation" : "[3\u20137]"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[3–7]</w:t>
      </w:r>
      <w:r w:rsidR="006141CA" w:rsidRPr="0036378E">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 xml:space="preserve"> and </w:t>
      </w:r>
      <w:r w:rsidR="0036378E">
        <w:rPr>
          <w:rFonts w:ascii="Times New Roman" w:hAnsi="Times New Roman" w:cs="Times New Roman"/>
          <w:sz w:val="24"/>
          <w:szCs w:val="24"/>
          <w:lang w:bidi="fa-IR"/>
        </w:rPr>
        <w:t>Haga</w:t>
      </w:r>
      <w:r w:rsidRPr="0036378E">
        <w:rPr>
          <w:rFonts w:ascii="Times New Roman" w:hAnsi="Times New Roman" w:cs="Times New Roman"/>
          <w:sz w:val="24"/>
          <w:szCs w:val="24"/>
          <w:lang w:bidi="fa-IR"/>
        </w:rPr>
        <w:t xml:space="preserve"> et al</w:t>
      </w:r>
      <w:r w:rsidR="0036378E">
        <w:rPr>
          <w:rFonts w:ascii="Times New Roman" w:hAnsi="Times New Roman" w:cs="Times New Roman"/>
          <w:sz w:val="24"/>
          <w:szCs w:val="24"/>
          <w:lang w:bidi="fa-IR"/>
        </w:rPr>
        <w:t>.</w:t>
      </w:r>
      <w:r w:rsidRPr="0036378E">
        <w:rPr>
          <w:rFonts w:ascii="Times New Roman" w:hAnsi="Times New Roman" w:cs="Times New Roman"/>
          <w:sz w:val="24"/>
          <w:szCs w:val="24"/>
          <w:lang w:bidi="fa-IR"/>
        </w:rPr>
        <w:t xml:space="preserve">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"10.1149/1.2980521", "ISSN" : "0013-4651, 1945-7111", "author" : [ { "dropping-particle" : "", "family" : "Haga", "given" : "K.", "non-dropping-particle" : "", "parse-names" : false, "suffix" : "" }, { "dropping-particle" : "", "family" : "Shiratori", "given" : "Y.", "non-dropping-particle" : "", "parse-names" : false, "suffix" : "" }, { "dropping-particle" : "", "family" : "Ito", "given" : "K.", "non-dropping-particle" : "", "parse-names" : false, "suffix" : "" }, { "dropping-particle" : "", "family" : "Sasaki", "given" : "K.", "non-dropping-particle" : "", "parse-names" : false, "suffix" : "" } ], "container-title" : "Journal of The Electrochemical Society", "id" : "ITEM-1", "issue" : "12", "issued" : { "date-parts" : [ [ "2008", "12" ] ] }, "language" : "en", "page" : "B1233\u2013B1239", "title" : "Chlorine Poisoning of SOFC Ni-Cermet Anodes", "type" : "article-journal", "volume" : "155" }, "uris" : [ "http://www.mendeley.com/documents/?uuid=47babd43-c5eb-49e4-a2d1-ac3da62d187f", "http://www.mendeley.com/documents/?uuid=58ba6b5b-f121-43ee-8ff0-54b1a2728f6d" ] }, { "id" : "ITEM-2", "itemData" : { "DOI" : "10.1016/j.ssi.2008.02.062", "ISBN" : "0167-2738", "ISSN" : "01672738", "abstract" : "Poisoning effects by various fuel impurities, including H2S, CH3SH, COS, Cl2, and siloxane, to Ni-ScSZ cermet anodes have been analyzed and compared. Degradation of cell performance caused by these impurities was characterized by measuring cell voltage and anode polarization at a constant current density of 0.2\u00a0Acm- 2 for humidified H2 and CH4 fuels. Poisoning for hydrogen-based fuels containing 5\u00a0ppm sulfur compounds, H2S, CH3SH, and COS, caused an initial cell voltage drop of about 15\u00a0mV at 1000\u00a0\u00b0C. The initial voltage drop was independent of the kind of sulfur compounds, whereas in the case of poisoning by CH3SH, an additional gradual decrease in cell voltage was clearly detected after the initial voltage drop. Thermochemical calculation and FESEM-EDX analysis also indicated that the poisoning by Cl2 caused the formation of nickel nano-particles on zirconia grains via NiCl2 (g), while the poisoning by siloxane formed segregated silica (SiO2) in porous cermet anodes. \u00a9 2008 Elsevier B.V. All rights reserved.", "author" : [ { "dropping-particle" : "", "family" : "Haga", "given" : "K.", "non-dropping-particle" : "", "parse-names" : false, "suffix" : "" }, { "dropping-particle" : "", "family" : "Adachi", "given" : "S.", "non-dropping-particle" : "", "parse-names" : false, "suffix" : "" }, { "dropping-particle" : "", "family" : "Shiratori", "given" : "Y.", "non-dropping-particle" : "", "parse-names" : false, "suffix" : "" }, { "dropping-particle" : "", "family" : "Itoh", "given" : "K.", "non-dropping-particle" : "", "parse-names" : false, "suffix" : "" }, { "dropping-particle" : "", "family" : "Sasaki", "given" : "K.", "non-dropping-particle" : "", "parse-names" : false, "suffix" : "" } ], "container-title" : "Solid State Ionics", "id" : "ITEM-2", "issue" : "27-32", "issued" : { "date-parts" : [ [ "2008" ] ] }, "page" : "1427-1431", "title" : "Poisoning of SOFC anodes by various fuel impurities", "type" : "article-journal", "volume" : "179" }, "uris" : [ "http://www.mendeley.com/documents/?uuid=57a87e70-a7ab-4d91-acd4-b783e4f472b7", "http://www.mendeley.com/documents/?uuid=4b04c7a7-6c69-4176-9938-3505ea50efaa" ] } ], "mendeley" : { "formattedCitation" : "[8,9]", "plainTextFormattedCitation" : "[8,9]", "previouslyFormattedCitation" : "[8,9]"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[8,9]</w:t>
      </w:r>
      <w:r w:rsidR="006141CA" w:rsidRPr="0036378E">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w:t>
      </w:r>
      <w:r w:rsidR="00063CDE" w:rsidRPr="0036378E">
        <w:rPr>
          <w:rFonts w:ascii="Times New Roman" w:hAnsi="Times New Roman" w:cs="Times New Roman"/>
          <w:sz w:val="24"/>
          <w:szCs w:val="24"/>
          <w:lang w:bidi="fa-IR"/>
        </w:rPr>
        <w:t xml:space="preserve"> </w:t>
      </w:r>
      <w:r w:rsidRPr="0036378E">
        <w:rPr>
          <w:rFonts w:ascii="Times New Roman" w:hAnsi="Times New Roman" w:cs="Times New Roman"/>
          <w:sz w:val="24"/>
          <w:szCs w:val="24"/>
          <w:lang w:bidi="fa-IR"/>
        </w:rPr>
        <w:t xml:space="preserve">The issue of </w:t>
      </w:r>
      <w:r w:rsidRPr="00873410">
        <w:rPr>
          <w:rFonts w:ascii="Times New Roman" w:hAnsi="Times New Roman" w:cs="Times New Roman"/>
          <w:noProof/>
          <w:sz w:val="24"/>
          <w:szCs w:val="24"/>
          <w:lang w:bidi="fa-IR"/>
        </w:rPr>
        <w:t>tars</w:t>
      </w:r>
      <w:r w:rsidRPr="0036378E">
        <w:rPr>
          <w:rFonts w:ascii="Times New Roman" w:hAnsi="Times New Roman" w:cs="Times New Roman"/>
          <w:sz w:val="24"/>
          <w:szCs w:val="24"/>
          <w:lang w:bidi="fa-IR"/>
        </w:rPr>
        <w:t xml:space="preserve"> feeding SOFC has been studied by Aravind et al.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"10.1149/1.2820452", "ISSN" : "10990062", "author" : [ { "dropping-particle" : "V.", "family" : "Aravind", "given" : "P.", "non-dropping-particle" : "", "parse-names" : false, "suffix" : "" }, { "dropping-particle" : "", "family" : "Ouweltjes", "given" : "J. P.", "non-dropping-particle" : "", "parse-names" : false, "suffix" : "" }, { "dropping-particle" : "", "family" : "Woudstra", "given" : "N.", "non-dropping-particle" : "", "parse-names" : false, "suffix" : "" }, { "dropping-particle" : "", "family" : "Rietveld", "given" : "G.", "non-dropping-particle" : "", "parse-names" : false, "suffix" : "" } ], "container-title" : "Electrochemical and Solid-State Letters", "id" : "ITEM-1", "issue" : "2", "issued" : { "date-parts" : [ [ "2008" ] ] }, "page" : "B24", "title" : "Impact of Biomass-Derived Contaminants on SOFCs with Ni/Gadolinia-Doped Ceria Anodes", "type" : "article-journal", "volume" : "11" }, "uris" : [ "http://www.mendeley.com/documents/?uuid=28f2e760-6523-43b0-9c3d-9bd5feed85aa", "http://www.mendeley.com/documents/?uuid=1992b83d-7940-41ad-a710-949644787e3f" ] } ], "mendeley" : { "formattedCitation" : "[10]", "plainTextFormattedCitation" : "[10]", "previouslyFormattedCitation" : "[10]"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[10]</w:t>
      </w:r>
      <w:r w:rsidR="006141CA" w:rsidRPr="0036378E">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w:t>
      </w:r>
      <w:r w:rsidR="00063CDE" w:rsidRPr="0036378E">
        <w:rPr>
          <w:rFonts w:ascii="Times New Roman" w:hAnsi="Times New Roman" w:cs="Times New Roman"/>
          <w:sz w:val="24"/>
          <w:szCs w:val="24"/>
          <w:lang w:bidi="fa-IR"/>
        </w:rPr>
        <w:t xml:space="preserve"> </w:t>
      </w:r>
      <w:r w:rsidR="00D01150" w:rsidRPr="0036378E">
        <w:rPr>
          <w:rFonts w:ascii="Times New Roman" w:hAnsi="Times New Roman" w:cs="Times New Roman"/>
          <w:sz w:val="24"/>
          <w:szCs w:val="24"/>
        </w:rPr>
        <w:t>Carbon depositions issues have long been investigated for Ni/YSZ anodes of SOFCs operating with CH</w:t>
      </w:r>
      <w:r w:rsidR="00D01150" w:rsidRPr="0036378E">
        <w:rPr>
          <w:rFonts w:ascii="Times New Roman" w:hAnsi="Times New Roman" w:cs="Times New Roman"/>
          <w:sz w:val="24"/>
          <w:szCs w:val="24"/>
          <w:vertAlign w:val="subscript"/>
        </w:rPr>
        <w:t>4</w:t>
      </w:r>
      <w:r w:rsidR="00D01150" w:rsidRPr="0036378E">
        <w:rPr>
          <w:rFonts w:ascii="Times New Roman" w:hAnsi="Times New Roman" w:cs="Times New Roman"/>
          <w:sz w:val="24"/>
          <w:szCs w:val="24"/>
        </w:rPr>
        <w:t xml:space="preserve"> and other hydrocarbon fuels </w:t>
      </w:r>
      <w:r w:rsidR="0036378E" w:rsidRPr="0036378E">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"10.1016/j.apcata.2006.10.040", "ISBN" : "0926-860X", "ISSN" : "0926860X", "abstract" : "Carbon formation on Ni/YSZ cermets in high-temperature processes involving hydrocarbons can be a severe problem. Understanding the mechanisms of carbon formation is necessary for developing strategies to avoid or minimize the problem. In this study, Ni/YSZ pellets (70/30 NiO/YSZ) have been exposed to humidified methane at temperatures between 773 K and 1073 K. The carbon formed on these pellets and/or any structural changes in the pellets was studied with X-ray diffraction (XRD), scanning electron microscopy (SEM) and temperature-programmed oxidation (TPO). At temperatures below 873 K, carbon fibres dominated. At higher temperatures, the majority of the carbon dissolved into the Ni particles. After TPO and removal of the carbon, the Ni structure was damaged to various extents depending on the exposure temperature. The amount of carbon deposited was significantly reduced by placing zirconia-doped ceria pellets on each side of the Ni/YSZ pellet. The addition of a ceria layer did not completely eliminate the carbon formation but the carbon that was formed was weakly attached to the Ni/YSZ such that the structure was not irreversibly changed. The role of the ceria is beyond simply reforming the methane. ?? 2006 Elsevier B.V. All rights reserved.", "author" : [ { "dropping-particle" : "", "family" : "He", "given" : "Hongpeng", "non-dropping-particle" : "", "parse-names" : false, "suffix" : "" }, { "dropping-particle" : "", "family" : "Hill", "given" : "Josephine M.", "non-dropping-particle" : "", "parse-names" : false, "suffix" : "" } ], "container-title" : "Applied Catalysis A: General", "id" : "ITEM-1", "issue" : "2", "issued" : { "date-parts" : [ [ "2007" ] ] }, "page" : "284-292", "title" : "Carbon deposition on Ni/YSZ composites exposed to humidified methane", "type" : "article-journal", "volume" : "317" }, "uris" : [ "http://www.mendeley.com/documents/?uuid=5a9e33dc-7227-42aa-9a07-8266937051ac", "http://www.mendeley.com/documents/?uuid=71afe27d-e918-49f4-a688-3168c3e97a8e" ] }, { "id" : "ITEM-2", "itemData" : { "DOI" : "10.1016/S0167-2738(02)00243-6", "ISBN" : "0167-2738", "ISSN" : "01672738", "abstract" : "An anode support planar SOFC with a 4??4-cm2 active area was fabricated with LSM (La0.78Sr0.22MnxO3), 8YSZ and Ni/YSZ. A single cell was tested with hydrogen and methane fuels to compare cell performance and to investigate carbon deposition effects. Catalytic activity of anode support was characterized by AC impedance analysis, and cell performance was measured with current-voltage curves. Impedance responses for the anode support cell showed one large arc at high frequency, which is considered a typical indication of polarization resistance from the anode support. A carbon deposition test was conducted with flowing methane at an open-circuit condition for a significant period. We observed an increase of arc from the comparison of impedance responses before and after the carbon deposition. The increased impedance arc recovered to its original magnitude when electrical load applied to the cell so that sufficient oxygen ions are supplied. This reversibility of carbon deposition resulted in no change of cell performance. The impedance change we observed for carbon deposition was clearly distinguished from what we consider oxidation of Ni that was observed from impedance analysis for the cell exposed to a mildly oxidative condition. Irreversible carbon deposition was also tested by running the cell at a thermodynamically favorable condition for carbon deposition, and a drop of cell performance was observed. ?? 2002 Elsevier Science B.V. All rights reserved.", "author" : [ { "dropping-particle" : "", "family" : "Koh", "given" : "Joon Ho", "non-dropping-particle" : "", "parse-names" : false, "suffix" : "" }, { "dropping-particle" : "", "family" : "Yoo", "given" : "Young Sung", "non-dropping-particle" : "", "parse-names" : false, "suffix" : "" }, { "dropping-particle" : "", "family" : "Park", "given" : "Jin Woo", "non-dropping-particle" : "", "parse-names" : false, "suffix" : "" }, { "dropping-particle" : "", "family" : "Lim", "given" : "Hee Chun", "non-dropping-particle" : "", "parse-names" : false, "suffix" : "" } ], "container-title" : "Solid State Ionics", "id" : "ITEM-2", "issue" : "3-4", "issued" : { "date-parts" : [ [ "2002" ] ] }, "page" : "157-166", "title" : "Carbon deposition and cell performance of Ni-YSZ anode support SOFC with methane fuel", "type" : "article-journal", "volume" : "149" }, "uris" : [ "http://www.mendeley.com/documents/?uuid=9a6e98dc-d059-4222-9dc4-927ef50b6632", "http://www.mendeley.com/documents/?uuid=6e5eb468-980a-4396-be19-0df152589a85" ] }, { "id" : "ITEM-3", "itemData" : { "DOI" : "10.1016/j.ssi.2005.05.008", "ISBN" : "0167-2738", "ISSN" : "01672738", "abstract" : "The operation of Ni-YSZ anode supported SOFCs on methane fuel is described. Power densities as high as 0.52 W/cm2 at 700 ??C and 1.27 W/cm2 at 800 ??C were observed. Open circuit voltages (OCV) increased with increasing temperature to nearly 1.2 V, in good agreement with equilibrium calculations. Measurements of direct-methane SOFC stability showed that at lower temperatures, ??? 700 ??C, stable operation without coking occurred over a wide range of current densities. At higher temperatures, increasingly large currents were required to avoid coking and cell failure. In electrochemical impedance spectra, two electrode arcs were observed with the higher frequency arc increasing in size when the fuel was switched from hydrogen to methane. Mass spectrometer measurements showed that the expected reaction products-H2, H2O, CO, and CO2-all increased with increasing cell current density. The dominant products at 800 ??C were H2 and CO, in agreement with thermodynamic predictions. Reasons for stable coke-free direct methane operation are discussed. ?? 2005 Elsevier B.V. All rights reserved.", "author" : [ { "dropping-particle" : "", "family" : "Lin", "given" : "Yuanbo", "non-dropping-particle" : "", "parse-names" : false, "suffix" : "" }, { "dropping-particle" : "", "family" : "Zhan", "given" : "Zhongliang", "non-dropping-particle" : "", "parse-names" : false, "suffix" : "" }, { "dropping-particle" : "", "family" : "Liu", "given" : "Jiang", "non-dropping-particle" : "", "parse-names" : false, "suffix" : "" }, { "dropping-particle" : "", "family" : "Barnett", "given" : "Scott A.", "non-dropping-particle" : "", "parse-names" : false, "suffix" : "" } ], "container-title" : "Solid State Ionics", "id" : "ITEM-3", "issue" : "23-24", "issued" : { "date-parts" : [ [ "2005" ] ] }, "page" : "1827-1835", "title" : "Direct operation of solid oxide fuel cells with methane fuel", "type" : "article-journal", "volume" : "176" }, "uris" : [ "http://www.mendeley.com/documents/?uuid=ebf01991-ecdb-46f0-8552-fb087ca8a48f", "http://www.mendeley.com/documents/?uuid=5ea8c2e9-a4c3-41e7-9d1f-dbae7e573791" ] }, { "id" : "ITEM-4", "itemData" : { "DOI" : "10.1016/j.jpowsour.2011.03.092", "ISSN" : "03787753", "abstract" : "The effect of crystal structure of yttria- (YSZ) and scandia-stabilized zirconia (ScSZ) in nickel-based SOFC anodes was investigated in relation with carbon deposition and oxidation behavior in methane fuel. The lattice parameter of the zirconia decreased by the dissolution of 1-2 mol%Ni to YSZ and ScSZ. For Ni-doped ScSZ, the lattice parameter of the zirconia increased by the Ni dissolution, and the crystal structure of the zirconia was modified after reduction treatment. New finer Ni particles were formed around original Ni grains accompanied by the decrease in Ni solubility to ScSZ after reduction treatment. Carbon deposition was initiated near the boundary between Ni particles and YSZ (or ScSZ) substrate in dry methane atmosphere. Furthermore, the rod-shaped carbon was observed to grow from the new finer Ni particles on the ScSZ substrate. On the other hand, a large amount of amorphous carbon was promoted to be deposited on Ni-YSZ cermet at a high temperature of 1273 K. The amorphous carbon, however, was oxidized at lower temperatures than graphite. The carbon deposition and oxidation behavior was strongly affected by the morphology and crystallinity of deposited carbon. ?? 2011 Elsevier B.V. All rights reserved.", "author" : [ { "dropping-particle" : "", "family" : "Sumi", "given" : "Hirofumi", "non-dropping-particle" : "", "parse-names" : false, "suffix" : "" }, { "dropping-particle" : "", "family" : "Puengjinda", "given" : "Pramote", "non-dropping-particle" : "", "parse-names" : false, "suffix" : "" }, { "dropping-particle" : "", "family" : "Muroyama", "given" : "Hiroki", "non-dropping-particle" : "", "parse-names" : false, "suffix" : "" }, { "dropping-particle" : "", "family" : "Matsui", "given" : "Toshiaki", "non-dropping-particle" : "", "parse-names" : false, "suffix" : "" }, { "dropping-particle" : "", "family" : "Eguchi", "given" : "Koichi", "non-dropping-particle" : "", "parse-names" : false, "suffix" : "" } ], "container-title" : "Journal of Power Sources", "id" : "ITEM-4", "issue" : "15", "issued" : { "date-parts" : [ [ "2011" ] ] }, "page" : "6048-6054", "publisher" : "Elsevier B.V.", "title" : "Effects of crystal Structure of yttria- and scandia-stabilized zirconia in nickel-based SOFC anodes on carbon deposition and oxidation behavior", "type" : "article-journal", "volume" : "196" }, "uris" : [ "http://www.mendeley.com/documents/?uuid=66f3ea7a-57b5-4044-8cd6-a5983af430ea", "http://www.mendeley.com/documents/?uuid=a369a06d-3024-416c-8c32-62d36f8c429a" ] }, { "id" : "ITEM-5", "itemData" : { "DOI" : "10.1016/j.jpowsour.2005.05.001", "ISBN" : "0378-7753", "ISSN" : "03787753", "abstract" : "The formation and removal of the carbonaceous deposits formed by n-butane and liquid hydrocarbons, such as n-decane and proprietary light and heavy naphthas, between 973 and 1073 K on YSZ and ceria-YSZ, has been studied to determine conditions for stable operation of direct-utilization SOFC. First, it is shown that deactivation of SOFC with Cu-ceria-YSZ anodes operating on undiluted n-decane, a mixture of 80% n-decane and 20% toluene, or light naphtha at temperatures above 973 K is due to filling of the pores with polyaromatic compounds formed by gas-phase, free-radical reactions. Formation of these compounds occurs at a negligible rate below 973 K but increases rapidly above this temperature. The rate of formation also depends on the residence time of the fuel in the anode compartment. Because steam does not participate in the gas-phase reactions, carbonaceous deposits could form even at a H2O:C ratio of 1.5, a value greater than the stability threshold predicted by thermodynamic calculations. Temperature programmed oxidation (TPO) measurements with 20% H2O in He demonstrated that carbon deposits formed in pure YSZ were unreactive below 1073 K, while deposits formed on ceria-YSZ could be removed at temperatures as low as 923 K. Based on these results, we discuss strategies for avoiding carbon formation during the operation of direct-utilization anodes on oil-based liquid fuels. \u00a9 2005 Elsevier B.V. All rights reserved.", "author" : [ { "dropping-particle" : "", "family" : "Kim", "given" : "T.", "non-dropping-particle" : "", "parse-names" : false, "suffix" : "" }, { "dropping-particle" : "", "family" : "Liu", "given" : "G.", "non-dropping-particle" : "", "parse-names" : false, "suffix" : "" }, { "dropping-particle" : "", "family" : "Boaro", "given" : "M.", "non-dropping-particle" : "", "parse-names" : false, "suffix" : "" }, { "dropping-particle" : "", "family" : "Lee", "given" : "S. I.", "non-dropping-particle" : "", "parse-names" : false, "suffix" : "" }, { "dropping-particle" : "", "family" : "Vohs", "given" : "J. M.", "non-dropping-particle" : "", "parse-names" : false, "suffix" : "" }, { "dropping-particle" : "", "family" : "Gorte", "given" : "R. J.", "non-dropping-particle" : "", "parse-names" : false, "suffix" : "" }, { "dropping-particle" : "", "family" : "Al-Madhi", "given" : "O. H.", "non-dropping-particle" : "", "parse-names" : false, "suffix" : "" }, { "dropping-particle" : "", "family" : "Dabbousi", "given" : "B. O.", "non-dropping-particle" : "", "parse-names" : false, "suffix" : "" } ], "container-title" : "Journal of Power Sources", "id" : "ITEM-5", "issue" : "2", "issued" : { "date-parts" : [ [ "2006" ] ] }, "page" : "231-238", "title" : "A study of carbon formation and prevention in hydrocarbon-fueled SOFC", "type" : "article-journal", "volume" : "155" }, "uris" : [ "http://www.mendeley.com/documents/?uuid=716573f4-c8b0-4268-ac8e-c53c2885aa57", "http://www.mendeley.com/documents/?uuid=7f23d0b3-a744-463d-a800-34684ccdd107" ] }, { "id" : "ITEM-6", "itemData" : { "DOI" : "10.1016/j.jpowsour.2004.01.040", "ISBN" : "0378-7753", "ISSN" : "03787753", "abstract" : "The injection of liquid hydrocarbons directly into an SOFC system is considered for application to hybrid vehicles. The main problem is carbon deposition on the nickel anode when molecules such as ethanol or iso-octane are injected directly. Such carbon deposition has been studied using a microtubular SOFC with a mass spectrometer analysing the product gases to investigate the reaction sequence and also to investigate the deposited carbon by temperature programmed oxidation (TPO). The results show that only two liquids could be injected directly onto nickel cermet anodes without serious carbon blockage, methanol and methanoic acid. Even then, TPO experiments revealed deposition of small amounts of carbon which could be prevented by small additions of air or water to the fuel. Gasoline type molecules like iso-octane killed the SOFC in about 30min operation, with about 90% of the molecular carbon being deposited on the nickel cermet anode. However, certain mixtures of iso-octane, water, alcohol and surfactant were found to produce beneficial results with remarkably low carbon deposition, less than 1% of the molecular carbon appearing on the anode. Such formulations had octane numbers appropriate to internal combustion engine operation. ?? 2004 Published by Elsevier B.V.", "author" : [ { "dropping-particle" : "", "family" : "Saunders", "given" : "G. J.", "non-dropping-particle" : "", "parse-names" : false, "suffix" : "" }, { "dropping-particle" : "", "family" : "Preece", "given" : "J.", "non-dropping-particle" : "", "parse-names" : false, "suffix" : "" }, { "dropping-particle" : "", "family" : "Kendall", "given" : "K.", "non-dropping-particle" : "", "parse-names" : false, "suffix" : "" } ], "container-title" : "Journal of Power Sources", "id" : "ITEM-6", "issue" : "1-2", "issued" : { "date-parts" : [ [ "2004" ] ] }, "page" : "23-26", "title" : "Formulating liquid hydrocarbon fuels for SOFCs", "type" : "article-journal", "volume" : "131" }, "uris" : [ "http://www.mendeley.com/documents/?uuid=e4ca8ec7-e136-47c8-9aa7-a2a0b7a5e586", "http://www.mendeley.com/documents/?uuid=f0b4b4fc-e829-4a24-a63a-c03f4e94667b" ] } ], "mendeley" : { "formattedCitation" : "[11\u201316]", "plainTextFormattedCitation" : "[11\u201316]", "previouslyFormattedCitation" : "[11\u201316]" }, "properties" : { "noteIndex" : 0 }, "schema" : "https://github.com/citation-style-language/schema/raw/master/csl-citation.json" }</w:instrText>
      </w:r>
      <w:r w:rsidR="0036378E" w:rsidRPr="0036378E">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[11–16]</w:t>
      </w:r>
      <w:r w:rsidR="0036378E" w:rsidRPr="0036378E">
        <w:rPr>
          <w:rFonts w:ascii="Times New Roman" w:hAnsi="Times New Roman" w:cs="Times New Roman"/>
          <w:sz w:val="24"/>
          <w:szCs w:val="24"/>
        </w:rPr>
        <w:fldChar w:fldCharType="end"/>
      </w:r>
      <w:r w:rsidR="00D01150" w:rsidRPr="0036378E">
        <w:rPr>
          <w:rFonts w:ascii="Times New Roman" w:hAnsi="Times New Roman" w:cs="Times New Roman"/>
          <w:sz w:val="24"/>
          <w:szCs w:val="24"/>
        </w:rPr>
        <w:t xml:space="preserve">. In fact, Ni has proven to exhibit a very high catalytic activity toward the carbon deposition reactions in the operating temperature range of SOFCs. </w:t>
      </w:r>
      <w:r w:rsidR="00063CDE" w:rsidRPr="0036378E">
        <w:rPr>
          <w:rFonts w:ascii="Times New Roman" w:hAnsi="Times New Roman" w:cs="Times New Roman"/>
          <w:sz w:val="24"/>
          <w:szCs w:val="24"/>
          <w:lang w:bidi="fa-IR"/>
        </w:rPr>
        <w:t>A</w:t>
      </w:r>
      <w:r w:rsidR="00932A42" w:rsidRPr="0036378E">
        <w:rPr>
          <w:rFonts w:ascii="Times New Roman" w:hAnsi="Times New Roman" w:cs="Times New Roman"/>
          <w:sz w:val="24"/>
          <w:szCs w:val="24"/>
          <w:lang w:bidi="fa-IR"/>
        </w:rPr>
        <w:t>n</w:t>
      </w:r>
      <w:r w:rsidR="00063CDE" w:rsidRPr="0036378E">
        <w:rPr>
          <w:rFonts w:ascii="Times New Roman" w:hAnsi="Times New Roman" w:cs="Times New Roman"/>
          <w:sz w:val="24"/>
          <w:szCs w:val="24"/>
          <w:lang w:bidi="fa-IR"/>
        </w:rPr>
        <w:t xml:space="preserve"> </w:t>
      </w:r>
      <w:r w:rsidR="00932A42" w:rsidRPr="0036378E">
        <w:rPr>
          <w:rFonts w:ascii="Times New Roman" w:hAnsi="Times New Roman" w:cs="Times New Roman"/>
          <w:sz w:val="24"/>
          <w:szCs w:val="24"/>
          <w:lang w:bidi="fa-IR"/>
        </w:rPr>
        <w:t>ov</w:t>
      </w:r>
      <w:r w:rsidR="00063CDE" w:rsidRPr="0036378E">
        <w:rPr>
          <w:rFonts w:ascii="Times New Roman" w:hAnsi="Times New Roman" w:cs="Times New Roman"/>
          <w:sz w:val="24"/>
          <w:szCs w:val="24"/>
          <w:lang w:bidi="fa-IR"/>
        </w:rPr>
        <w:t>e</w:t>
      </w:r>
      <w:r w:rsidR="00932A42" w:rsidRPr="0036378E">
        <w:rPr>
          <w:rFonts w:ascii="Times New Roman" w:hAnsi="Times New Roman" w:cs="Times New Roman"/>
          <w:sz w:val="24"/>
          <w:szCs w:val="24"/>
          <w:lang w:bidi="fa-IR"/>
        </w:rPr>
        <w:t>r</w:t>
      </w:r>
      <w:r w:rsidR="00063CDE" w:rsidRPr="0036378E">
        <w:rPr>
          <w:rFonts w:ascii="Times New Roman" w:hAnsi="Times New Roman" w:cs="Times New Roman"/>
          <w:sz w:val="24"/>
          <w:szCs w:val="24"/>
          <w:lang w:bidi="fa-IR"/>
        </w:rPr>
        <w:t>view on solid carbon formation in SOFC anodes by thermochemical reactions is provided in the work of Hanna et al.</w:t>
      </w:r>
      <w:r w:rsidR="009B2A6C" w:rsidRPr="0036378E">
        <w:rPr>
          <w:rFonts w:ascii="Times New Roman" w:hAnsi="Times New Roman" w:cs="Times New Roman"/>
          <w:sz w:val="24"/>
          <w:szCs w:val="24"/>
          <w:lang w:bidi="fa-IR"/>
        </w:rPr>
        <w:t xml:space="preserve"> </w:t>
      </w:r>
      <w:r w:rsidR="0036378E"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"10.1016/j.pecs.2013.10.001 Review", "ISBN" : "0360-1285", "ISSN" : "03601285", "abstract" : "High fuel flexibility of solid-oxide fuel cells (SOFCs) affords the possibility to use relatively cheap, safe, and readily available hydrocarbon (e.g., CH4) or coal syngas (i.e., CO-H2 mixtures) fuels. Utilization of such fuels would greatly lower fuel cost and increase the feasibility of SOFC commercialization, especially for near-term adoption in anticipation of the long-awaited so-called \"hydrogen economy\". Current SOFC technology has shown good performance with a wide range of hydrocarbon and syngas fuels, but there are still significant challenges for practical application. In this paper, the basic operating principles, state-of-the-art performance benchmarks, and SOFC-relevant materials are summarized. More in-depth reviews on those topics can be found in Kee and co-workers [Combust Sci and Tech 2008; 180:1207-44 and Proc Combust Inst 2005; 30:2379-404] and McIntosh and Gorte [Chem Rev 2004; 104:4845-65]. The focus of this review is on the fundamentals and development of detailed electro- and thermal (or simply, electrothermal) chemistry within the SOFC anode, including electrochemical oxidation mechanisms for H2, CO, CH4, and carbon, as well as the effects of carbon deposition and sulfur poisoning. The interdependence of heterogeneous chemistry, charge-transfer pro</w:instrText>
      </w:r>
      <w:r w:rsidR="001C1C39" w:rsidRPr="001C1C39">
        <w:rPr>
          <w:rFonts w:ascii="Times New Roman" w:hAnsi="Times New Roman" w:cs="Times New Roman"/>
          <w:sz w:val="24"/>
          <w:szCs w:val="24"/>
          <w:lang w:val="it-IT" w:bidi="fa-IR"/>
        </w:rPr>
        <w:instrText>cesses, and transport are discussed in the context of SOFC membrane-electrode assembly modeling. ?? 2013 Elsevier Ltd. All rights reserved.", "author" : [ { "dropping-particle" : "", "family" : "Hanna", "given" : "J.", "non-dropping-particle" : "", "parse-names" : false, "suffix" : "" }, { "dropping-particle" : "", "family" : "Lee", "given" : "W. Y.", "non-dropping-particle" : "", "parse-names" : false, "suffix" : "" }, { "dropping-particle" : "", "family" : "Shi", "given" : "Y.", "non-dropping-particle" : "", "parse-names" : false, "suffix" : "" }, { "dropping-particle" : "", "family" : "Ghoniem", "given" : "a. F.", "non-dropping-particle" : "", "parse-names" : false, "suffix" : "" } ], "container-title" : "Progress in Energy and Combustion Science", "id" : "ITEM-1", "issue" : "1", "issued" : { "date-parts" : [ [ "2014" ] ] }, "page" : "74-111", "publisher" : "Elsevier Ltd", "title" : "Fundamentals of electro- and thermochemistry in the anode of solid-oxide fuel cells with hydrocarbon and syngas fuels", "type" : "article-journal", "volume" : "40" }, "uris" : [ "http://www.mendeley.com/documents/?uuid=9c6da623-edaf-4670-9cec-e0134730be61", "http://www.mendeley.com/documents/?uuid=9a0d4920-652e-4ac6-b5f4-121bdae3d816" ] } ], "mendeley" : { "formattedCitation" : "[17]", "plainTextFormattedCitation" : "[17]", "previouslyFormattedCitation" : "[17]" }, "properties" : { "noteIndex" : 0 }, "schema" : "https://github.com/citation-style-language/schema/raw/master/csl-citation.json" }</w:instrText>
      </w:r>
      <w:r w:rsidR="0036378E"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val="it-IT" w:bidi="fa-IR"/>
        </w:rPr>
        <w:t>[17]</w:t>
      </w:r>
      <w:r w:rsidR="0036378E" w:rsidRPr="0036378E">
        <w:rPr>
          <w:rFonts w:ascii="Times New Roman" w:hAnsi="Times New Roman" w:cs="Times New Roman"/>
          <w:sz w:val="24"/>
          <w:szCs w:val="24"/>
          <w:lang w:bidi="fa-IR"/>
        </w:rPr>
        <w:fldChar w:fldCharType="end"/>
      </w:r>
      <w:r w:rsidR="0036378E" w:rsidRPr="002067A9">
        <w:rPr>
          <w:rFonts w:ascii="Times New Roman" w:hAnsi="Times New Roman" w:cs="Times New Roman"/>
          <w:sz w:val="24"/>
          <w:szCs w:val="24"/>
          <w:lang w:val="it-IT" w:bidi="fa-IR"/>
        </w:rPr>
        <w:t>.</w:t>
      </w:r>
      <w:r w:rsidR="00063CDE" w:rsidRPr="002067A9">
        <w:rPr>
          <w:rFonts w:ascii="Times New Roman" w:hAnsi="Times New Roman" w:cs="Times New Roman"/>
          <w:sz w:val="24"/>
          <w:szCs w:val="24"/>
          <w:lang w:val="it-IT" w:bidi="fa-IR"/>
        </w:rPr>
        <w:t xml:space="preserve"> </w:t>
      </w:r>
      <w:r w:rsidR="0036378E" w:rsidRPr="00777178">
        <w:rPr>
          <w:rFonts w:ascii="Times New Roman" w:hAnsi="Times New Roman" w:cs="Times New Roman"/>
          <w:sz w:val="24"/>
          <w:szCs w:val="24"/>
          <w:lang w:bidi="fa-IR"/>
        </w:rPr>
        <w:t>Haga</w:t>
      </w:r>
      <w:r w:rsidRPr="00777178">
        <w:rPr>
          <w:rFonts w:ascii="Times New Roman" w:hAnsi="Times New Roman" w:cs="Times New Roman"/>
          <w:sz w:val="24"/>
          <w:szCs w:val="24"/>
          <w:lang w:bidi="fa-IR"/>
        </w:rPr>
        <w:t xml:space="preserve"> et al. </w:t>
      </w:r>
      <w:r w:rsidR="006141CA" w:rsidRPr="0036378E">
        <w:rPr>
          <w:rFonts w:ascii="Times New Roman" w:hAnsi="Times New Roman" w:cs="Times New Roman"/>
          <w:sz w:val="24"/>
          <w:szCs w:val="24"/>
          <w:lang w:bidi="fa-IR"/>
        </w:rPr>
        <w:fldChar w:fldCharType="begin" w:fldLock="1"/>
      </w:r>
      <w:r w:rsidR="001C1C39" w:rsidRPr="00777178">
        <w:rPr>
          <w:rFonts w:ascii="Times New Roman" w:hAnsi="Times New Roman" w:cs="Times New Roman"/>
          <w:sz w:val="24"/>
          <w:szCs w:val="24"/>
          <w:lang w:bidi="fa-IR"/>
        </w:rPr>
        <w:instrText>ADDIN CSL_CITATION { "citationItems" : [ { "id" : "ITEM-1", "itemData" : { "DOI" : "10.1016/j.ssi.2008.02.062", "ISBN" : "0167-2738", "ISSN" : "01672738", "abstract" : "Poisoning effects by various fuel impurities, including H2S, CH3SH, COS, Cl2, and siloxane, to Ni-ScSZ cermet anodes have been analyzed and compared. Degradation of cell performance caused by these impurities was characterized by measuring cell voltage and anode polarization at a constant current density of 0.2\u00a0Acm- 2 for humidified H2 and CH4 fuels. Poisoning for hydrogen-based fuels containing 5\u00a0ppm sulfur compounds, H2S, CH3SH, and COS, caused an initial cell voltage drop of about 15\u00a0mV at 1000\u00a0\u00b0C. The initial voltage drop was independent of the kind of sulfur compounds, whereas in the case of poisoning by CH3SH, an additional gradual decrease in cell voltage was clearly detected after the initial voltage drop. Thermochemical calculation and FESEM-EDX analysis also indicated that the poisoning by Cl2 caused the formation of nickel nano-particles on zirconia grains via NiCl2 (g), while the poisoning by siloxane formed segregated silica (SiO2) in porous cermet anodes. \u00a9 2008 Elsevier B.V. All rights reserved.", "author" : [ { "dropping-particle" : "", "family" : "Haga", "given" : "K.", "non-dropping-particle" : "", "parse-names" : false, "suffix" : "" }, { "dropping-particle" : "", "family" : "Adachi", "given" : "S.", "non-dropping-particle" : "", "parse-names" : false, "suffix" : "" }, { "dropping-particle" : "", "family" : "Shiratori", "given" : "Y.", "non-dropping-particle" : "", "parse-names" : false, "suffix" : "" }, { "dropping-particle" : "", "family" : "Itoh", "given" : "K.", "non-dropping-particle" : "", "parse-names" : false, "suffix" : "" }, { "dropping-particle" : "", "family" : "Sasaki", "given" : "K.", "non-dropping-particle" : "", "parse-names" : false, "suffix" : "" } ], "container-title" : "Solid State Ionics", "id" : "ITEM-1", "issue" : "27-32", "issued" : { "date-parts" : [ [ "2008" ] ] }, "page" : "1427-1431", "title" : "Poisoning of SOFC anodes by various fuel impurities", "type" : "article-journal", "volume" : "179" }, "uris" : [ "http://www.mendeley.com/documents/?uuid=4b04c7a7-6c69-4176-9938-3505ea50efaa", "http://www.mendeley.com/documents/?uuid=57a87e70-a7ab-4d91-acd4-b783e4f472b7" ] } ], "mendeley" : { "formattedCitation" : "[9]", "plainTextFormattedCitation" : "[9]", "previouslyFormattedCitation" : "[9]"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777178">
        <w:rPr>
          <w:rFonts w:ascii="Times New Roman" w:hAnsi="Times New Roman" w:cs="Times New Roman"/>
          <w:noProof/>
          <w:sz w:val="24"/>
          <w:szCs w:val="24"/>
          <w:lang w:bidi="fa-IR"/>
        </w:rPr>
        <w:t>[9]</w:t>
      </w:r>
      <w:r w:rsidR="006141CA" w:rsidRPr="0036378E">
        <w:rPr>
          <w:rFonts w:ascii="Times New Roman" w:hAnsi="Times New Roman" w:cs="Times New Roman"/>
          <w:sz w:val="24"/>
          <w:szCs w:val="24"/>
          <w:lang w:bidi="fa-IR"/>
        </w:rPr>
        <w:fldChar w:fldCharType="end"/>
      </w:r>
      <w:r w:rsidRPr="00777178">
        <w:rPr>
          <w:rFonts w:ascii="Times New Roman" w:hAnsi="Times New Roman" w:cs="Times New Roman"/>
          <w:sz w:val="24"/>
          <w:szCs w:val="24"/>
          <w:lang w:bidi="fa-IR"/>
        </w:rPr>
        <w:t xml:space="preserve"> have first studied the impact of siloxanes on the </w:t>
      </w:r>
      <w:r w:rsidRPr="00777178">
        <w:rPr>
          <w:rFonts w:ascii="Times New Roman" w:hAnsi="Times New Roman" w:cs="Times New Roman"/>
          <w:noProof/>
          <w:sz w:val="24"/>
          <w:szCs w:val="24"/>
          <w:lang w:bidi="fa-IR"/>
        </w:rPr>
        <w:t>Ni-anode</w:t>
      </w:r>
      <w:r w:rsidRPr="00777178">
        <w:rPr>
          <w:rFonts w:ascii="Times New Roman" w:hAnsi="Times New Roman" w:cs="Times New Roman"/>
          <w:sz w:val="24"/>
          <w:szCs w:val="24"/>
          <w:lang w:bidi="fa-IR"/>
        </w:rPr>
        <w:t xml:space="preserve">, showing fast degradation due to silica deposition. </w:t>
      </w:r>
      <w:r w:rsidRPr="0036378E">
        <w:rPr>
          <w:rFonts w:ascii="Times New Roman" w:hAnsi="Times New Roman" w:cs="Times New Roman"/>
          <w:sz w:val="24"/>
          <w:szCs w:val="24"/>
          <w:lang w:bidi="fa-IR"/>
        </w:rPr>
        <w:t xml:space="preserve">The impact of siloxanes have been recently studied by Madi et al. showing in detail post-mortem characterization of both single cells and a stack tested with D4-siloxane </w:t>
      </w:r>
      <w:r w:rsidR="006141CA"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"10.1002/fuce.201400185", "ISSN" : "16156846", "author" : [ { "dropping-particle" : "", "family" : "Madi", "given" : "H.", "non-dropping-particle" : "", "parse-names" : false, "suffix" : "" }, { "dropping-particle" : "", "family" : "Diethelm", "given" : "S.", "non-dropping-particle" : "", "parse-names" : false, "suffix" : "" }, { "dropping-particle" : "", "family" : "Poitel", "given" : "S.", "non-dropping-particle" : "", "parse-names" : false, "suffix" : "" }, { "dropping-particle" : "", "family" : "Ludwig", "given" : "C.", "non-dropping-particle" : "", "parse-names" : false, "suffix" : "" }, { "dropping-particle" : "", "family" : "herle", "given" : "J.", "non-dropping-particle" : "Van", "parse-names" : false, "suffix" : "" } ], "container-title" : "Fuel Cells", "id" : "ITEM-1", "issue" : "5", "issued" : { "date-parts" : [ [ "2015", "10", "3" ] ] }, "page" : "718-727", "title" : "Damage of Siloxanes on Ni-YSZ Anode Supported SOFC Operated on Hydrogen and Bio-Syngas", "type" : "article-journal", "volume" : "15" }, "uris" : [ "http://www.mendeley.com/documents/?uuid=f7be9884-49c0-461c-b158-32fbda1749f5", "http://www.mendeley.com/documents/?uuid=a7f047af-fa61-42e5-8a10-364f6ac0880f" ] }, { "id" : "ITEM-2", "itemData" : { "DOI" : "10.1016/j.jpowsour.2015.01.053", "ISSN" : "03787753", "abstract" : "Lifetime and durability issues connected with Solid Oxide Fuel Cell (SOFC) technology are strongly related to the amount of contaminants that reach the stack. In this study the focus is on organic silicon compounds (siloxanes) and their highly detrimental effects on the performance of SOFC Ni-YSZ anodes. The involved mechanism of degradation is clarified and quantified through several test runs and subsequent post-mortem analysis on tested samples. In particular, experiments on both Ni anode-supported single cells and 11-cell- stacks are performed, co-feeding D4-siloxane (octamethylcyclotetrasiloxane, C8H24O4Si4) as model compound for the organic silicon species which are generally found in sewage biogas. High degradation rates are observed already at ppb(v) level of contaminant in the fuel stream. Post-test analysis revealed that Si (as silica) is mostly deposited at the inlet of the fuel channel on both the interconnect and the anode side of the cell suggesting a relatively fast condensation-type process. Deposition of the Si was found on the interconnect and on the anode contact layer, throughout the anode support and the three phase boundary in the anode, correlating with the observed increase of polarization losses from the EIS analysis of tested cells.", "author" : [ { "dropping-particle" : "", "family" : "Madi", "given" : "Hossein", "non-dropping-particle" : "", "parse-names" : false, "suffix" : "" }, { "dropping-particle" : "", "family" : "Lanzini", "given" : "Andrea", "non-dropping-particle" : "", "parse-names" : false, "suffix" : "" }, { "dropping-particle" : "", "family" : "Diethelm", "given" : "Stefan", "non-dropping-particle" : "", "parse-names" : false, "suffix" : "" }, { "dropping-particle" : "", "family" : "Papurello", "given" : "Davide", "non-dropping-particle" : "", "parse-names" : false, "suffix" : "" }, { "dropping-particle" : "", "family" : "herle", "given" : "Jan", "non-dropping-particle" : "Van", "parse-names" : false, "suffix" : "" }, { "dropping-particle" : "", "family" : "Lualdi", "given" : "Matteo", "non-dropping-particle" : "", "parse-names" : false, "suffix" : "" }, { "dropping-particle" : "", "family" : "Gutzon Larsen", "given" : "J\u00f8rgen", "non-dropping-particle" : "", "parse-names" : false, "suffix" : "" }, { "dropping-particle" : "", "family" : "Santarelli", "given" : "Massimo", "non-dropping-particle" : "", "parse-names" : false, "suffix" : "" } ], "container-title" : "Journal of Power Sources", "id" : "ITEM-2", "issued" : { "date-parts" : [ [ "2015", "4" ] ] }, "page" : "460-471", "title" : "Solid oxide fuel cell anode degradation by the effect of siloxanes", "type" : "article-journal", "volume" : "279" }, "uris" : [ "http://www.mendeley.com/documents/?uuid=badf5f3c-4156-495a-bdf7-20e34661bce9", "http://www.mendeley.com/documents/?uuid=a5692784-7c86-4b59-aec8-eff4fd0dc519" ] } ], "mendeley" : { "formattedCitation" : "[18,19]", "plainTextFormattedCitation" : "[18,19]", "previouslyFormattedCitation" : "[18,19]" }, "properties" : { "noteIndex" : 0 }, "schema" : "https://github.com/citation-style-language/schema/raw/master/csl-citation.json" }</w:instrText>
      </w:r>
      <w:r w:rsidR="006141CA"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[18,19]</w:t>
      </w:r>
      <w:r w:rsidR="006141CA" w:rsidRPr="0036378E">
        <w:rPr>
          <w:rFonts w:ascii="Times New Roman" w:hAnsi="Times New Roman" w:cs="Times New Roman"/>
          <w:sz w:val="24"/>
          <w:szCs w:val="24"/>
          <w:lang w:bidi="fa-IR"/>
        </w:rPr>
        <w:fldChar w:fldCharType="end"/>
      </w:r>
      <w:r w:rsidRPr="001C1C39">
        <w:rPr>
          <w:rFonts w:ascii="Times New Roman" w:hAnsi="Times New Roman" w:cs="Times New Roman"/>
          <w:sz w:val="24"/>
          <w:szCs w:val="24"/>
          <w:lang w:bidi="fa-IR"/>
        </w:rPr>
        <w:t xml:space="preserve">. </w:t>
      </w:r>
      <w:r w:rsidRPr="0036378E">
        <w:rPr>
          <w:rFonts w:ascii="Times New Roman" w:hAnsi="Times New Roman" w:cs="Times New Roman"/>
          <w:sz w:val="24"/>
          <w:szCs w:val="24"/>
          <w:lang w:bidi="fa-IR"/>
        </w:rPr>
        <w:t>The scientific literature is quite vast on sulfur poisoning on Ni-anodes (Ni-YSZ anodes, especially, but also Ni-ScSZ)</w:t>
      </w:r>
      <w:r w:rsidR="00F621AC" w:rsidRPr="0036378E">
        <w:rPr>
          <w:rFonts w:ascii="Times New Roman" w:hAnsi="Times New Roman" w:cs="Times New Roman"/>
          <w:sz w:val="24"/>
          <w:szCs w:val="24"/>
          <w:lang w:bidi="fa-IR"/>
        </w:rPr>
        <w:t>, which has been the object of experimental a</w:t>
      </w:r>
      <w:r w:rsidR="00694420">
        <w:rPr>
          <w:rFonts w:ascii="Times New Roman" w:hAnsi="Times New Roman" w:cs="Times New Roman"/>
          <w:sz w:val="24"/>
          <w:szCs w:val="24"/>
          <w:lang w:bidi="fa-IR"/>
        </w:rPr>
        <w:t xml:space="preserve">nd modeling studies since </w:t>
      </w:r>
      <w:r w:rsidR="00873410">
        <w:rPr>
          <w:rFonts w:ascii="Times New Roman" w:hAnsi="Times New Roman" w:cs="Times New Roman"/>
          <w:sz w:val="24"/>
          <w:szCs w:val="24"/>
          <w:lang w:bidi="fa-IR"/>
        </w:rPr>
        <w:t xml:space="preserve">the </w:t>
      </w:r>
      <w:r w:rsidR="00694420" w:rsidRPr="00873410">
        <w:rPr>
          <w:rFonts w:ascii="Times New Roman" w:hAnsi="Times New Roman" w:cs="Times New Roman"/>
          <w:noProof/>
          <w:sz w:val="24"/>
          <w:szCs w:val="24"/>
          <w:lang w:bidi="fa-IR"/>
        </w:rPr>
        <w:t>1980s</w:t>
      </w:r>
      <w:r w:rsidR="00694420">
        <w:rPr>
          <w:rFonts w:ascii="Times New Roman" w:hAnsi="Times New Roman" w:cs="Times New Roman"/>
          <w:sz w:val="24"/>
          <w:szCs w:val="24"/>
          <w:lang w:bidi="fa-IR"/>
        </w:rPr>
        <w:t xml:space="preserve"> </w:t>
      </w:r>
      <w:r w:rsidR="00694420">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"10.1016/0166-9834(81)80036-X", "ISSN" : "01669834", "abstract" : "Sulfur chemisorption isobars have been measured for a Ni/MgA1204 catalyst in the temperature range 773-1023 K and the H2S:H2 ratio range 7-50 ppm. Up to about 90% saturation the results are well described by H,S\"H, = exp [~t$(l-d3)RT - ASO/R] with AH: = -289 kJ molwl, ASO = -19 JK\u2019l mol\", and a = 0.69. = s/so, where s and so are the actual and the saturation amounts respectively adsorbed sulphur. The high temperature parts of the published are also well described by this expression. It coverage dependence in the entropy term is due sulfur chemisorption measurements is suggested that the absence of a to subsurface chemisorption.", "author" : [ { "dropping-particle" : "", "family" : "Alstrup", "given" : "Ib", "non-dropping-particle" : "", "parse-names" : false, "suffix" : "" }, { "dropping-particle" : "", "family" : "Rostrup-Nielsen", "given" : "Jens R", "non-dropping-particle" : "", "parse-names" : false, "suffix" : "" }, { "dropping-particle" : "", "family" : "R\u00f8en", "given" : "S", "non-dropping-particle" : "", "parse-names" : false, "suffix" : "" } ], "container-title" : "Applied Catalysis 1", "id" : "ITEM-1", "issue" : "10", "issued" : { "date-parts" : [ [ "1981" ] ] }, "page" : "303-314", "title" : "High temperature hydrogen sulfide chemisorption on nickel catalysts", "type" : "article-journal", "volume" : "1" }, "uris" : [ "http://www.mendeley.com/documents/?uuid=85df46a2-975e-475f-a62a-39abc16ad051" ] } ], "mendeley" : { "formattedCitation" : "[20]", "plainTextFormattedCitation" : "[20]", "previouslyFormattedCitation" : "[20]" }, "properties" : { "noteIndex" : 0 }, "schema" : "https://github.com/citation-style-language/schema/raw/master/csl-citation.json" }</w:instrText>
      </w:r>
      <w:r w:rsidR="00694420">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[20]</w:t>
      </w:r>
      <w:r w:rsidR="00694420">
        <w:rPr>
          <w:rFonts w:ascii="Times New Roman" w:hAnsi="Times New Roman" w:cs="Times New Roman"/>
          <w:sz w:val="24"/>
          <w:szCs w:val="24"/>
          <w:lang w:bidi="fa-IR"/>
        </w:rPr>
        <w:fldChar w:fldCharType="end"/>
      </w:r>
      <w:r w:rsidRPr="0036378E">
        <w:rPr>
          <w:rFonts w:ascii="Times New Roman" w:hAnsi="Times New Roman" w:cs="Times New Roman"/>
          <w:sz w:val="24"/>
          <w:szCs w:val="24"/>
          <w:lang w:bidi="fa-IR"/>
        </w:rPr>
        <w:t xml:space="preserve">. </w:t>
      </w:r>
    </w:p>
    <w:p w14:paraId="23F77C8A" w14:textId="18603B82" w:rsidR="00393E77" w:rsidRPr="0036378E" w:rsidRDefault="00393E77" w:rsidP="0036378E">
      <w:pPr>
        <w:spacing w:line="480" w:lineRule="auto"/>
        <w:jc w:val="both"/>
        <w:rPr>
          <w:rFonts w:ascii="Times New Roman" w:hAnsi="Times New Roman" w:cs="Times New Roman"/>
          <w:sz w:val="24"/>
          <w:szCs w:val="24"/>
          <w:lang w:bidi="fa-IR"/>
        </w:rPr>
      </w:pPr>
      <w:r w:rsidRPr="0036378E">
        <w:rPr>
          <w:rFonts w:ascii="Times New Roman" w:hAnsi="Times New Roman" w:cs="Times New Roman"/>
          <w:sz w:val="24"/>
          <w:szCs w:val="24"/>
          <w:lang w:bidi="fa-IR"/>
        </w:rPr>
        <w:t xml:space="preserve">Impurities like sulfur, chlorine, </w:t>
      </w:r>
      <w:r w:rsidRPr="00873410">
        <w:rPr>
          <w:rFonts w:ascii="Times New Roman" w:hAnsi="Times New Roman" w:cs="Times New Roman"/>
          <w:noProof/>
          <w:sz w:val="24"/>
          <w:szCs w:val="24"/>
          <w:lang w:bidi="fa-IR"/>
        </w:rPr>
        <w:t>siloxanes</w:t>
      </w:r>
      <w:r w:rsidR="00873410">
        <w:rPr>
          <w:rFonts w:ascii="Times New Roman" w:hAnsi="Times New Roman" w:cs="Times New Roman"/>
          <w:noProof/>
          <w:sz w:val="24"/>
          <w:szCs w:val="24"/>
          <w:lang w:bidi="fa-IR"/>
        </w:rPr>
        <w:t>,</w:t>
      </w:r>
      <w:r w:rsidRPr="0036378E">
        <w:rPr>
          <w:rFonts w:ascii="Times New Roman" w:hAnsi="Times New Roman" w:cs="Times New Roman"/>
          <w:sz w:val="24"/>
          <w:szCs w:val="24"/>
          <w:lang w:bidi="fa-IR"/>
        </w:rPr>
        <w:t xml:space="preserve"> and </w:t>
      </w:r>
      <w:r w:rsidRPr="00873410">
        <w:rPr>
          <w:rFonts w:ascii="Times New Roman" w:hAnsi="Times New Roman" w:cs="Times New Roman"/>
          <w:noProof/>
          <w:sz w:val="24"/>
          <w:szCs w:val="24"/>
          <w:lang w:bidi="fa-IR"/>
        </w:rPr>
        <w:t>tars</w:t>
      </w:r>
      <w:r w:rsidRPr="0036378E">
        <w:rPr>
          <w:rFonts w:ascii="Times New Roman" w:hAnsi="Times New Roman" w:cs="Times New Roman"/>
          <w:sz w:val="24"/>
          <w:szCs w:val="24"/>
          <w:lang w:bidi="fa-IR"/>
        </w:rPr>
        <w:t xml:space="preserve"> </w:t>
      </w:r>
      <w:r w:rsidR="00F621AC" w:rsidRPr="0036378E">
        <w:rPr>
          <w:rFonts w:ascii="Times New Roman" w:hAnsi="Times New Roman" w:cs="Times New Roman"/>
          <w:sz w:val="24"/>
          <w:szCs w:val="24"/>
          <w:lang w:bidi="fa-IR"/>
        </w:rPr>
        <w:t xml:space="preserve">will </w:t>
      </w:r>
      <w:r w:rsidRPr="0036378E">
        <w:rPr>
          <w:rFonts w:ascii="Times New Roman" w:hAnsi="Times New Roman" w:cs="Times New Roman"/>
          <w:sz w:val="24"/>
          <w:szCs w:val="24"/>
          <w:lang w:bidi="fa-IR"/>
        </w:rPr>
        <w:t xml:space="preserve">not only interact with the </w:t>
      </w:r>
      <w:r w:rsidRPr="00873410">
        <w:rPr>
          <w:rFonts w:ascii="Times New Roman" w:hAnsi="Times New Roman" w:cs="Times New Roman"/>
          <w:noProof/>
          <w:sz w:val="24"/>
          <w:szCs w:val="24"/>
          <w:lang w:bidi="fa-IR"/>
        </w:rPr>
        <w:t>Ni-anode</w:t>
      </w:r>
      <w:r w:rsidRPr="0036378E">
        <w:rPr>
          <w:rFonts w:ascii="Times New Roman" w:hAnsi="Times New Roman" w:cs="Times New Roman"/>
          <w:sz w:val="24"/>
          <w:szCs w:val="24"/>
          <w:lang w:bidi="fa-IR"/>
        </w:rPr>
        <w:t xml:space="preserve"> of the SOFC, but also the </w:t>
      </w:r>
      <w:r w:rsidR="00704905" w:rsidRPr="0036378E">
        <w:rPr>
          <w:rFonts w:ascii="Times New Roman" w:hAnsi="Times New Roman" w:cs="Times New Roman"/>
          <w:sz w:val="24"/>
          <w:szCs w:val="24"/>
          <w:lang w:bidi="fa-IR"/>
        </w:rPr>
        <w:t>system</w:t>
      </w:r>
      <w:r w:rsidRPr="0036378E">
        <w:rPr>
          <w:rFonts w:ascii="Times New Roman" w:hAnsi="Times New Roman" w:cs="Times New Roman"/>
          <w:sz w:val="24"/>
          <w:szCs w:val="24"/>
          <w:lang w:bidi="fa-IR"/>
        </w:rPr>
        <w:t xml:space="preserve"> performance will be affected by their </w:t>
      </w:r>
      <w:r w:rsidR="00704905" w:rsidRPr="0036378E">
        <w:rPr>
          <w:rFonts w:ascii="Times New Roman" w:hAnsi="Times New Roman" w:cs="Times New Roman"/>
          <w:sz w:val="24"/>
          <w:szCs w:val="24"/>
          <w:lang w:bidi="fa-IR"/>
        </w:rPr>
        <w:t>presence, and in particular the fuel reformer</w:t>
      </w:r>
      <w:r w:rsidRPr="0036378E">
        <w:rPr>
          <w:rFonts w:ascii="Times New Roman" w:hAnsi="Times New Roman" w:cs="Times New Roman"/>
          <w:sz w:val="24"/>
          <w:szCs w:val="24"/>
          <w:lang w:bidi="fa-IR"/>
        </w:rPr>
        <w:t xml:space="preserve">. In fact, the reformer is likely is to act as a trap for contaminants upstream of the SOFC depending on the type of catalyst used (either Ni-based or with noble metal catalysts). </w:t>
      </w:r>
      <w:r w:rsidR="007D2A82" w:rsidRPr="00873410">
        <w:rPr>
          <w:rFonts w:ascii="Times New Roman" w:hAnsi="Times New Roman" w:cs="Times New Roman"/>
          <w:noProof/>
          <w:sz w:val="24"/>
          <w:szCs w:val="24"/>
          <w:lang w:bidi="fa-IR"/>
        </w:rPr>
        <w:t>Also</w:t>
      </w:r>
      <w:r w:rsidR="00873410">
        <w:rPr>
          <w:rFonts w:ascii="Times New Roman" w:hAnsi="Times New Roman" w:cs="Times New Roman"/>
          <w:noProof/>
          <w:sz w:val="24"/>
          <w:szCs w:val="24"/>
          <w:lang w:bidi="fa-IR"/>
        </w:rPr>
        <w:t>,</w:t>
      </w:r>
      <w:r w:rsidR="007D2A82" w:rsidRPr="0036378E">
        <w:rPr>
          <w:rFonts w:ascii="Times New Roman" w:hAnsi="Times New Roman" w:cs="Times New Roman"/>
          <w:sz w:val="24"/>
          <w:szCs w:val="24"/>
          <w:lang w:bidi="fa-IR"/>
        </w:rPr>
        <w:t xml:space="preserve"> the carbon deposition is </w:t>
      </w:r>
      <w:r w:rsidR="007D2A82" w:rsidRPr="00873410">
        <w:rPr>
          <w:rFonts w:ascii="Times New Roman" w:hAnsi="Times New Roman" w:cs="Times New Roman"/>
          <w:noProof/>
          <w:sz w:val="24"/>
          <w:szCs w:val="24"/>
          <w:lang w:bidi="fa-IR"/>
        </w:rPr>
        <w:t>a well-known</w:t>
      </w:r>
      <w:r w:rsidR="007D2A82" w:rsidRPr="0036378E">
        <w:rPr>
          <w:rFonts w:ascii="Times New Roman" w:hAnsi="Times New Roman" w:cs="Times New Roman"/>
          <w:sz w:val="24"/>
          <w:szCs w:val="24"/>
          <w:lang w:bidi="fa-IR"/>
        </w:rPr>
        <w:t xml:space="preserve"> issue for the fuel reformer</w:t>
      </w:r>
      <w:r w:rsidR="009A35DA" w:rsidRPr="0036378E">
        <w:rPr>
          <w:rFonts w:ascii="Times New Roman" w:hAnsi="Times New Roman" w:cs="Times New Roman"/>
          <w:sz w:val="24"/>
          <w:szCs w:val="24"/>
          <w:lang w:bidi="fa-IR"/>
        </w:rPr>
        <w:t>, as the metal catalysts enhance the carbon formation reactions</w:t>
      </w:r>
      <w:r w:rsidR="007D2A82" w:rsidRPr="0036378E">
        <w:rPr>
          <w:rFonts w:ascii="Times New Roman" w:hAnsi="Times New Roman" w:cs="Times New Roman"/>
          <w:sz w:val="24"/>
          <w:szCs w:val="24"/>
          <w:lang w:bidi="fa-IR"/>
        </w:rPr>
        <w:t xml:space="preserve"> </w:t>
      </w:r>
      <w:r w:rsidR="0036378E" w:rsidRPr="0036378E">
        <w:rPr>
          <w:rFonts w:ascii="Times New Roman" w:hAnsi="Times New Roman" w:cs="Times New Roman"/>
          <w:sz w:val="24"/>
          <w:szCs w:val="24"/>
          <w:lang w:bidi="fa-IR"/>
        </w:rPr>
        <w:fldChar w:fldCharType="begin" w:fldLock="1"/>
      </w:r>
      <w:r w:rsidR="001C1C39">
        <w:rPr>
          <w:rFonts w:ascii="Times New Roman" w:hAnsi="Times New Roman" w:cs="Times New Roman"/>
          <w:sz w:val="24"/>
          <w:szCs w:val="24"/>
          <w:lang w:bidi="fa-IR"/>
        </w:rPr>
        <w:instrText>ADDIN CSL_CITATION { "citationItems" : [ { "id" : "ITEM-1", "itemData" : { "DOI" : "10.1080/03602458208079650", "ISSN" : "0161-4940", "abstract" : "Abstract Deactivation of supported metal catalysts by carbon or coke formation is a problem of serious magnitude in steam reforming, methanation, and other important catalytic processes. Its causes are generally threefold: (1) fouling of the metal surface, (2) blockage of catalysts pores and voids, and/or (3) actual physical disintegration of the catalyst support. Since loss of catalytic activity and physical destruction of the catalyst by carbon deposits can occur rapidly (within hours or days) under unfavorable conditions, understanding and control of these effects are of major technological and economical importance.", "author" : [ { "dropping-particle" : "", "family" : "Bartholomew", "given" : "Calvin H", "non-dropping-particle" : "", "parse-names" : false, "suffix" : "" } ], "container-title" : "Catalysis Reviews", "id" : "ITEM-1", "issue" : "1", "issued" : { "date-parts" : [ [ "1982", "1" ] ] }, "page" : "67-112", "publisher" : "Taylor &amp; Francis", "title" : "Carbon Deposition in Steam Reforming and Methanation", "type" : "article-journal", "volume" : "24" }, "uris" : [ "http://www.mendeley.com/documents/?uuid=e56291de-7f1c-4050-be31-898143ad3f22", "http://www.mendeley.com/documents/?uuid=bc3cfa5b-b64e-4933-8ace-c8109edfc1b1" ] }, { "id" : "ITEM-2",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"ITEM-2", "issued" : { "date-parts" : [ [ "2015" ] ] }, "page" : "503-512", "publisher" : "Institution of Chemical Engineers", "title" : "Thermal design, modeling and validation of a steam-reforming reactor for fuel cell applications", "type" : "article-journal", "volume" : "104" }, "uris" : [ "http://www.mendeley.com/documents/?uuid=09605cc7-b543-4116-90e5-34455fbf17be" ] } ], "mendeley" : { "formattedCitation" : "[21,22]", "plainTextFormattedCitation" : "[21,22]", "previouslyFormattedCitation" : "[21,22]" }, "properties" : { "noteIndex" : 0 }, "schema" : "https://github.com/citation-style-language/schema/raw/master/csl-citation.json" }</w:instrText>
      </w:r>
      <w:r w:rsidR="0036378E" w:rsidRPr="0036378E">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lang w:bidi="fa-IR"/>
        </w:rPr>
        <w:t>[21,22]</w:t>
      </w:r>
      <w:r w:rsidR="0036378E" w:rsidRPr="0036378E">
        <w:rPr>
          <w:rFonts w:ascii="Times New Roman" w:hAnsi="Times New Roman" w:cs="Times New Roman"/>
          <w:sz w:val="24"/>
          <w:szCs w:val="24"/>
          <w:lang w:bidi="fa-IR"/>
        </w:rPr>
        <w:fldChar w:fldCharType="end"/>
      </w:r>
      <w:r w:rsidR="00704905" w:rsidRPr="0036378E">
        <w:rPr>
          <w:rFonts w:ascii="Times New Roman" w:hAnsi="Times New Roman" w:cs="Times New Roman"/>
          <w:sz w:val="24"/>
          <w:szCs w:val="24"/>
          <w:lang w:bidi="fa-IR"/>
        </w:rPr>
        <w:t>.</w:t>
      </w:r>
      <w:r w:rsidR="007D2A82" w:rsidRPr="0036378E">
        <w:rPr>
          <w:rFonts w:ascii="Times New Roman" w:hAnsi="Times New Roman" w:cs="Times New Roman"/>
          <w:sz w:val="24"/>
          <w:szCs w:val="24"/>
          <w:lang w:bidi="fa-IR"/>
        </w:rPr>
        <w:t xml:space="preserve"> </w:t>
      </w:r>
    </w:p>
    <w:p w14:paraId="6871715A" w14:textId="77777777" w:rsidR="0021247B" w:rsidRDefault="0021247B" w:rsidP="0036378E">
      <w:pPr>
        <w:spacing w:line="480" w:lineRule="auto"/>
        <w:jc w:val="both"/>
        <w:rPr>
          <w:rFonts w:ascii="Times New Roman" w:hAnsi="Times New Roman" w:cs="Times New Roman"/>
          <w:sz w:val="24"/>
          <w:szCs w:val="24"/>
          <w:lang w:bidi="fa-IR"/>
        </w:rPr>
      </w:pPr>
      <w:r w:rsidRPr="0036378E">
        <w:rPr>
          <w:rFonts w:ascii="Times New Roman" w:hAnsi="Times New Roman" w:cs="Times New Roman"/>
          <w:sz w:val="24"/>
          <w:szCs w:val="24"/>
          <w:lang w:bidi="fa-IR"/>
        </w:rPr>
        <w:t>In Table 1 a summary of the observed phenomena for each contaminant, or contaminant type, is given.</w:t>
      </w:r>
    </w:p>
    <w:p w14:paraId="631684E0" w14:textId="77777777" w:rsidR="006158E8" w:rsidRDefault="006158E8" w:rsidP="0036378E">
      <w:pPr>
        <w:spacing w:line="480" w:lineRule="auto"/>
        <w:jc w:val="both"/>
        <w:rPr>
          <w:rFonts w:ascii="Times New Roman" w:hAnsi="Times New Roman" w:cs="Times New Roman"/>
          <w:sz w:val="24"/>
          <w:szCs w:val="24"/>
          <w:lang w:bidi="fa-IR"/>
        </w:rPr>
      </w:pPr>
    </w:p>
    <w:p w14:paraId="71F476E3" w14:textId="77777777" w:rsidR="006158E8" w:rsidRDefault="006158E8" w:rsidP="0036378E">
      <w:pPr>
        <w:spacing w:line="480" w:lineRule="auto"/>
        <w:jc w:val="both"/>
        <w:rPr>
          <w:rFonts w:ascii="Times New Roman" w:hAnsi="Times New Roman" w:cs="Times New Roman"/>
          <w:sz w:val="24"/>
          <w:szCs w:val="24"/>
          <w:lang w:bidi="fa-IR"/>
        </w:rPr>
      </w:pPr>
    </w:p>
    <w:p w14:paraId="4A81E9C9" w14:textId="77777777" w:rsidR="006158E8" w:rsidRPr="0036378E" w:rsidRDefault="006158E8" w:rsidP="0036378E">
      <w:pPr>
        <w:spacing w:line="480" w:lineRule="auto"/>
        <w:jc w:val="both"/>
        <w:rPr>
          <w:rFonts w:ascii="Times New Roman" w:hAnsi="Times New Roman" w:cs="Times New Roman"/>
          <w:sz w:val="24"/>
          <w:szCs w:val="24"/>
          <w:lang w:bidi="fa-IR"/>
        </w:rPr>
      </w:pPr>
    </w:p>
    <w:p w14:paraId="12963A40" w14:textId="77777777" w:rsidR="006158E8" w:rsidRPr="00473F70" w:rsidRDefault="006158E8" w:rsidP="006158E8">
      <w:pPr>
        <w:spacing w:line="480" w:lineRule="auto"/>
        <w:jc w:val="both"/>
        <w:rPr>
          <w:rFonts w:ascii="Times New Roman" w:hAnsi="Times New Roman" w:cs="Times New Roman"/>
          <w:sz w:val="24"/>
          <w:lang w:bidi="fa-IR"/>
        </w:rPr>
      </w:pPr>
    </w:p>
    <w:p w14:paraId="284560C6" w14:textId="1694E595" w:rsidR="0050388A" w:rsidRPr="006158E8" w:rsidRDefault="0050388A" w:rsidP="006158E8">
      <w:pPr>
        <w:spacing w:line="480" w:lineRule="auto"/>
        <w:jc w:val="both"/>
        <w:rPr>
          <w:rFonts w:ascii="Times New Roman" w:hAnsi="Times New Roman" w:cs="Times New Roman"/>
          <w:sz w:val="24"/>
          <w:lang w:bidi="fa-IR"/>
        </w:rPr>
      </w:pPr>
      <w:r w:rsidRPr="006158E8">
        <w:rPr>
          <w:rFonts w:ascii="Times New Roman" w:hAnsi="Times New Roman" w:cs="Times New Roman"/>
          <w:sz w:val="24"/>
          <w:lang w:bidi="fa-IR"/>
        </w:rPr>
        <w:t>Although</w:t>
      </w:r>
      <w:r w:rsidR="002F6F1B" w:rsidRPr="006158E8">
        <w:rPr>
          <w:rFonts w:ascii="Times New Roman" w:hAnsi="Times New Roman" w:cs="Times New Roman"/>
          <w:sz w:val="24"/>
          <w:lang w:bidi="fa-IR"/>
        </w:rPr>
        <w:t xml:space="preserve"> the</w:t>
      </w:r>
      <w:r w:rsidR="004E32F9" w:rsidRPr="006158E8">
        <w:rPr>
          <w:rFonts w:ascii="Times New Roman" w:hAnsi="Times New Roman" w:cs="Times New Roman"/>
          <w:sz w:val="24"/>
          <w:lang w:bidi="fa-IR"/>
        </w:rPr>
        <w:t xml:space="preserve"> impact of main contaminants has</w:t>
      </w:r>
      <w:r w:rsidR="002F6F1B" w:rsidRPr="006158E8">
        <w:rPr>
          <w:rFonts w:ascii="Times New Roman" w:hAnsi="Times New Roman" w:cs="Times New Roman"/>
          <w:sz w:val="24"/>
          <w:lang w:bidi="fa-IR"/>
        </w:rPr>
        <w:t xml:space="preserve"> been </w:t>
      </w:r>
      <w:r w:rsidRPr="006158E8">
        <w:rPr>
          <w:rFonts w:ascii="Times New Roman" w:hAnsi="Times New Roman" w:cs="Times New Roman"/>
          <w:sz w:val="24"/>
          <w:lang w:bidi="fa-IR"/>
        </w:rPr>
        <w:t>already</w:t>
      </w:r>
      <w:r w:rsidR="004E32F9" w:rsidRPr="006158E8">
        <w:rPr>
          <w:rFonts w:ascii="Times New Roman" w:hAnsi="Times New Roman" w:cs="Times New Roman"/>
          <w:sz w:val="24"/>
          <w:lang w:bidi="fa-IR"/>
        </w:rPr>
        <w:t xml:space="preserve"> investigated</w:t>
      </w:r>
      <w:r w:rsidR="002F6F1B" w:rsidRPr="006158E8">
        <w:rPr>
          <w:rFonts w:ascii="Times New Roman" w:hAnsi="Times New Roman" w:cs="Times New Roman"/>
          <w:sz w:val="24"/>
          <w:lang w:bidi="fa-IR"/>
        </w:rPr>
        <w:t xml:space="preserve"> in the literature,</w:t>
      </w:r>
      <w:r w:rsidRPr="006158E8">
        <w:rPr>
          <w:rFonts w:ascii="Times New Roman" w:hAnsi="Times New Roman" w:cs="Times New Roman"/>
          <w:sz w:val="24"/>
          <w:lang w:bidi="fa-IR"/>
        </w:rPr>
        <w:t xml:space="preserve"> and for some of them (i.e., sulfur) exhaustive studies have been presented,</w:t>
      </w:r>
      <w:r w:rsidR="002F6F1B" w:rsidRPr="006158E8">
        <w:rPr>
          <w:rFonts w:ascii="Times New Roman" w:hAnsi="Times New Roman" w:cs="Times New Roman"/>
          <w:sz w:val="24"/>
          <w:lang w:bidi="fa-IR"/>
        </w:rPr>
        <w:t xml:space="preserve"> a broader picture </w:t>
      </w:r>
      <w:r w:rsidR="002F6F1B" w:rsidRPr="00873410">
        <w:rPr>
          <w:rFonts w:ascii="Times New Roman" w:hAnsi="Times New Roman" w:cs="Times New Roman"/>
          <w:noProof/>
          <w:sz w:val="24"/>
          <w:lang w:bidi="fa-IR"/>
        </w:rPr>
        <w:t>o</w:t>
      </w:r>
      <w:r w:rsidR="00873410">
        <w:rPr>
          <w:rFonts w:ascii="Times New Roman" w:hAnsi="Times New Roman" w:cs="Times New Roman"/>
          <w:noProof/>
          <w:sz w:val="24"/>
          <w:lang w:bidi="fa-IR"/>
        </w:rPr>
        <w:t>f</w:t>
      </w:r>
      <w:r w:rsidR="002F6F1B" w:rsidRPr="006158E8">
        <w:rPr>
          <w:rFonts w:ascii="Times New Roman" w:hAnsi="Times New Roman" w:cs="Times New Roman"/>
          <w:sz w:val="24"/>
          <w:lang w:bidi="fa-IR"/>
        </w:rPr>
        <w:t xml:space="preserve"> the impact of several impurities on the fuel cell performance which also includes an unambiguous definition of degradation for comparing the</w:t>
      </w:r>
      <w:r w:rsidR="001A2B85" w:rsidRPr="006158E8">
        <w:rPr>
          <w:rFonts w:ascii="Times New Roman" w:hAnsi="Times New Roman" w:cs="Times New Roman"/>
          <w:sz w:val="24"/>
          <w:lang w:bidi="fa-IR"/>
        </w:rPr>
        <w:t>ir effects</w:t>
      </w:r>
      <w:r w:rsidR="002F6F1B" w:rsidRPr="006158E8">
        <w:rPr>
          <w:rFonts w:ascii="Times New Roman" w:hAnsi="Times New Roman" w:cs="Times New Roman"/>
          <w:sz w:val="24"/>
          <w:lang w:bidi="fa-IR"/>
        </w:rPr>
        <w:t>, and how to deal with them from a practical point of view, is still missing to our knowledge. In this work, we attempt to clarify and quantify the impact</w:t>
      </w:r>
      <w:r w:rsidR="00F621AC" w:rsidRPr="006158E8">
        <w:rPr>
          <w:rFonts w:ascii="Times New Roman" w:hAnsi="Times New Roman" w:cs="Times New Roman"/>
          <w:sz w:val="24"/>
          <w:lang w:bidi="fa-IR"/>
        </w:rPr>
        <w:t>s</w:t>
      </w:r>
      <w:r w:rsidR="002F6F1B" w:rsidRPr="006158E8">
        <w:rPr>
          <w:rFonts w:ascii="Times New Roman" w:hAnsi="Times New Roman" w:cs="Times New Roman"/>
          <w:sz w:val="24"/>
          <w:lang w:bidi="fa-IR"/>
        </w:rPr>
        <w:t xml:space="preserve"> of several contaminants that can be found in gaseous fuels of </w:t>
      </w:r>
      <w:r w:rsidR="002F6F1B" w:rsidRPr="00873410">
        <w:rPr>
          <w:rFonts w:ascii="Times New Roman" w:hAnsi="Times New Roman" w:cs="Times New Roman"/>
          <w:noProof/>
          <w:sz w:val="24"/>
          <w:lang w:bidi="fa-IR"/>
        </w:rPr>
        <w:t>practical</w:t>
      </w:r>
      <w:r w:rsidR="002F6F1B" w:rsidRPr="006158E8">
        <w:rPr>
          <w:rFonts w:ascii="Times New Roman" w:hAnsi="Times New Roman" w:cs="Times New Roman"/>
          <w:sz w:val="24"/>
          <w:lang w:bidi="fa-IR"/>
        </w:rPr>
        <w:t xml:space="preserve"> interest</w:t>
      </w:r>
      <w:r w:rsidR="001A2B85" w:rsidRPr="006158E8">
        <w:rPr>
          <w:rFonts w:ascii="Times New Roman" w:hAnsi="Times New Roman" w:cs="Times New Roman"/>
          <w:sz w:val="24"/>
          <w:lang w:bidi="fa-IR"/>
        </w:rPr>
        <w:t xml:space="preserve"> by comparing them with </w:t>
      </w:r>
      <w:r w:rsidR="00F621AC" w:rsidRPr="006158E8">
        <w:rPr>
          <w:rFonts w:ascii="Times New Roman" w:hAnsi="Times New Roman" w:cs="Times New Roman"/>
          <w:sz w:val="24"/>
          <w:lang w:bidi="fa-IR"/>
        </w:rPr>
        <w:t>proper metric</w:t>
      </w:r>
      <w:r w:rsidR="001A2B85" w:rsidRPr="006158E8">
        <w:rPr>
          <w:rFonts w:ascii="Times New Roman" w:hAnsi="Times New Roman" w:cs="Times New Roman"/>
          <w:sz w:val="24"/>
          <w:lang w:bidi="fa-IR"/>
        </w:rPr>
        <w:t>s</w:t>
      </w:r>
      <w:r w:rsidR="002F6F1B" w:rsidRPr="006158E8">
        <w:rPr>
          <w:rFonts w:ascii="Times New Roman" w:hAnsi="Times New Roman" w:cs="Times New Roman"/>
          <w:sz w:val="24"/>
          <w:lang w:bidi="fa-IR"/>
        </w:rPr>
        <w:t>.</w:t>
      </w:r>
      <w:r w:rsidRPr="006158E8">
        <w:rPr>
          <w:rFonts w:ascii="Times New Roman" w:hAnsi="Times New Roman" w:cs="Times New Roman"/>
          <w:sz w:val="24"/>
          <w:lang w:bidi="fa-IR"/>
        </w:rPr>
        <w:t xml:space="preserve"> </w:t>
      </w:r>
    </w:p>
    <w:p w14:paraId="089E5643" w14:textId="4FDF172E" w:rsidR="006D71EB" w:rsidRPr="006158E8" w:rsidRDefault="00FE2B71" w:rsidP="006158E8">
      <w:pPr>
        <w:spacing w:line="480" w:lineRule="auto"/>
        <w:jc w:val="both"/>
        <w:rPr>
          <w:rFonts w:ascii="Times New Roman" w:hAnsi="Times New Roman" w:cs="Times New Roman"/>
          <w:sz w:val="24"/>
          <w:lang w:bidi="fa-IR"/>
        </w:rPr>
      </w:pPr>
      <w:r w:rsidRPr="006158E8">
        <w:rPr>
          <w:rFonts w:ascii="Times New Roman" w:hAnsi="Times New Roman" w:cs="Times New Roman"/>
          <w:sz w:val="24"/>
          <w:lang w:bidi="fa-IR"/>
        </w:rPr>
        <w:t>T</w:t>
      </w:r>
      <w:r w:rsidR="0050388A" w:rsidRPr="006158E8">
        <w:rPr>
          <w:rFonts w:ascii="Times New Roman" w:hAnsi="Times New Roman" w:cs="Times New Roman"/>
          <w:sz w:val="24"/>
          <w:lang w:bidi="fa-IR"/>
        </w:rPr>
        <w:t xml:space="preserve">he assessment of degradation induced by sulfur, silicon, chlorine and tar compounds </w:t>
      </w:r>
      <w:r w:rsidR="001A2B85" w:rsidRPr="006158E8">
        <w:rPr>
          <w:rFonts w:ascii="Times New Roman" w:hAnsi="Times New Roman" w:cs="Times New Roman"/>
          <w:sz w:val="24"/>
          <w:lang w:bidi="fa-IR"/>
        </w:rPr>
        <w:t xml:space="preserve">is </w:t>
      </w:r>
      <w:r w:rsidR="0050388A" w:rsidRPr="006158E8">
        <w:rPr>
          <w:rFonts w:ascii="Times New Roman" w:hAnsi="Times New Roman" w:cs="Times New Roman"/>
          <w:sz w:val="24"/>
          <w:lang w:bidi="fa-IR"/>
        </w:rPr>
        <w:t>developed starting from experiments, while the</w:t>
      </w:r>
      <w:r w:rsidR="002F6F1B" w:rsidRPr="006158E8">
        <w:rPr>
          <w:rFonts w:ascii="Times New Roman" w:hAnsi="Times New Roman" w:cs="Times New Roman"/>
          <w:sz w:val="24"/>
          <w:lang w:bidi="fa-IR"/>
        </w:rPr>
        <w:t xml:space="preserve"> impact of carbon deposition </w:t>
      </w:r>
      <w:r w:rsidR="001A2B85" w:rsidRPr="006158E8">
        <w:rPr>
          <w:rFonts w:ascii="Times New Roman" w:hAnsi="Times New Roman" w:cs="Times New Roman"/>
          <w:sz w:val="24"/>
          <w:lang w:bidi="fa-IR"/>
        </w:rPr>
        <w:t>is</w:t>
      </w:r>
      <w:r w:rsidR="002F6F1B" w:rsidRPr="006158E8">
        <w:rPr>
          <w:rFonts w:ascii="Times New Roman" w:hAnsi="Times New Roman" w:cs="Times New Roman"/>
          <w:sz w:val="24"/>
          <w:lang w:bidi="fa-IR"/>
        </w:rPr>
        <w:t xml:space="preserve"> addresse</w:t>
      </w:r>
      <w:r w:rsidR="0050388A" w:rsidRPr="006158E8">
        <w:rPr>
          <w:rFonts w:ascii="Times New Roman" w:hAnsi="Times New Roman" w:cs="Times New Roman"/>
          <w:sz w:val="24"/>
          <w:lang w:bidi="fa-IR"/>
        </w:rPr>
        <w:t>d following a modeling approach.</w:t>
      </w:r>
      <w:r w:rsidR="00F621AC" w:rsidRPr="006158E8">
        <w:rPr>
          <w:rFonts w:ascii="Times New Roman" w:hAnsi="Times New Roman" w:cs="Times New Roman"/>
          <w:sz w:val="24"/>
          <w:lang w:bidi="fa-IR"/>
        </w:rPr>
        <w:t xml:space="preserve"> This choice has been made because carbon deposition is not only related to the presence of a</w:t>
      </w:r>
      <w:r w:rsidR="00704905" w:rsidRPr="006158E8">
        <w:rPr>
          <w:rFonts w:ascii="Times New Roman" w:hAnsi="Times New Roman" w:cs="Times New Roman"/>
          <w:sz w:val="24"/>
          <w:lang w:bidi="fa-IR"/>
        </w:rPr>
        <w:t xml:space="preserve"> specific</w:t>
      </w:r>
      <w:r w:rsidR="00F621AC" w:rsidRPr="006158E8">
        <w:rPr>
          <w:rFonts w:ascii="Times New Roman" w:hAnsi="Times New Roman" w:cs="Times New Roman"/>
          <w:sz w:val="24"/>
          <w:lang w:bidi="fa-IR"/>
        </w:rPr>
        <w:t xml:space="preserve"> </w:t>
      </w:r>
      <w:r w:rsidR="002F6F1B" w:rsidRPr="006158E8">
        <w:rPr>
          <w:rFonts w:ascii="Times New Roman" w:hAnsi="Times New Roman" w:cs="Times New Roman"/>
          <w:sz w:val="24"/>
          <w:lang w:bidi="fa-IR"/>
        </w:rPr>
        <w:t>contam</w:t>
      </w:r>
      <w:r w:rsidR="00F621AC" w:rsidRPr="006158E8">
        <w:rPr>
          <w:rFonts w:ascii="Times New Roman" w:hAnsi="Times New Roman" w:cs="Times New Roman"/>
          <w:sz w:val="24"/>
          <w:lang w:bidi="fa-IR"/>
        </w:rPr>
        <w:t xml:space="preserve">inant (i.e., </w:t>
      </w:r>
      <w:r w:rsidR="00F621AC" w:rsidRPr="00873410">
        <w:rPr>
          <w:rFonts w:ascii="Times New Roman" w:hAnsi="Times New Roman" w:cs="Times New Roman"/>
          <w:noProof/>
          <w:sz w:val="24"/>
          <w:lang w:bidi="fa-IR"/>
        </w:rPr>
        <w:t>tars</w:t>
      </w:r>
      <w:r w:rsidR="00F621AC" w:rsidRPr="006158E8">
        <w:rPr>
          <w:rFonts w:ascii="Times New Roman" w:hAnsi="Times New Roman" w:cs="Times New Roman"/>
          <w:sz w:val="24"/>
          <w:lang w:bidi="fa-IR"/>
        </w:rPr>
        <w:t>), but it is also induced by particula</w:t>
      </w:r>
      <w:r w:rsidR="00704905" w:rsidRPr="006158E8">
        <w:rPr>
          <w:rFonts w:ascii="Times New Roman" w:hAnsi="Times New Roman" w:cs="Times New Roman"/>
          <w:sz w:val="24"/>
          <w:lang w:bidi="fa-IR"/>
        </w:rPr>
        <w:t>r combinations of physicochemical conditions</w:t>
      </w:r>
      <w:r w:rsidR="001A2B85" w:rsidRPr="006158E8">
        <w:rPr>
          <w:rFonts w:ascii="Times New Roman" w:hAnsi="Times New Roman" w:cs="Times New Roman"/>
          <w:sz w:val="24"/>
          <w:lang w:bidi="fa-IR"/>
        </w:rPr>
        <w:t xml:space="preserve"> (i.e., temperature, pressure and composition of gas mixture, but also contact area between gas mixture and Nickel surface, Nickel grains </w:t>
      </w:r>
      <w:r w:rsidR="001A2B85" w:rsidRPr="00873410">
        <w:rPr>
          <w:rFonts w:ascii="Times New Roman" w:hAnsi="Times New Roman" w:cs="Times New Roman"/>
          <w:noProof/>
          <w:sz w:val="24"/>
          <w:lang w:bidi="fa-IR"/>
        </w:rPr>
        <w:t>dimension</w:t>
      </w:r>
      <w:r w:rsidR="00873410">
        <w:rPr>
          <w:rFonts w:ascii="Times New Roman" w:hAnsi="Times New Roman" w:cs="Times New Roman"/>
          <w:noProof/>
          <w:sz w:val="24"/>
          <w:lang w:bidi="fa-IR"/>
        </w:rPr>
        <w:t>,</w:t>
      </w:r>
      <w:r w:rsidR="001A2B85" w:rsidRPr="006158E8">
        <w:rPr>
          <w:rFonts w:ascii="Times New Roman" w:hAnsi="Times New Roman" w:cs="Times New Roman"/>
          <w:sz w:val="24"/>
          <w:lang w:bidi="fa-IR"/>
        </w:rPr>
        <w:t xml:space="preserve"> etc.)</w:t>
      </w:r>
      <w:r w:rsidR="00704905" w:rsidRPr="006158E8">
        <w:rPr>
          <w:rFonts w:ascii="Times New Roman" w:hAnsi="Times New Roman" w:cs="Times New Roman"/>
          <w:sz w:val="24"/>
          <w:lang w:bidi="fa-IR"/>
        </w:rPr>
        <w:t>, which include</w:t>
      </w:r>
      <w:r w:rsidR="001A2B85" w:rsidRPr="006158E8">
        <w:rPr>
          <w:rFonts w:ascii="Times New Roman" w:hAnsi="Times New Roman" w:cs="Times New Roman"/>
          <w:sz w:val="24"/>
          <w:lang w:bidi="fa-IR"/>
        </w:rPr>
        <w:t xml:space="preserve"> many variables</w:t>
      </w:r>
      <w:r w:rsidR="00704905" w:rsidRPr="006158E8">
        <w:rPr>
          <w:rFonts w:ascii="Times New Roman" w:hAnsi="Times New Roman" w:cs="Times New Roman"/>
          <w:sz w:val="24"/>
          <w:lang w:bidi="fa-IR"/>
        </w:rPr>
        <w:t xml:space="preserve"> that a</w:t>
      </w:r>
      <w:r w:rsidR="00F621AC" w:rsidRPr="006158E8">
        <w:rPr>
          <w:rFonts w:ascii="Times New Roman" w:hAnsi="Times New Roman" w:cs="Times New Roman"/>
          <w:sz w:val="24"/>
          <w:lang w:bidi="fa-IR"/>
        </w:rPr>
        <w:t>n</w:t>
      </w:r>
      <w:r w:rsidR="00704905" w:rsidRPr="006158E8">
        <w:rPr>
          <w:rFonts w:ascii="Times New Roman" w:hAnsi="Times New Roman" w:cs="Times New Roman"/>
          <w:sz w:val="24"/>
          <w:lang w:bidi="fa-IR"/>
        </w:rPr>
        <w:t xml:space="preserve"> accurate</w:t>
      </w:r>
      <w:r w:rsidR="00F621AC" w:rsidRPr="006158E8">
        <w:rPr>
          <w:rFonts w:ascii="Times New Roman" w:hAnsi="Times New Roman" w:cs="Times New Roman"/>
          <w:sz w:val="24"/>
          <w:lang w:bidi="fa-IR"/>
        </w:rPr>
        <w:t xml:space="preserve"> experimental investigation</w:t>
      </w:r>
      <w:r w:rsidR="00704905" w:rsidRPr="006158E8">
        <w:rPr>
          <w:rFonts w:ascii="Times New Roman" w:hAnsi="Times New Roman" w:cs="Times New Roman"/>
          <w:sz w:val="24"/>
          <w:lang w:bidi="fa-IR"/>
        </w:rPr>
        <w:t xml:space="preserve"> should take into account</w:t>
      </w:r>
      <w:r w:rsidR="00F621AC" w:rsidRPr="006158E8">
        <w:rPr>
          <w:rFonts w:ascii="Times New Roman" w:hAnsi="Times New Roman" w:cs="Times New Roman"/>
          <w:sz w:val="24"/>
          <w:lang w:bidi="fa-IR"/>
        </w:rPr>
        <w:t>.</w:t>
      </w:r>
      <w:r w:rsidR="00704905" w:rsidRPr="006158E8">
        <w:rPr>
          <w:rFonts w:ascii="Times New Roman" w:hAnsi="Times New Roman" w:cs="Times New Roman"/>
          <w:sz w:val="24"/>
          <w:lang w:bidi="fa-IR"/>
        </w:rPr>
        <w:t xml:space="preserve"> An exhaustive experimental study on </w:t>
      </w:r>
      <w:r w:rsidR="001A2B85" w:rsidRPr="006158E8">
        <w:rPr>
          <w:rFonts w:ascii="Times New Roman" w:hAnsi="Times New Roman" w:cs="Times New Roman"/>
          <w:sz w:val="24"/>
          <w:lang w:bidi="fa-IR"/>
        </w:rPr>
        <w:t>carbon deposition</w:t>
      </w:r>
      <w:r w:rsidR="00704905" w:rsidRPr="006158E8">
        <w:rPr>
          <w:rFonts w:ascii="Times New Roman" w:hAnsi="Times New Roman" w:cs="Times New Roman"/>
          <w:sz w:val="24"/>
          <w:lang w:bidi="fa-IR"/>
        </w:rPr>
        <w:t xml:space="preserve"> has never been presented in the literature to our </w:t>
      </w:r>
      <w:r w:rsidR="00704905" w:rsidRPr="00873410">
        <w:rPr>
          <w:rFonts w:ascii="Times New Roman" w:hAnsi="Times New Roman" w:cs="Times New Roman"/>
          <w:noProof/>
          <w:sz w:val="24"/>
          <w:lang w:bidi="fa-IR"/>
        </w:rPr>
        <w:t>knowledge</w:t>
      </w:r>
      <w:r w:rsidR="00873410">
        <w:rPr>
          <w:rFonts w:ascii="Times New Roman" w:hAnsi="Times New Roman" w:cs="Times New Roman"/>
          <w:noProof/>
          <w:sz w:val="24"/>
          <w:lang w:bidi="fa-IR"/>
        </w:rPr>
        <w:t>,</w:t>
      </w:r>
      <w:r w:rsidR="00704905" w:rsidRPr="006158E8">
        <w:rPr>
          <w:rFonts w:ascii="Times New Roman" w:hAnsi="Times New Roman" w:cs="Times New Roman"/>
          <w:sz w:val="24"/>
          <w:lang w:bidi="fa-IR"/>
        </w:rPr>
        <w:t xml:space="preserve"> and it is out of the scope of this paper. For this reason, a modeling approach has been foll</w:t>
      </w:r>
      <w:r w:rsidR="006D71EB" w:rsidRPr="006158E8">
        <w:rPr>
          <w:rFonts w:ascii="Times New Roman" w:hAnsi="Times New Roman" w:cs="Times New Roman"/>
          <w:sz w:val="24"/>
          <w:lang w:bidi="fa-IR"/>
        </w:rPr>
        <w:t>owed to derive</w:t>
      </w:r>
      <w:r w:rsidR="00704905" w:rsidRPr="006158E8">
        <w:rPr>
          <w:rFonts w:ascii="Times New Roman" w:hAnsi="Times New Roman" w:cs="Times New Roman"/>
          <w:sz w:val="24"/>
          <w:lang w:bidi="fa-IR"/>
        </w:rPr>
        <w:t xml:space="preserve"> degradation</w:t>
      </w:r>
      <w:r w:rsidR="006D71EB" w:rsidRPr="006158E8">
        <w:rPr>
          <w:rFonts w:ascii="Times New Roman" w:hAnsi="Times New Roman" w:cs="Times New Roman"/>
          <w:sz w:val="24"/>
          <w:lang w:bidi="fa-IR"/>
        </w:rPr>
        <w:t xml:space="preserve"> rates</w:t>
      </w:r>
      <w:r w:rsidR="00154357" w:rsidRPr="006158E8">
        <w:rPr>
          <w:rFonts w:ascii="Times New Roman" w:hAnsi="Times New Roman" w:cs="Times New Roman"/>
          <w:sz w:val="24"/>
          <w:lang w:bidi="fa-IR"/>
        </w:rPr>
        <w:t xml:space="preserve"> induced by carbon deposition</w:t>
      </w:r>
      <w:r w:rsidR="00704905" w:rsidRPr="006158E8">
        <w:rPr>
          <w:rFonts w:ascii="Times New Roman" w:hAnsi="Times New Roman" w:cs="Times New Roman"/>
          <w:sz w:val="24"/>
          <w:lang w:bidi="fa-IR"/>
        </w:rPr>
        <w:t xml:space="preserve"> </w:t>
      </w:r>
      <w:r w:rsidR="006D71EB" w:rsidRPr="006158E8">
        <w:rPr>
          <w:rFonts w:ascii="Times New Roman" w:hAnsi="Times New Roman" w:cs="Times New Roman"/>
          <w:sz w:val="24"/>
          <w:lang w:bidi="fa-IR"/>
        </w:rPr>
        <w:t>that can be compared</w:t>
      </w:r>
      <w:r w:rsidR="00704905" w:rsidRPr="006158E8">
        <w:rPr>
          <w:rFonts w:ascii="Times New Roman" w:hAnsi="Times New Roman" w:cs="Times New Roman"/>
          <w:sz w:val="24"/>
          <w:lang w:bidi="fa-IR"/>
        </w:rPr>
        <w:t xml:space="preserve"> with </w:t>
      </w:r>
      <w:r w:rsidR="006D71EB" w:rsidRPr="006158E8">
        <w:rPr>
          <w:rFonts w:ascii="Times New Roman" w:hAnsi="Times New Roman" w:cs="Times New Roman"/>
          <w:sz w:val="24"/>
          <w:lang w:bidi="fa-IR"/>
        </w:rPr>
        <w:t>that obtained</w:t>
      </w:r>
      <w:r w:rsidR="00704905" w:rsidRPr="006158E8">
        <w:rPr>
          <w:rFonts w:ascii="Times New Roman" w:hAnsi="Times New Roman" w:cs="Times New Roman"/>
          <w:sz w:val="24"/>
          <w:lang w:bidi="fa-IR"/>
        </w:rPr>
        <w:t xml:space="preserve"> </w:t>
      </w:r>
      <w:r w:rsidR="006D71EB" w:rsidRPr="006158E8">
        <w:rPr>
          <w:rFonts w:ascii="Times New Roman" w:hAnsi="Times New Roman" w:cs="Times New Roman"/>
          <w:sz w:val="24"/>
          <w:lang w:bidi="fa-IR"/>
        </w:rPr>
        <w:t>from</w:t>
      </w:r>
      <w:r w:rsidR="00704905" w:rsidRPr="006158E8">
        <w:rPr>
          <w:rFonts w:ascii="Times New Roman" w:hAnsi="Times New Roman" w:cs="Times New Roman"/>
          <w:sz w:val="24"/>
          <w:lang w:bidi="fa-IR"/>
        </w:rPr>
        <w:t xml:space="preserve"> </w:t>
      </w:r>
      <w:r w:rsidR="006D71EB" w:rsidRPr="006158E8">
        <w:rPr>
          <w:rFonts w:ascii="Times New Roman" w:hAnsi="Times New Roman" w:cs="Times New Roman"/>
          <w:sz w:val="24"/>
          <w:lang w:bidi="fa-IR"/>
        </w:rPr>
        <w:t>experimental investigations on contaminants</w:t>
      </w:r>
      <w:r w:rsidR="00704905" w:rsidRPr="006158E8">
        <w:rPr>
          <w:rFonts w:ascii="Times New Roman" w:hAnsi="Times New Roman" w:cs="Times New Roman"/>
          <w:sz w:val="24"/>
          <w:lang w:bidi="fa-IR"/>
        </w:rPr>
        <w:t>.</w:t>
      </w:r>
    </w:p>
    <w:p w14:paraId="3D600302" w14:textId="77777777" w:rsidR="0021247B" w:rsidRPr="006158E8" w:rsidRDefault="0021247B" w:rsidP="006158E8">
      <w:pPr>
        <w:pStyle w:val="Default"/>
        <w:spacing w:line="480" w:lineRule="auto"/>
        <w:jc w:val="both"/>
        <w:rPr>
          <w:rFonts w:ascii="Times New Roman" w:hAnsi="Times New Roman" w:cs="Times New Roman"/>
          <w:szCs w:val="22"/>
        </w:rPr>
      </w:pPr>
      <w:r w:rsidRPr="006158E8">
        <w:rPr>
          <w:rFonts w:ascii="Times New Roman" w:hAnsi="Times New Roman" w:cs="Times New Roman"/>
          <w:szCs w:val="22"/>
        </w:rPr>
        <w:t>After the discussion of degradation induced by contaminants, a case study for the SOFC fed with sewage biogas is presented to show how to deal with the removal of sulfur (H</w:t>
      </w:r>
      <w:r w:rsidRPr="006158E8">
        <w:rPr>
          <w:rFonts w:ascii="Times New Roman" w:hAnsi="Times New Roman" w:cs="Times New Roman"/>
          <w:szCs w:val="22"/>
          <w:vertAlign w:val="subscript"/>
        </w:rPr>
        <w:t>2</w:t>
      </w:r>
      <w:r w:rsidRPr="006158E8">
        <w:rPr>
          <w:rFonts w:ascii="Times New Roman" w:hAnsi="Times New Roman" w:cs="Times New Roman"/>
          <w:szCs w:val="22"/>
        </w:rPr>
        <w:t xml:space="preserve">S) and siloxanes. </w:t>
      </w:r>
    </w:p>
    <w:p w14:paraId="2760462F" w14:textId="77777777" w:rsidR="0021247B" w:rsidRPr="006158E8" w:rsidRDefault="0021247B" w:rsidP="006158E8">
      <w:pPr>
        <w:pStyle w:val="Default"/>
        <w:spacing w:line="480" w:lineRule="auto"/>
        <w:jc w:val="both"/>
        <w:rPr>
          <w:rFonts w:ascii="Times New Roman" w:hAnsi="Times New Roman" w:cs="Times New Roman"/>
          <w:szCs w:val="22"/>
        </w:rPr>
      </w:pPr>
    </w:p>
    <w:p w14:paraId="3371467A" w14:textId="77777777" w:rsidR="00F13731" w:rsidRPr="009B2AED" w:rsidRDefault="009B2AED" w:rsidP="009B2AED">
      <w:pPr>
        <w:pStyle w:val="EFCFSubtitle1"/>
        <w:jc w:val="left"/>
        <w:rPr>
          <w:rFonts w:ascii="Times New Roman" w:hAnsi="Times New Roman" w:cs="Times New Roman"/>
          <w:sz w:val="24"/>
        </w:rPr>
      </w:pPr>
      <w:r>
        <w:rPr>
          <w:rFonts w:ascii="Times New Roman" w:hAnsi="Times New Roman" w:cs="Times New Roman"/>
          <w:sz w:val="24"/>
        </w:rPr>
        <w:t>2</w:t>
      </w:r>
      <w:r w:rsidR="00F13731" w:rsidRPr="009B2AED">
        <w:rPr>
          <w:rFonts w:ascii="Times New Roman" w:hAnsi="Times New Roman" w:cs="Times New Roman"/>
          <w:sz w:val="24"/>
        </w:rPr>
        <w:t xml:space="preserve"> Scientific Approach</w:t>
      </w:r>
    </w:p>
    <w:p w14:paraId="1BA98226" w14:textId="77777777" w:rsidR="00F13731" w:rsidRPr="008850CB" w:rsidRDefault="00F13731" w:rsidP="00F13731">
      <w:pPr>
        <w:pStyle w:val="EFCFText"/>
      </w:pPr>
    </w:p>
    <w:p w14:paraId="50F2BEC0" w14:textId="77777777" w:rsidR="00F13731" w:rsidRDefault="00F13731" w:rsidP="00F13731">
      <w:pPr>
        <w:pStyle w:val="EFCFText"/>
      </w:pPr>
    </w:p>
    <w:p w14:paraId="0B8CA884" w14:textId="4884C1C7" w:rsidR="00887E4B" w:rsidRDefault="009B2AED" w:rsidP="009B2AED">
      <w:pPr>
        <w:pStyle w:val="EFCFText"/>
        <w:spacing w:line="480" w:lineRule="auto"/>
        <w:rPr>
          <w:rFonts w:ascii="Times New Roman" w:hAnsi="Times New Roman" w:cs="Times New Roman"/>
        </w:rPr>
      </w:pPr>
      <w:r w:rsidRPr="009B2AED">
        <w:rPr>
          <w:rFonts w:ascii="Times New Roman" w:hAnsi="Times New Roman" w:cs="Times New Roman"/>
        </w:rPr>
        <w:lastRenderedPageBreak/>
        <w:t>Methods to directly probe</w:t>
      </w:r>
      <w:r>
        <w:rPr>
          <w:rFonts w:ascii="Times New Roman" w:hAnsi="Times New Roman" w:cs="Times New Roman"/>
        </w:rPr>
        <w:t xml:space="preserve"> </w:t>
      </w:r>
      <w:r w:rsidR="00694420">
        <w:rPr>
          <w:rFonts w:ascii="Times New Roman" w:hAnsi="Times New Roman" w:cs="Times New Roman"/>
        </w:rPr>
        <w:t xml:space="preserve">in-situ </w:t>
      </w:r>
      <w:r>
        <w:rPr>
          <w:rFonts w:ascii="Times New Roman" w:hAnsi="Times New Roman" w:cs="Times New Roman"/>
        </w:rPr>
        <w:t>SOFC</w:t>
      </w:r>
      <w:r w:rsidRPr="009B2AED">
        <w:rPr>
          <w:rFonts w:ascii="Times New Roman" w:hAnsi="Times New Roman" w:cs="Times New Roman"/>
        </w:rPr>
        <w:t xml:space="preserve"> degradation</w:t>
      </w:r>
      <w:r w:rsidR="00887E4B">
        <w:rPr>
          <w:rFonts w:ascii="Times New Roman" w:hAnsi="Times New Roman" w:cs="Times New Roman"/>
        </w:rPr>
        <w:t xml:space="preserve"> at the micro-</w:t>
      </w:r>
      <w:r w:rsidR="00694420">
        <w:rPr>
          <w:rFonts w:ascii="Times New Roman" w:hAnsi="Times New Roman" w:cs="Times New Roman"/>
        </w:rPr>
        <w:t xml:space="preserve"> or even nano-scale</w:t>
      </w:r>
      <w:r w:rsidR="00694420" w:rsidRPr="009B2AED">
        <w:rPr>
          <w:rFonts w:ascii="Times New Roman" w:hAnsi="Times New Roman" w:cs="Times New Roman"/>
        </w:rPr>
        <w:t xml:space="preserve"> </w:t>
      </w:r>
      <w:r w:rsidR="00694420">
        <w:rPr>
          <w:rFonts w:ascii="Times New Roman" w:hAnsi="Times New Roman" w:cs="Times New Roman"/>
        </w:rPr>
        <w:t>dur</w:t>
      </w:r>
      <w:r w:rsidR="00887E4B">
        <w:rPr>
          <w:rFonts w:ascii="Times New Roman" w:hAnsi="Times New Roman" w:cs="Times New Roman"/>
        </w:rPr>
        <w:t>ing operation are very limited. F</w:t>
      </w:r>
      <w:r w:rsidR="00694420">
        <w:rPr>
          <w:rFonts w:ascii="Times New Roman" w:hAnsi="Times New Roman" w:cs="Times New Roman"/>
        </w:rPr>
        <w:t xml:space="preserve">or instance, El Gabaly et al. </w:t>
      </w:r>
      <w:r w:rsidR="00694420">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"10.1039/c3cp50366f", "ISSN" : "1463-9076", "abstract" : "Nickel is the most commonly used anode for solid-oxide fuel cells (SOFC) due to its fast kinetics and low price. A leading cause of degradation in Ni electrodes is oxidation. Here we use operando ambient-pressure X-ray photoelectron spectroscopy (XPS) to chemically characterize the Ni electrode of a fuel cell anode during oxidation in a H2/H2O atmosphere. We find three different stages of Ni oxidation in the model SOFC. In the first two stages, the Ni exposed to the gas remains metallic but the Ni at the interface with the zirconia electrolyte is oxidized. In the third oxidation stage, we find that Ni transforms to NiOOH, a phase not previously considered in the SOFC literature. We show that the transformation between Ni and NiOOH is reversible and is initiated at the Ni/gas interface. In addition we find that NiOOH stores charge, as evidenced by the stable discharge plateau (voltage) measured as this oxyhydroxide phase reduces to metallic Ni.", "author" : [ { "dropping-particle" : "", "family" : "Gabaly", "given" : "Farid", "non-dropping-particle" : "El", "parse-names" : false, "suffix" : "" }, { "dropping-particle" : "", "family" : "McCarty", "given" : "Kevin F.", "non-dropping-particle" : "", "parse-names" : false, "suffix" : "" }, { "dropping-particle" : "", "family" : "Bluhm", "given" : "Hendrik", "non-dropping-particle" : "", "parse-names" : false, "suffix" : "" }, { "dropping-particle" : "", "family" : "McDaniel", "given" : "Anthony H.", "non-dropping-particle" : "", "parse-names" : false, "suffix" : "" }, { "dropping-particle" : "", "family" : "Floner", "given" : "D.", "non-dropping-particle" : "", "parse-names" : false, "suffix" : "" }, { "dropping-particle" : "", "family" : "Lamy", "given" : "C.", "non-dropping-particle" : "", "parse-names" : false, "suffix" : "" }, { "dropping-particle" : "", "family" : "Leger", "given" : "J.-M.", "non-dropping-particle" : "", "parse-names" : false, "suffix" : "" }, { "dropping-particle" : "", "family" : "Minh", "given" : "N. Q.", "non-dropping-particle" : "", "parse-names" : false, "suffix" : "" }, { "dropping-particle" : "V.", "family" : "Tsipis", "given" : "E.", "non-dropping-particle" : "", "parse-names" : false, "suffix" : "" }, { "dropping-particle" : "V.", "family" : "Kharton", "given" : "V.", "non-dropping-particle" : "", "parse-names" : false, "suffix" : "" }, { "dropping-particle" : "", "family" : "Sarantaridis", "given" : "D.", "non-dropping-particle" : "", "parse-names" : false, "suffix" : "" }, { "dropping-particle" : "", "family" : "Atkinson", "given" : "A.", "non-dropping-particle" : "", "parse-names" : false, "suffix" : "" }, { "dropping-particle" : "", "family" : "Stathis", "given" : "G.", "non-dropping-particle" : "", "parse-names" : false, "suffix" : "" }, { "dropping-particle" : "", "family" : "Simwonis", "given" : "D.", "non-dropping-particle" : "", "parse-names" : false, "suffix" : "" }, { "dropping-particle" : "", "family" : "Tietz", "given" : "F.", "non-dropping-particle" : "", "parse-names" : false, "suffix" : "" }, { "dropping-particle" : "", "family" : "Moropoulou", "given" : "A.", "non-dropping-particle" : "", "parse-names" : false, "suffix" : "" }, { "dropping-particle" : "", "family" : "Naoumides", "given" : "A.", "non-dropping-particle" : "", "parse-names" : false, "suffix" : "" }, { "dropping-particle" : "", "family" : "Pihlatie", "given" : "M.", "non-dropping-particle" : "", "parse-names" : false, "suffix" : "" }, { "dropping-particle" : "", "family" : "Kaiser", "given" : "A.", "non-dropping-particle" : "", "parse-names" : false, "suffix" : "" }, { "dropping-particle" : "", "family" : "Mogensen", "given" : "M.", "non-dropping-particle" : "", "parse-names" : false, "suffix" : "" }, { "dropping-particle" : "", "family" : "Laurencin", "given" : "J.", "non-dropping-particle" : "", "parse-names" : false, "suffix" : "" }, { "dropping-particle" : "", "family" : "Kofstad", "given" : "P.", "non-dropping-particle" : "", "parse-names" : false, "suffix" : "" }, { "dropping-particle" : "", "family" : "Bredesen", "given" : "R.", "non-dropping-particle" : "", "parse-names" : false, "suffix" : "" }, { "dropping-particle" : "de", "family" : "Jes\u00fas", "given" : "J. C.", "non-dropping-particle" : "", "parse-names" : false, "suffix" : "" }, { "dropping-particle" : "", "family" : "Carrazza", "given" : "J.", "non-dropping-particle" : "", "parse-names" : false, "suffix" : "" }, { "dropping-particle" : "", "family" : "Pereira", "given" : "P.", "non-dropping-particle" : "", "parse-names" : false, "suffix" : "" }, { "dropping-particle" : "", "family" : "Zaera", "given" : "F.", "non-dropping-particle" : "", "parse-names" : false, "suffix" : "" }, { "dropping-particle" : "", "family" : "Payne", "given" : "B. P.", "non-dropping-particle" : "", "parse-names" : false, "suffix" : "" }, { "dropping-particle" : "", "family" : "Biesinger", "given" : "M. C.", "non-dropping-particle" : "", "parse-names" : false, "suffix" : "" }, { "dropping-particle" : "", "family" : "McIntyre", "given" : "N. S.", "non-dropping-particle" : "", "parse-names" : false, "suffix" : "" }, { "dropping-particle" : "", "family" : "Siegbahn", "given" : "P. E. M.", "non-dropping-particle" : "", "parse-names" : false, "suffix" : "" }, { "dropping-particle" : "", "family" : "Blomberg", "given" : "M. R. A.", "non-dropping-particle" : "", "parse-names" : false, "suffix" : "" }, { "dropping-particle" : "", "family" : "Bauschlicher", "given" : "C. W.", "non-dropping-particle" : "", "parse-names" : false, "suffix" : "" }, { "dropping-particle" : "", "family" : "Lyons", "given" : "M. E. G.", "non-dropping-particle" : "", "parse-names" : false, "suffix" : "" }, { "dropping-particle" : "", "family" : "Brandon", "given" : "M. P.", "non-dropping-particle" : "", "parse-names" : false, "suffix" : "" }, { "dropping-particle" : "", "family" : "Yeo", "given" : "B. S.", "non-dropping-particle" : "", "parse-names" : false, "suffix" : "" }, { "dropping-particle" : "", "family" : "Bell", "given" : "A. T.", "non-dropping-particle" : "", "parse-names" : false, "suffix" : "" }, { "dropping-particle" : "El", "family" : "Gabaly", "given" : "F.", "non-dropping-particle" : "", "parse-names" : false, "suffix" : "" }, { "dropping-particle" : "", "family" : "Whaley", "given" : "J. A.", "non-dropping-particle" : "", "parse-names" : false, "suffix" : "" }, { "dropping-particle" : "", "family" : "Ogletree", "given" : "D. F.", "non-dropping-particle" : "", "parse-names" : false, "suffix" : "" }, { "dropping-particle" : "", "family" : "Bluhm", "given" : "H.", "non-dropping-particle" : "", "parse-names" : false, "suffix" : "" }, { "dropping-particle" : "", "family" : "Hebenstreit", "given" : "E. D.", "non-dropping-particle" : "", "parse-names" : false, "suffix" : "" }, { "dropping-particle" : "", "family" : "Salmeron", "given" : "M.", "non-dropping-particle" : "", "parse-names" : false, "suffix" : "" }, { "dropping-particle" : "", "family" : "Bluhm", "given" : "H.", "non-dropping-particle" : "", "parse-names" : false, "suffix" : "" }, { "dropping-particle" : "El", "family" : "Gabaly", "given" : "F.", "non-dropping-particle" : "", "parse-names" : false, "suffix" : "" }, { "dropping-particle" : "", "family" : "Grosvenor", "given" : "A. P.", "non-dropping-particle" : "", "parse-names" : false, "suffix" : "" }, { "dropping-particle" : "", "family" : "Biesinger", "given" : "M. C.", "non-dropping-particle" : "", "parse-names" : false, "suffix" : "" }, { "dropping-particle" : "", "family" : "Smart", "given" : "R. S. C.", "non-dropping-particle" : "", "parse-names" : false, "suffix" : "" }, { "dropping-particle" : "", "family" : "McIntyre", "given" : "N. S.", "non-dropping-particle" : "", "parse-names" : false, "suffix" : "" }, { "dropping-particle" : "", "family" : "Simwonis", "given" : "D.", "non-dropping-particle" : "", "parse-names" : false, "suffix" : "" }, { "dropping-particle" : "", "family" : "Biesinger", "given" : "M. C.", "non-dropping-particle" : "", "parse-names" : false, "suffix" : "" }, { "dropping-particle" : "", "family" : "Payne", "given" : "B. P.", "non-dropping-particle" : "", "parse-names" : false, "suffix" : "" }, { "dropping-particle" : "", "family" : "Lau", "given" : "L. W. M.", "non-dropping-particle" : "", "parse-names" : false, "suffix" : "" }, { "dropping-particle" : "", "family" : "Gerson", "given" : "A.", "non-dropping-particle" : "", "parse-names" : false, "suffix" : "" }, { "dropping-particle" : "", "family" : "Smart", "given" : "R. S. C.", "non-dropping-particle" : "", "parse-names" : false, "suffix" : "" }, { "dropping-particle" : "", "family" : "Wehrens-Dijksma", "given" : "M.", "non-dropping-particle" : "", "parse-names" : false, "suffix" : "" }, { "dropping-particle" : "", "family" : "Notten", "given" : "P. H. L.", "non-dropping-particle" : "", "parse-names" : false, "suffix" : "" }, { "dropping-particle" : "", "family" : "Koenig", "given" : "M. F.", "non-dropping-particle" : "", "parse-names" : false, "suffix" : "" }, { "dropping-particle" : "", "family" : "Grant", "given" : "J. T.", "non-dropping-particle" : "", "parse-names" : false, "suffix" : "" }, { "dropping-particle" : "", "family" : "Newberg", "given" : "J. T.", "non-dropping-particle" : "", "parse-names" : false, "suffix" : "" }, { "dropping-particle" : "", "family" : "Ketteler", "given" : "G.", "non-dropping-particle" : "", "parse-names" : false, "suffix" : "" }, { "dropping-particle" : "", "family" : "Legrand", "given" : "D. L.", "non-dropping-particle" : "", "parse-names" : false, "suffix" : "" }, { "dropping-particle" : "", "family" : "Nesbitt", "given" : "H. W.", "non-dropping-particle" : "", "parse-names" : false, "suffix" : "" }, { "dropping-particle" : "", "family" : "Bancroft", "given" : "G. M.", "non-dropping-particle" : "", "parse-names" : false, "suffix" : "" }, { "dropping-particle" : "", "family" : "Burke", "given" : "L. D.", "non-dropping-particle" : "", "parse-names" : false, "suffix" : "" }, { "dropping-particle" : "", "family" : "Twomey", "given" : "T. A. M.", "non-dropping-particle" : "", "parse-names" : false, "suffix" : "" }, { "dropping-particle" : "", "family" : "Conway", "given" : "B. E.", "non-dropping-particle" : "", "parse-names" : false, "suffix" : "" }, { "dropping-particle" : "", "family" : "Liu", "given" : "T.", "non-dropping-particle" : "", "parse-names" : false, "suffix" : "" }, { "dropping-particle" : "", "family" : "Conway", "given" : "B. E.", "non-dropping-particle" : "", "parse-names" : false, "suffix" : "" }, { "dropping-particle" : "", "family" : "Barnett", "given" : "B.", "non-dropping-particle" : "", "parse-names" : false, "suffix" : "" }, { "dropping-particle" : "", "family" : "Angerstein-Kozlowska", "given" : "H.", "non-dropping-particle" : "", "parse-names" : false, "suffix" : "" }, { "dropping-particle" : "V.", "family" : "Tilak", "given" : "B.", "non-dropping-particle" : "", "parse-names" : false, "suffix" : "" }, { "dropping-particle" : "", "family" : "Gajda-Schrantz", "given" : "K.", "non-dropping-particle" : "", "parse-names" : false, "suffix" : "" }, { "dropping-particle" : "", "family" : "Huggins", "given" : "R.", "non-dropping-particle" : "", "parse-names" : false, "suffix" : "" }, { "dropping-particle" : "", "family" : "Prinz", "given" : "H.", "non-dropping-particle" : "", "parse-names" : false, "suffix" : "" }, { "dropping-particle" : "", "family" : "Wohlfahrtmehrens", "given" : "M.", "non-dropping-particle" : "", "parse-names" : false, "suffix" : "" }, { "dropping-particle" : "", "family" : "Jorissen", "given" : "L.", "non-dropping-particle" : "", "parse-names" : false, "suffix" : "" }, { "dropping-particle" : "", "family" : "Witschel", "given" : "W.", "non-dropping-particle" : "", "parse-names" : false, "suffix" : "" } ], "container-title" : "Physical Chemistry Chemical Physics", "id" : "ITEM-1", "issue" : "21", "issued" : { "date-parts" : [ [ "2013" ] ] }, "page" : "8334", "publisher" : "The Royal Society of Chemistry", "title" : "Oxidation stages of Ni electrodes in solid oxide fuel cell environments", "type" : "article-journal", "volume" : "15" }, "uris" : [ "http://www.mendeley.com/documents/?uuid=2e2178df-d066-3235-9dc0-0ecb6f833486" ] } ], "mendeley" : { "formattedCitation" : "[23]", "plainTextFormattedCitation" : "[23]", "previouslyFormattedCitation" : "[23]" }, "properties" : { "noteIndex" : 0 }, "schema" : "https://github.com/citation-style-language/schema/raw/master/csl-citation.json" }</w:instrText>
      </w:r>
      <w:r w:rsidR="00694420">
        <w:rPr>
          <w:rFonts w:ascii="Times New Roman" w:hAnsi="Times New Roman" w:cs="Times New Roman"/>
        </w:rPr>
        <w:fldChar w:fldCharType="separate"/>
      </w:r>
      <w:r w:rsidR="001C1C39" w:rsidRPr="001C1C39">
        <w:rPr>
          <w:rFonts w:ascii="Times New Roman" w:hAnsi="Times New Roman" w:cs="Times New Roman"/>
          <w:noProof/>
        </w:rPr>
        <w:t>[23]</w:t>
      </w:r>
      <w:r w:rsidR="00694420">
        <w:rPr>
          <w:rFonts w:ascii="Times New Roman" w:hAnsi="Times New Roman" w:cs="Times New Roman"/>
        </w:rPr>
        <w:fldChar w:fldCharType="end"/>
      </w:r>
      <w:r w:rsidR="00694420">
        <w:rPr>
          <w:rFonts w:ascii="Times New Roman" w:hAnsi="Times New Roman" w:cs="Times New Roman"/>
        </w:rPr>
        <w:t xml:space="preserve"> performed </w:t>
      </w:r>
      <w:r w:rsidR="00887E4B" w:rsidRPr="00887E4B">
        <w:rPr>
          <w:rFonts w:ascii="Times New Roman" w:hAnsi="Times New Roman" w:cs="Times New Roman"/>
          <w:i/>
        </w:rPr>
        <w:t xml:space="preserve">in </w:t>
      </w:r>
      <w:r w:rsidR="00887E4B" w:rsidRPr="00873410">
        <w:rPr>
          <w:rFonts w:ascii="Times New Roman" w:hAnsi="Times New Roman" w:cs="Times New Roman"/>
          <w:i/>
          <w:noProof/>
        </w:rPr>
        <w:t>operando</w:t>
      </w:r>
      <w:r w:rsidR="00887E4B">
        <w:rPr>
          <w:rFonts w:ascii="Times New Roman" w:hAnsi="Times New Roman" w:cs="Times New Roman"/>
        </w:rPr>
        <w:t xml:space="preserve"> </w:t>
      </w:r>
      <w:r w:rsidR="00887E4B" w:rsidRPr="00873410">
        <w:rPr>
          <w:rFonts w:ascii="Times New Roman" w:hAnsi="Times New Roman" w:cs="Times New Roman"/>
          <w:noProof/>
        </w:rPr>
        <w:t>ambient-pressure</w:t>
      </w:r>
      <w:r w:rsidR="00887E4B" w:rsidRPr="00694420">
        <w:rPr>
          <w:rFonts w:ascii="Times New Roman" w:hAnsi="Times New Roman" w:cs="Times New Roman"/>
        </w:rPr>
        <w:t xml:space="preserve"> X-ray photoelectron spectroscopy (XPS)</w:t>
      </w:r>
      <w:r w:rsidR="00887E4B">
        <w:rPr>
          <w:rFonts w:ascii="Times New Roman" w:hAnsi="Times New Roman" w:cs="Times New Roman"/>
        </w:rPr>
        <w:t xml:space="preserve"> of</w:t>
      </w:r>
      <w:r w:rsidR="00887E4B" w:rsidRPr="00694420">
        <w:rPr>
          <w:rFonts w:ascii="Times New Roman" w:hAnsi="Times New Roman" w:cs="Times New Roman"/>
        </w:rPr>
        <w:t xml:space="preserve"> </w:t>
      </w:r>
      <w:r w:rsidR="00887E4B">
        <w:rPr>
          <w:rFonts w:ascii="Times New Roman" w:hAnsi="Times New Roman" w:cs="Times New Roman"/>
        </w:rPr>
        <w:t>a</w:t>
      </w:r>
      <w:r w:rsidR="00887E4B" w:rsidRPr="00694420">
        <w:rPr>
          <w:rFonts w:ascii="Times New Roman" w:hAnsi="Times New Roman" w:cs="Times New Roman"/>
        </w:rPr>
        <w:t xml:space="preserve"> Ni</w:t>
      </w:r>
      <w:r w:rsidR="00887E4B">
        <w:rPr>
          <w:rFonts w:ascii="Times New Roman" w:hAnsi="Times New Roman" w:cs="Times New Roman"/>
        </w:rPr>
        <w:t>-SOFC</w:t>
      </w:r>
      <w:r w:rsidR="00887E4B" w:rsidRPr="00694420">
        <w:rPr>
          <w:rFonts w:ascii="Times New Roman" w:hAnsi="Times New Roman" w:cs="Times New Roman"/>
        </w:rPr>
        <w:t xml:space="preserve"> electrode </w:t>
      </w:r>
      <w:r w:rsidR="00887E4B">
        <w:rPr>
          <w:rFonts w:ascii="Times New Roman" w:hAnsi="Times New Roman" w:cs="Times New Roman"/>
        </w:rPr>
        <w:t xml:space="preserve">to study the different </w:t>
      </w:r>
      <w:r w:rsidR="00887E4B" w:rsidRPr="00694420">
        <w:rPr>
          <w:rFonts w:ascii="Times New Roman" w:hAnsi="Times New Roman" w:cs="Times New Roman"/>
        </w:rPr>
        <w:t xml:space="preserve">oxidation </w:t>
      </w:r>
      <w:r w:rsidR="00887E4B">
        <w:rPr>
          <w:rFonts w:ascii="Times New Roman" w:hAnsi="Times New Roman" w:cs="Times New Roman"/>
        </w:rPr>
        <w:t xml:space="preserve">stages of the Ni phase </w:t>
      </w:r>
      <w:r w:rsidR="00887E4B" w:rsidRPr="00694420">
        <w:rPr>
          <w:rFonts w:ascii="Times New Roman" w:hAnsi="Times New Roman" w:cs="Times New Roman"/>
        </w:rPr>
        <w:t xml:space="preserve">in </w:t>
      </w:r>
      <w:r w:rsidR="00887E4B" w:rsidRPr="00873410">
        <w:rPr>
          <w:rFonts w:ascii="Times New Roman" w:hAnsi="Times New Roman" w:cs="Times New Roman"/>
          <w:noProof/>
        </w:rPr>
        <w:t>a</w:t>
      </w:r>
      <w:r w:rsidR="00873410">
        <w:rPr>
          <w:rFonts w:ascii="Times New Roman" w:hAnsi="Times New Roman" w:cs="Times New Roman"/>
          <w:noProof/>
        </w:rPr>
        <w:t>n</w:t>
      </w:r>
      <w:r w:rsidR="00887E4B" w:rsidRPr="00873410">
        <w:rPr>
          <w:rFonts w:ascii="Times New Roman" w:hAnsi="Times New Roman" w:cs="Times New Roman"/>
          <w:noProof/>
        </w:rPr>
        <w:t xml:space="preserve"> H</w:t>
      </w:r>
      <w:r w:rsidR="00887E4B" w:rsidRPr="00873410">
        <w:rPr>
          <w:rFonts w:ascii="Times New Roman" w:hAnsi="Times New Roman" w:cs="Times New Roman"/>
          <w:noProof/>
          <w:vertAlign w:val="subscript"/>
        </w:rPr>
        <w:t>2</w:t>
      </w:r>
      <w:r w:rsidR="00887E4B" w:rsidRPr="00873410">
        <w:rPr>
          <w:rFonts w:ascii="Times New Roman" w:hAnsi="Times New Roman" w:cs="Times New Roman"/>
          <w:noProof/>
        </w:rPr>
        <w:t>/H</w:t>
      </w:r>
      <w:r w:rsidR="00887E4B" w:rsidRPr="00873410">
        <w:rPr>
          <w:rFonts w:ascii="Times New Roman" w:hAnsi="Times New Roman" w:cs="Times New Roman"/>
          <w:noProof/>
          <w:vertAlign w:val="subscript"/>
        </w:rPr>
        <w:t>2</w:t>
      </w:r>
      <w:r w:rsidR="00887E4B" w:rsidRPr="00873410">
        <w:rPr>
          <w:rFonts w:ascii="Times New Roman" w:hAnsi="Times New Roman" w:cs="Times New Roman"/>
          <w:noProof/>
        </w:rPr>
        <w:t>O</w:t>
      </w:r>
      <w:r w:rsidR="00887E4B" w:rsidRPr="00694420">
        <w:rPr>
          <w:rFonts w:ascii="Times New Roman" w:hAnsi="Times New Roman" w:cs="Times New Roman"/>
        </w:rPr>
        <w:t xml:space="preserve"> atmosphere</w:t>
      </w:r>
      <w:r w:rsidR="00887E4B">
        <w:rPr>
          <w:rFonts w:ascii="Times New Roman" w:hAnsi="Times New Roman" w:cs="Times New Roman"/>
        </w:rPr>
        <w:t xml:space="preserve">. </w:t>
      </w:r>
      <w:r w:rsidR="00887E4B" w:rsidRPr="00873410">
        <w:rPr>
          <w:rFonts w:ascii="Times New Roman" w:hAnsi="Times New Roman" w:cs="Times New Roman"/>
          <w:noProof/>
        </w:rPr>
        <w:t>Duboviks</w:t>
      </w:r>
      <w:r w:rsidR="00887E4B">
        <w:rPr>
          <w:rFonts w:ascii="Times New Roman" w:hAnsi="Times New Roman" w:cs="Times New Roman"/>
        </w:rPr>
        <w:t xml:space="preserve"> et al. </w:t>
      </w:r>
      <w:r w:rsidR="00887E4B">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"10.1149/05701.3111ecst", "ISSN" : "1938-6737", "author" : [ { "dropping-particle" : "", "family" : "Duboviks", "given" : "V.", "non-dropping-particle" : "", "parse-names" : false, "suffix" : "" }, { "dropping-particle" : "", "family" : "Maher", "given" : "R. C.", "non-dropping-particle" : "", "parse-names" : false, "suffix" : "" }, { "dropping-particle" : "", "family" : "Offer", "given" : "G.", "non-dropping-particle" : "", "parse-names" : false, "suffix" : "" }, { "dropping-particle" : "", "family" : "Cohen", "given" : "L. F.", "non-dropping-particle" : "", "parse-names" : false, "suffix" : "" }, { "dropping-particle" : "", "family" : "Brandon", "given" : "N. P.", "non-dropping-particle" : "", "parse-names" : false, "suffix" : "" } ], "container-title" : "ECS Transactions", "id" : "ITEM-1", "issue" : "1", "issued" : { "date-parts" : [ [ "2013", "10", "6" ] ] }, "page" : "3111-3117", "publisher" : "The Electrochemical Society", "title" : "In-Operando Raman Spectroscopy Study of Passivation Effects on Ni-CGO Electrodes in CO2 Electrolysis Conditions", "type" : "article-journal", "volume" : "57" }, "uris" : [ "http://www.mendeley.com/documents/?uuid=5b341357-cb68-30bc-b8e3-bc8502d8a823" ] } ], "mendeley" : { "formattedCitation" : "[24]", "plainTextFormattedCitation" : "[24]", "previouslyFormattedCitation" : "[24]" }, "properties" : { "noteIndex" : 0 }, "schema" : "https://github.com/citation-style-language/schema/raw/master/csl-citation.json" }</w:instrText>
      </w:r>
      <w:r w:rsidR="00887E4B">
        <w:rPr>
          <w:rFonts w:ascii="Times New Roman" w:hAnsi="Times New Roman" w:cs="Times New Roman"/>
        </w:rPr>
        <w:fldChar w:fldCharType="separate"/>
      </w:r>
      <w:r w:rsidR="001C1C39" w:rsidRPr="001C1C39">
        <w:rPr>
          <w:rFonts w:ascii="Times New Roman" w:hAnsi="Times New Roman" w:cs="Times New Roman"/>
          <w:noProof/>
        </w:rPr>
        <w:t>[24]</w:t>
      </w:r>
      <w:r w:rsidR="00887E4B">
        <w:rPr>
          <w:rFonts w:ascii="Times New Roman" w:hAnsi="Times New Roman" w:cs="Times New Roman"/>
        </w:rPr>
        <w:fldChar w:fldCharType="end"/>
      </w:r>
      <w:r w:rsidR="00887E4B">
        <w:rPr>
          <w:rFonts w:ascii="Times New Roman" w:hAnsi="Times New Roman" w:cs="Times New Roman"/>
        </w:rPr>
        <w:t xml:space="preserve"> analyzed the p</w:t>
      </w:r>
      <w:r w:rsidR="00887E4B" w:rsidRPr="00887E4B">
        <w:rPr>
          <w:rFonts w:ascii="Times New Roman" w:hAnsi="Times New Roman" w:cs="Times New Roman"/>
        </w:rPr>
        <w:t xml:space="preserve">assivation </w:t>
      </w:r>
      <w:r w:rsidR="00887E4B">
        <w:rPr>
          <w:rFonts w:ascii="Times New Roman" w:hAnsi="Times New Roman" w:cs="Times New Roman"/>
        </w:rPr>
        <w:t>effects on Ni-CGO e</w:t>
      </w:r>
      <w:r w:rsidR="00887E4B" w:rsidRPr="00887E4B">
        <w:rPr>
          <w:rFonts w:ascii="Times New Roman" w:hAnsi="Times New Roman" w:cs="Times New Roman"/>
        </w:rPr>
        <w:t xml:space="preserve">lectrodes </w:t>
      </w:r>
      <w:r w:rsidR="00887E4B">
        <w:rPr>
          <w:rFonts w:ascii="Times New Roman" w:hAnsi="Times New Roman" w:cs="Times New Roman"/>
        </w:rPr>
        <w:t>under</w:t>
      </w:r>
      <w:r w:rsidR="00887E4B" w:rsidRPr="00887E4B">
        <w:rPr>
          <w:rFonts w:ascii="Times New Roman" w:hAnsi="Times New Roman" w:cs="Times New Roman"/>
        </w:rPr>
        <w:t xml:space="preserve"> CO</w:t>
      </w:r>
      <w:r w:rsidR="00887E4B" w:rsidRPr="00887E4B">
        <w:rPr>
          <w:rFonts w:ascii="Times New Roman" w:hAnsi="Times New Roman" w:cs="Times New Roman"/>
          <w:vertAlign w:val="subscript"/>
        </w:rPr>
        <w:t>2</w:t>
      </w:r>
      <w:r w:rsidR="00887E4B" w:rsidRPr="00887E4B">
        <w:rPr>
          <w:rFonts w:ascii="Times New Roman" w:hAnsi="Times New Roman" w:cs="Times New Roman"/>
        </w:rPr>
        <w:t xml:space="preserve"> </w:t>
      </w:r>
      <w:r w:rsidR="00887E4B">
        <w:rPr>
          <w:rFonts w:ascii="Times New Roman" w:hAnsi="Times New Roman" w:cs="Times New Roman"/>
        </w:rPr>
        <w:t>e</w:t>
      </w:r>
      <w:r w:rsidR="00887E4B" w:rsidRPr="00887E4B">
        <w:rPr>
          <w:rFonts w:ascii="Times New Roman" w:hAnsi="Times New Roman" w:cs="Times New Roman"/>
        </w:rPr>
        <w:t xml:space="preserve">lectrolysis </w:t>
      </w:r>
      <w:r w:rsidR="00887E4B">
        <w:rPr>
          <w:rFonts w:ascii="Times New Roman" w:hAnsi="Times New Roman" w:cs="Times New Roman"/>
        </w:rPr>
        <w:t xml:space="preserve">operation using </w:t>
      </w:r>
      <w:r w:rsidR="00887E4B" w:rsidRPr="00887E4B">
        <w:rPr>
          <w:rFonts w:ascii="Times New Roman" w:hAnsi="Times New Roman" w:cs="Times New Roman"/>
          <w:i/>
        </w:rPr>
        <w:t xml:space="preserve">in </w:t>
      </w:r>
      <w:r w:rsidR="00887E4B" w:rsidRPr="00873410">
        <w:rPr>
          <w:rFonts w:ascii="Times New Roman" w:hAnsi="Times New Roman" w:cs="Times New Roman"/>
          <w:i/>
          <w:noProof/>
        </w:rPr>
        <w:t>operando</w:t>
      </w:r>
      <w:r w:rsidR="00887E4B">
        <w:rPr>
          <w:rFonts w:ascii="Times New Roman" w:hAnsi="Times New Roman" w:cs="Times New Roman"/>
        </w:rPr>
        <w:t xml:space="preserve"> Raman spectroscopy. </w:t>
      </w:r>
    </w:p>
    <w:p w14:paraId="2E297E7C" w14:textId="6BF761BE" w:rsidR="00887E4B" w:rsidRDefault="00887E4B" w:rsidP="009B2AED">
      <w:pPr>
        <w:pStyle w:val="EFCFText"/>
        <w:spacing w:line="480" w:lineRule="auto"/>
        <w:rPr>
          <w:rFonts w:ascii="Times New Roman" w:hAnsi="Times New Roman" w:cs="Times New Roman"/>
        </w:rPr>
      </w:pPr>
      <w:r>
        <w:rPr>
          <w:rFonts w:ascii="Times New Roman" w:hAnsi="Times New Roman" w:cs="Times New Roman"/>
        </w:rPr>
        <w:t>Hence, we rely mostly on</w:t>
      </w:r>
      <w:r w:rsidR="009B2AED" w:rsidRPr="009B2AED">
        <w:rPr>
          <w:rFonts w:ascii="Times New Roman" w:hAnsi="Times New Roman" w:cs="Times New Roman"/>
        </w:rPr>
        <w:t xml:space="preserve"> indirect cell/stack performance metrics based on current/voltage measures</w:t>
      </w:r>
      <w:r>
        <w:rPr>
          <w:rFonts w:ascii="Times New Roman" w:hAnsi="Times New Roman" w:cs="Times New Roman"/>
        </w:rPr>
        <w:t xml:space="preserve"> and impedance analysis to understand degradation</w:t>
      </w:r>
      <w:r w:rsidR="009B2AED" w:rsidRPr="009B2AED">
        <w:rPr>
          <w:rFonts w:ascii="Times New Roman" w:hAnsi="Times New Roman" w:cs="Times New Roman"/>
        </w:rPr>
        <w:t>.</w:t>
      </w:r>
      <w:r>
        <w:rPr>
          <w:rFonts w:ascii="Times New Roman" w:hAnsi="Times New Roman" w:cs="Times New Roman"/>
        </w:rPr>
        <w:t xml:space="preserve"> Electrochemical impedance spectroscopy (EIS) and related techniques to analyze the measured spectra is currently the most powerful approach to </w:t>
      </w:r>
      <w:r w:rsidRPr="00873410">
        <w:rPr>
          <w:rFonts w:ascii="Times New Roman" w:hAnsi="Times New Roman" w:cs="Times New Roman"/>
          <w:noProof/>
        </w:rPr>
        <w:t>understand</w:t>
      </w:r>
      <w:r w:rsidR="00873410">
        <w:rPr>
          <w:rFonts w:ascii="Times New Roman" w:hAnsi="Times New Roman" w:cs="Times New Roman"/>
          <w:noProof/>
        </w:rPr>
        <w:t>ing</w:t>
      </w:r>
      <w:r>
        <w:rPr>
          <w:rFonts w:ascii="Times New Roman" w:hAnsi="Times New Roman" w:cs="Times New Roman"/>
        </w:rPr>
        <w:t xml:space="preserve"> degradation and identify the</w:t>
      </w:r>
      <w:r w:rsidR="0022016F">
        <w:rPr>
          <w:rFonts w:ascii="Times New Roman" w:hAnsi="Times New Roman" w:cs="Times New Roman"/>
        </w:rPr>
        <w:t xml:space="preserve"> underlying</w:t>
      </w:r>
      <w:r>
        <w:rPr>
          <w:rFonts w:ascii="Times New Roman" w:hAnsi="Times New Roman" w:cs="Times New Roman"/>
        </w:rPr>
        <w:t xml:space="preserve"> physical processes</w:t>
      </w:r>
      <w:r w:rsidR="0022016F">
        <w:rPr>
          <w:rFonts w:ascii="Times New Roman" w:hAnsi="Times New Roman" w:cs="Times New Roman"/>
        </w:rPr>
        <w:t xml:space="preserve"> involved in degradation.</w:t>
      </w:r>
    </w:p>
    <w:p w14:paraId="011E27B2" w14:textId="3A8E2276" w:rsidR="007C4612" w:rsidRDefault="007C4612" w:rsidP="009B2AED">
      <w:pPr>
        <w:pStyle w:val="EFCFText"/>
        <w:spacing w:line="480" w:lineRule="auto"/>
        <w:rPr>
          <w:rFonts w:ascii="Times New Roman" w:hAnsi="Times New Roman" w:cs="Times New Roman"/>
        </w:rPr>
      </w:pPr>
      <w:r>
        <w:rPr>
          <w:rFonts w:ascii="Times New Roman" w:hAnsi="Times New Roman" w:cs="Times New Roman"/>
        </w:rPr>
        <w:t xml:space="preserve">This work represents a contribution on the topic of Ni-anode degradation, with a </w:t>
      </w:r>
      <w:r w:rsidR="00873410">
        <w:rPr>
          <w:rFonts w:ascii="Times New Roman" w:hAnsi="Times New Roman" w:cs="Times New Roman"/>
          <w:noProof/>
        </w:rPr>
        <w:t>particular</w:t>
      </w:r>
      <w:r>
        <w:rPr>
          <w:rFonts w:ascii="Times New Roman" w:hAnsi="Times New Roman" w:cs="Times New Roman"/>
        </w:rPr>
        <w:t xml:space="preserve"> focus on the impact of fuel contaminants. We define a metric to calculate degradation that we think is the most sensible way to report on degradation, i.e., the intrinsic degradation rate. </w:t>
      </w:r>
    </w:p>
    <w:p w14:paraId="7FEFA1BE" w14:textId="3C0356EF" w:rsidR="003C2D3E" w:rsidRDefault="00771CB7" w:rsidP="003C2D3E">
      <w:pPr>
        <w:pStyle w:val="EFCFText"/>
        <w:spacing w:line="480" w:lineRule="auto"/>
        <w:rPr>
          <w:rFonts w:ascii="Times New Roman" w:hAnsi="Times New Roman" w:cs="Times New Roman"/>
        </w:rPr>
      </w:pPr>
      <w:r w:rsidRPr="00771CB7">
        <w:rPr>
          <w:rFonts w:ascii="Times New Roman" w:hAnsi="Times New Roman" w:cs="Times New Roman"/>
        </w:rPr>
        <w:t>Gemmen</w:t>
      </w:r>
      <w:r w:rsidR="004147EE" w:rsidRPr="00771CB7">
        <w:rPr>
          <w:rFonts w:ascii="Times New Roman" w:hAnsi="Times New Roman" w:cs="Times New Roman"/>
        </w:rPr>
        <w:t xml:space="preserve"> et al.</w:t>
      </w:r>
      <w:r w:rsidRPr="00771CB7">
        <w:rPr>
          <w:rFonts w:ascii="Times New Roman" w:hAnsi="Times New Roman" w:cs="Times New Roman"/>
        </w:rPr>
        <w:t xml:space="preserve"> </w:t>
      </w:r>
      <w:r w:rsidRPr="00771CB7">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"10.1016/j.jpowsour.2008.06.047", "ISSN" : "03787753", "abstract" : "Past research in solid oxide fuel cell (SOFC) performance assessment and improvement has focused on cell operating voltage (efficiency). Related to this metric, but distinct and equally important, is performance degradation. This paper examines cell degradation, provides key definitions needed for its characterization, and discusses the relationship of various cell performance variables. To characterize degradation, two parameters are defined, namely, area-specific resistance (ASR), and degradation rate (DR). The ASR of a cell/stack increases as a result of degradation, and therefore needs to be modeled as a time-dependent parameter. A model for SOFC cell performance is used to describe polarization losses, and to predict degradation performance. The model is then used to demonstrate the use of ASR and DR in the assessment of degradation. Available experimental data is separately used to do the same. ASR is shown to be insensitive to certain variations in test conditions and therefore is the preferred parameter for fuel cell developers when comparing performance differences arising from incremental changes in design/materials. DR is the preferred parameter for determining changes in efficiency over the lifetime of the cell/stack, which is a key concern for end users.", "author" : [ { "dropping-particle" : "", "family" : "Gemmen", "given" : "Randall S.", "non-dropping-particle" : "", "parse-names" : false, "suffix" : "" }, { "dropping-particle" : "", "family" : "Williams", "given" : "Mark C.", "non-dropping-particle" : "", "parse-names" : false, "suffix" : "" }, { "dropping-particle" : "", "family" : "Gerdes", "given" : "Kirk", "non-dropping-particle" : "", "parse-names" : false, "suffix" : "" } ], "container-title" : "Journal of Power Sources", "id" : "ITEM-1", "issue" : "1", "issued" : { "date-parts" : [ [ "2008" ] ] }, "page" : "251-259", "title" : "Degradation measurement and analysis for cells and stacks", "type" : "article-journal", "volume" : "184" }, "uris" : [ "http://www.mendeley.com/documents/?uuid=0ac554b8-7804-3d5a-9a35-5eeb7681cec0" ] } ], "mendeley" : { "formattedCitation" : "[25]", "plainTextFormattedCitation" : "[25]", "previouslyFormattedCitation" : "[25]" }, "properties" : { "noteIndex" : 0 }, "schema" : "https://github.com/citation-style-language/schema/raw/master/csl-citation.json" }</w:instrText>
      </w:r>
      <w:r w:rsidRPr="00771CB7">
        <w:rPr>
          <w:rFonts w:ascii="Times New Roman" w:hAnsi="Times New Roman" w:cs="Times New Roman"/>
        </w:rPr>
        <w:fldChar w:fldCharType="separate"/>
      </w:r>
      <w:r w:rsidR="001C1C39" w:rsidRPr="001C1C39">
        <w:rPr>
          <w:rFonts w:ascii="Times New Roman" w:hAnsi="Times New Roman" w:cs="Times New Roman"/>
          <w:noProof/>
        </w:rPr>
        <w:t>[25]</w:t>
      </w:r>
      <w:r w:rsidRPr="00771CB7">
        <w:rPr>
          <w:rFonts w:ascii="Times New Roman" w:hAnsi="Times New Roman" w:cs="Times New Roman"/>
        </w:rPr>
        <w:fldChar w:fldCharType="end"/>
      </w:r>
      <w:r w:rsidRPr="00771CB7">
        <w:rPr>
          <w:rFonts w:ascii="Times New Roman" w:hAnsi="Times New Roman" w:cs="Times New Roman"/>
        </w:rPr>
        <w:t xml:space="preserve"> have first discussed on the metrics to use when reporting degradation of SOFC fuel cells and stacks.</w:t>
      </w:r>
      <w:r>
        <w:rPr>
          <w:rFonts w:ascii="Times New Roman" w:hAnsi="Times New Roman" w:cs="Times New Roman"/>
        </w:rPr>
        <w:t xml:space="preserve"> </w:t>
      </w:r>
      <w:r w:rsidR="003C2D3E">
        <w:rPr>
          <w:rFonts w:ascii="Times New Roman" w:hAnsi="Times New Roman" w:cs="Times New Roman"/>
        </w:rPr>
        <w:t>They report a method to assess</w:t>
      </w:r>
      <w:r w:rsidR="003C2D3E" w:rsidRPr="003C2D3E">
        <w:rPr>
          <w:rFonts w:ascii="Times New Roman" w:hAnsi="Times New Roman" w:cs="Times New Roman"/>
        </w:rPr>
        <w:t xml:space="preserve"> </w:t>
      </w:r>
      <w:r w:rsidR="003C2D3E">
        <w:rPr>
          <w:rFonts w:ascii="Times New Roman" w:hAnsi="Times New Roman" w:cs="Times New Roman"/>
        </w:rPr>
        <w:t>consistently</w:t>
      </w:r>
      <w:r w:rsidR="003C2D3E" w:rsidRPr="003C2D3E">
        <w:rPr>
          <w:rFonts w:ascii="Times New Roman" w:hAnsi="Times New Roman" w:cs="Times New Roman"/>
        </w:rPr>
        <w:t xml:space="preserve"> degradation</w:t>
      </w:r>
      <w:r w:rsidR="003C2D3E">
        <w:rPr>
          <w:rFonts w:ascii="Times New Roman" w:hAnsi="Times New Roman" w:cs="Times New Roman"/>
        </w:rPr>
        <w:t xml:space="preserve"> rates</w:t>
      </w:r>
      <w:r w:rsidR="003C2D3E" w:rsidRPr="003C2D3E">
        <w:rPr>
          <w:rFonts w:ascii="Times New Roman" w:hAnsi="Times New Roman" w:cs="Times New Roman"/>
        </w:rPr>
        <w:t xml:space="preserve"> at the cell/stack level</w:t>
      </w:r>
      <w:r w:rsidR="003C2D3E">
        <w:rPr>
          <w:rFonts w:ascii="Times New Roman" w:hAnsi="Times New Roman" w:cs="Times New Roman"/>
        </w:rPr>
        <w:t>.</w:t>
      </w:r>
      <w:r w:rsidR="00910FE3">
        <w:rPr>
          <w:rFonts w:ascii="Times New Roman" w:hAnsi="Times New Roman" w:cs="Times New Roman"/>
        </w:rPr>
        <w:t xml:space="preserve"> The benefits and limits of using the area-specific-resistance (ASR) as a performance parameter are discussed.</w:t>
      </w:r>
      <w:r w:rsidR="00D56D7E">
        <w:rPr>
          <w:rFonts w:ascii="Times New Roman" w:hAnsi="Times New Roman" w:cs="Times New Roman"/>
        </w:rPr>
        <w:t xml:space="preserve"> The ASR provides </w:t>
      </w:r>
      <w:r w:rsidR="00D56D7E" w:rsidRPr="00873410">
        <w:rPr>
          <w:rFonts w:ascii="Times New Roman" w:hAnsi="Times New Roman" w:cs="Times New Roman"/>
          <w:noProof/>
        </w:rPr>
        <w:t>an integral</w:t>
      </w:r>
      <w:r w:rsidR="00D56D7E">
        <w:rPr>
          <w:rFonts w:ascii="Times New Roman" w:hAnsi="Times New Roman" w:cs="Times New Roman"/>
        </w:rPr>
        <w:t xml:space="preserve"> measure of the performance loss. </w:t>
      </w:r>
      <w:r w:rsidR="007F4A33">
        <w:rPr>
          <w:rFonts w:ascii="Times New Roman" w:hAnsi="Times New Roman" w:cs="Times New Roman"/>
        </w:rPr>
        <w:t xml:space="preserve">Gemmen et al. </w:t>
      </w:r>
      <w:r w:rsidR="00E53BF0">
        <w:rPr>
          <w:rFonts w:ascii="Times New Roman" w:hAnsi="Times New Roman" w:cs="Times New Roman"/>
        </w:rPr>
        <w:t>highlighted the limitation of</w:t>
      </w:r>
      <w:r w:rsidR="002067A9">
        <w:rPr>
          <w:rFonts w:ascii="Times New Roman" w:hAnsi="Times New Roman" w:cs="Times New Roman"/>
        </w:rPr>
        <w:t xml:space="preserve"> using the </w:t>
      </w:r>
      <w:r w:rsidR="00E53BF0">
        <w:rPr>
          <w:rFonts w:ascii="Times New Roman" w:hAnsi="Times New Roman" w:cs="Times New Roman"/>
        </w:rPr>
        <w:t>ASR</w:t>
      </w:r>
      <w:r w:rsidR="002067A9">
        <w:rPr>
          <w:rFonts w:ascii="Times New Roman" w:hAnsi="Times New Roman" w:cs="Times New Roman"/>
        </w:rPr>
        <w:t xml:space="preserve"> as a performance metric</w:t>
      </w:r>
      <w:r w:rsidR="00E53BF0">
        <w:rPr>
          <w:rFonts w:ascii="Times New Roman" w:hAnsi="Times New Roman" w:cs="Times New Roman"/>
        </w:rPr>
        <w:t xml:space="preserve">. </w:t>
      </w:r>
      <w:r w:rsidR="00D23D3C">
        <w:rPr>
          <w:rFonts w:ascii="Times New Roman" w:hAnsi="Times New Roman" w:cs="Times New Roman"/>
        </w:rPr>
        <w:t xml:space="preserve">In fact, rather than being purely an intrinsic </w:t>
      </w:r>
      <w:r w:rsidR="00D23D3C" w:rsidRPr="007F4A33">
        <w:rPr>
          <w:rFonts w:ascii="Times New Roman" w:hAnsi="Times New Roman" w:cs="Times New Roman"/>
        </w:rPr>
        <w:t>property</w:t>
      </w:r>
      <w:r w:rsidR="00D23D3C">
        <w:rPr>
          <w:rFonts w:ascii="Times New Roman" w:hAnsi="Times New Roman" w:cs="Times New Roman"/>
        </w:rPr>
        <w:t xml:space="preserve"> of the tested cell or stack, it has a dependency from the current.</w:t>
      </w:r>
    </w:p>
    <w:p w14:paraId="08E62D2C" w14:textId="35B832C4" w:rsidR="009B2AED" w:rsidRPr="009B2AED" w:rsidRDefault="00F13731" w:rsidP="009B2AED">
      <w:pPr>
        <w:pStyle w:val="EFCFText"/>
        <w:spacing w:line="480" w:lineRule="auto"/>
        <w:rPr>
          <w:rFonts w:ascii="Times New Roman" w:hAnsi="Times New Roman" w:cs="Times New Roman"/>
        </w:rPr>
      </w:pPr>
      <w:r w:rsidRPr="004147EE">
        <w:rPr>
          <w:rFonts w:ascii="Times New Roman" w:hAnsi="Times New Roman" w:cs="Times New Roman"/>
        </w:rPr>
        <w:t>For</w:t>
      </w:r>
      <w:r w:rsidR="009B2AED" w:rsidRPr="004147EE">
        <w:rPr>
          <w:rFonts w:ascii="Times New Roman" w:hAnsi="Times New Roman" w:cs="Times New Roman"/>
        </w:rPr>
        <w:t xml:space="preserve"> long-term experiments (duration tests), the usual way to report degradation is to provide a degradation rate expressed</w:t>
      </w:r>
      <w:r w:rsidR="009B2AED" w:rsidRPr="009B2AED">
        <w:rPr>
          <w:rFonts w:ascii="Times New Roman" w:hAnsi="Times New Roman" w:cs="Times New Roman"/>
        </w:rPr>
        <w:t xml:space="preserve"> in percentage of voltage reduction with respect to the initial </w:t>
      </w:r>
      <w:r w:rsidR="009B2AED" w:rsidRPr="00873410">
        <w:rPr>
          <w:rFonts w:ascii="Times New Roman" w:hAnsi="Times New Roman" w:cs="Times New Roman"/>
          <w:noProof/>
        </w:rPr>
        <w:t>value</w:t>
      </w:r>
      <w:r w:rsidR="00873410">
        <w:rPr>
          <w:rFonts w:ascii="Times New Roman" w:hAnsi="Times New Roman" w:cs="Times New Roman"/>
          <w:noProof/>
        </w:rPr>
        <w:t>;</w:t>
      </w:r>
      <w:r w:rsidR="009B2AED" w:rsidRPr="00873410">
        <w:rPr>
          <w:rFonts w:ascii="Times New Roman" w:hAnsi="Times New Roman" w:cs="Times New Roman"/>
          <w:noProof/>
        </w:rPr>
        <w:t xml:space="preserve"> everything</w:t>
      </w:r>
      <w:r w:rsidR="009B2AED" w:rsidRPr="009B2AED">
        <w:rPr>
          <w:rFonts w:ascii="Times New Roman" w:hAnsi="Times New Roman" w:cs="Times New Roman"/>
        </w:rPr>
        <w:t xml:space="preserve"> normalized to 1,000 hours of operation. The mathematical formulation for the overall degradation rate is:</w:t>
      </w:r>
    </w:p>
    <w:p w14:paraId="015FA776" w14:textId="77777777" w:rsidR="009B2AED" w:rsidRDefault="009B2AED" w:rsidP="009B2AED">
      <w:pPr>
        <w:pStyle w:val="EFCF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9B2AED" w14:paraId="1F2E8002" w14:textId="77777777" w:rsidTr="00694420">
        <w:tc>
          <w:tcPr>
            <w:tcW w:w="562" w:type="dxa"/>
            <w:vAlign w:val="center"/>
          </w:tcPr>
          <w:p w14:paraId="4DA80F5E" w14:textId="77777777" w:rsidR="009B2AED" w:rsidRDefault="009B2AED" w:rsidP="00694420">
            <w:pPr>
              <w:pStyle w:val="EFCFText"/>
              <w:jc w:val="center"/>
            </w:pPr>
          </w:p>
        </w:tc>
        <w:tc>
          <w:tcPr>
            <w:tcW w:w="8505" w:type="dxa"/>
            <w:vAlign w:val="center"/>
          </w:tcPr>
          <w:p w14:paraId="43625726" w14:textId="77777777" w:rsidR="009B2AED" w:rsidRDefault="009B2AED" w:rsidP="00694420">
            <w:pPr>
              <w:pStyle w:val="EFCFText"/>
              <w:jc w:val="center"/>
            </w:pPr>
            <m:oMathPara>
              <m:oMath>
                <m:r>
                  <w:rPr>
                    <w:rFonts w:ascii="Cambria Math" w:hAnsi="Cambria Math"/>
                  </w:rPr>
                  <m:t xml:space="preserve">degr (% for 1,000 </m:t>
                </m:r>
                <m:r>
                  <w:rPr>
                    <w:rFonts w:ascii="Cambria Math" w:hAnsi="Cambria Math"/>
                  </w:rPr>
                  <m:t>hr)=</m:t>
                </m:r>
                <m:f>
                  <m:fPr>
                    <m:ctrlPr>
                      <w:rPr>
                        <w:rFonts w:ascii="Cambria Math" w:hAnsi="Cambria Math"/>
                        <w:i/>
                      </w:rPr>
                    </m:ctrlPr>
                  </m:fPr>
                  <m:num>
                    <m:r>
                      <w:rPr>
                        <w:rFonts w:ascii="Cambria Math" w:hAnsi="Cambria Math"/>
                      </w:rPr>
                      <m:t>∆V</m:t>
                    </m:r>
                  </m:num>
                  <m:den>
                    <m:sSub>
                      <m:sSubPr>
                        <m:ctrlPr>
                          <w:rPr>
                            <w:rFonts w:ascii="Cambria Math" w:hAnsi="Cambria Math"/>
                            <w:i/>
                          </w:rPr>
                        </m:ctrlPr>
                      </m:sSubPr>
                      <m:e>
                        <m:r>
                          <w:rPr>
                            <w:rFonts w:ascii="Cambria Math" w:hAnsi="Cambria Math"/>
                          </w:rPr>
                          <m:t>V</m:t>
                        </m:r>
                      </m:e>
                      <m:sub>
                        <m:r>
                          <w:rPr>
                            <w:rFonts w:ascii="Cambria Math" w:hAnsi="Cambria Math"/>
                          </w:rPr>
                          <m:t>in</m:t>
                        </m:r>
                      </m:sub>
                    </m:sSub>
                  </m:den>
                </m:f>
                <m:r>
                  <w:rPr>
                    <w:rFonts w:ascii="Cambria Math" w:hAnsi="Cambria Math"/>
                  </w:rPr>
                  <m:t>=</m:t>
                </m:r>
                <m:f>
                  <m:fPr>
                    <m:ctrlPr>
                      <w:rPr>
                        <w:rFonts w:ascii="Cambria Math" w:hAnsi="Cambria Math"/>
                        <w:i/>
                      </w:rPr>
                    </m:ctrlPr>
                  </m:fPr>
                  <m:num>
                    <m:r>
                      <w:rPr>
                        <w:rFonts w:ascii="Cambria Math" w:hAnsi="Cambria Math"/>
                      </w:rPr>
                      <m:t>V</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in</m:t>
                            </m:r>
                          </m:sub>
                        </m:sSub>
                      </m:e>
                    </m:d>
                    <m:r>
                      <w:rPr>
                        <w:rFonts w:ascii="Cambria Math" w:hAnsi="Cambria Math"/>
                      </w:rPr>
                      <m:t>-V(</m:t>
                    </m:r>
                    <m:sSub>
                      <m:sSubPr>
                        <m:ctrlPr>
                          <w:rPr>
                            <w:rFonts w:ascii="Cambria Math" w:hAnsi="Cambria Math"/>
                            <w:i/>
                          </w:rPr>
                        </m:ctrlPr>
                      </m:sSubPr>
                      <m:e>
                        <m:r>
                          <w:rPr>
                            <w:rFonts w:ascii="Cambria Math" w:hAnsi="Cambria Math"/>
                          </w:rPr>
                          <m:t>t</m:t>
                        </m:r>
                      </m:e>
                      <m:sub>
                        <m:r>
                          <w:rPr>
                            <w:rFonts w:ascii="Cambria Math" w:hAnsi="Cambria Math"/>
                          </w:rPr>
                          <m:t>fin</m:t>
                        </m:r>
                      </m:sub>
                    </m:sSub>
                    <m:r>
                      <w:rPr>
                        <w:rFonts w:ascii="Cambria Math" w:hAnsi="Cambria Math"/>
                      </w:rPr>
                      <m:t>)</m:t>
                    </m:r>
                  </m:num>
                  <m:den>
                    <m:r>
                      <w:rPr>
                        <w:rFonts w:ascii="Cambria Math" w:hAnsi="Cambria Math"/>
                      </w:rPr>
                      <m:t>V(</m:t>
                    </m:r>
                    <m:sSub>
                      <m:sSubPr>
                        <m:ctrlPr>
                          <w:rPr>
                            <w:rFonts w:ascii="Cambria Math" w:hAnsi="Cambria Math"/>
                            <w:i/>
                          </w:rPr>
                        </m:ctrlPr>
                      </m:sSubPr>
                      <m:e>
                        <m:r>
                          <w:rPr>
                            <w:rFonts w:ascii="Cambria Math" w:hAnsi="Cambria Math"/>
                          </w:rPr>
                          <m:t>t</m:t>
                        </m:r>
                      </m:e>
                      <m:sub>
                        <m:r>
                          <w:rPr>
                            <w:rFonts w:ascii="Cambria Math" w:hAnsi="Cambria Math"/>
                          </w:rPr>
                          <m:t>in</m:t>
                        </m:r>
                      </m:sub>
                    </m:sSub>
                    <m:r>
                      <w:rPr>
                        <w:rFonts w:ascii="Cambria Math" w:hAnsi="Cambria Math"/>
                      </w:rPr>
                      <m:t>)</m:t>
                    </m:r>
                  </m:den>
                </m:f>
                <m:r>
                  <w:rPr>
                    <w:rFonts w:ascii="Cambria Math" w:hAnsi="Cambria Math"/>
                  </w:rPr>
                  <m:t>×</m:t>
                </m:r>
                <m:f>
                  <m:fPr>
                    <m:ctrlPr>
                      <w:rPr>
                        <w:rFonts w:ascii="Cambria Math" w:hAnsi="Cambria Math"/>
                        <w:i/>
                      </w:rPr>
                    </m:ctrlPr>
                  </m:fPr>
                  <m:num>
                    <m:r>
                      <w:rPr>
                        <w:rFonts w:ascii="Cambria Math" w:hAnsi="Cambria Math"/>
                      </w:rPr>
                      <m:t>1000</m:t>
                    </m:r>
                  </m:num>
                  <m:den>
                    <m:sSub>
                      <m:sSubPr>
                        <m:ctrlPr>
                          <w:rPr>
                            <w:rFonts w:ascii="Cambria Math" w:hAnsi="Cambria Math"/>
                            <w:i/>
                          </w:rPr>
                        </m:ctrlPr>
                      </m:sSubPr>
                      <m:e>
                        <m:r>
                          <w:rPr>
                            <w:rFonts w:ascii="Cambria Math" w:hAnsi="Cambria Math"/>
                          </w:rPr>
                          <m:t>t</m:t>
                        </m:r>
                      </m:e>
                      <m:sub>
                        <m:r>
                          <w:rPr>
                            <w:rFonts w:ascii="Cambria Math" w:hAnsi="Cambria Math"/>
                          </w:rPr>
                          <m:t>fin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in</m:t>
                        </m:r>
                      </m:sub>
                    </m:sSub>
                  </m:den>
                </m:f>
              </m:oMath>
            </m:oMathPara>
          </w:p>
        </w:tc>
        <w:tc>
          <w:tcPr>
            <w:tcW w:w="561" w:type="dxa"/>
            <w:vAlign w:val="center"/>
          </w:tcPr>
          <w:p w14:paraId="2EB6357B" w14:textId="77777777" w:rsidR="009B2AED" w:rsidRPr="009B2AED" w:rsidRDefault="009B2AED" w:rsidP="00694420">
            <w:pPr>
              <w:pStyle w:val="EFCFText"/>
              <w:jc w:val="center"/>
              <w:rPr>
                <w:rFonts w:ascii="Times New Roman" w:hAnsi="Times New Roman" w:cs="Times New Roman"/>
              </w:rPr>
            </w:pPr>
            <w:r w:rsidRPr="009B2AED">
              <w:rPr>
                <w:rFonts w:ascii="Times New Roman" w:hAnsi="Times New Roman" w:cs="Times New Roman"/>
              </w:rPr>
              <w:t>(1)</w:t>
            </w:r>
          </w:p>
        </w:tc>
      </w:tr>
    </w:tbl>
    <w:p w14:paraId="55F19BC6" w14:textId="77777777" w:rsidR="009B2AED" w:rsidRDefault="009B2AED" w:rsidP="009B2AED">
      <w:pPr>
        <w:pStyle w:val="EFCFText"/>
      </w:pPr>
    </w:p>
    <w:p w14:paraId="30F1ECF9" w14:textId="57A06ECA" w:rsidR="009B2AED" w:rsidRDefault="002F6841" w:rsidP="009B2AED">
      <w:pPr>
        <w:pStyle w:val="EFCFText"/>
        <w:spacing w:line="480" w:lineRule="auto"/>
        <w:rPr>
          <w:rFonts w:ascii="Times New Roman" w:hAnsi="Times New Roman" w:cs="Times New Roman"/>
        </w:rPr>
      </w:pPr>
      <w:r>
        <w:rPr>
          <w:rFonts w:ascii="Times New Roman" w:hAnsi="Times New Roman" w:cs="Times New Roman"/>
        </w:rPr>
        <w:lastRenderedPageBreak/>
        <w:t>w</w:t>
      </w:r>
      <w:r w:rsidR="009B2AED" w:rsidRPr="009B2AED">
        <w:rPr>
          <w:rFonts w:ascii="Times New Roman" w:hAnsi="Times New Roman" w:cs="Times New Roman"/>
        </w:rPr>
        <w:t xml:space="preserve">here the time variables, </w:t>
      </w:r>
      <m:oMath>
        <m:r>
          <w:rPr>
            <w:rFonts w:ascii="Cambria Math" w:hAnsi="Cambria Math" w:cs="Times New Roman"/>
          </w:rPr>
          <m:t>t</m:t>
        </m:r>
      </m:oMath>
      <w:r w:rsidR="009B2AED" w:rsidRPr="009B2AED">
        <w:rPr>
          <w:rFonts w:ascii="Times New Roman" w:hAnsi="Times New Roman" w:cs="Times New Roman"/>
        </w:rPr>
        <w:t xml:space="preserve">, are expressed in hours. The main drawback of the above-calculated degradation rate is that of not providing information on the actual current density at which degradation occurred. </w:t>
      </w:r>
    </w:p>
    <w:p w14:paraId="4C1CD177" w14:textId="77820D54" w:rsidR="00F13731" w:rsidRPr="009B2AED" w:rsidRDefault="00F13731" w:rsidP="009B2AED">
      <w:pPr>
        <w:pStyle w:val="EFCFText"/>
        <w:spacing w:line="480" w:lineRule="auto"/>
        <w:rPr>
          <w:rFonts w:ascii="Times New Roman" w:hAnsi="Times New Roman" w:cs="Times New Roman"/>
        </w:rPr>
      </w:pPr>
      <w:r w:rsidRPr="009B2AED">
        <w:rPr>
          <w:rFonts w:ascii="Times New Roman" w:hAnsi="Times New Roman" w:cs="Times New Roman"/>
        </w:rPr>
        <w:t>We derive below a formulation that provides instead the intrinsic degradation rate (</w:t>
      </w:r>
      <m:oMath>
        <m:r>
          <w:rPr>
            <w:rFonts w:ascii="Cambria Math" w:hAnsi="Cambria Math" w:cs="Times New Roman"/>
          </w:rPr>
          <m:t>d</m:t>
        </m:r>
      </m:oMath>
      <w:r w:rsidRPr="009B2AED">
        <w:rPr>
          <w:rFonts w:ascii="Times New Roman" w:hAnsi="Times New Roman" w:cs="Times New Roman"/>
        </w:rPr>
        <w:t xml:space="preserve">) of the cell or stack. First, </w:t>
      </w:r>
      <w:r w:rsidR="002F6841">
        <w:rPr>
          <w:rFonts w:ascii="Times New Roman" w:hAnsi="Times New Roman" w:cs="Times New Roman"/>
        </w:rPr>
        <w:t>it was</w:t>
      </w:r>
      <w:r w:rsidRPr="009B2AED">
        <w:rPr>
          <w:rFonts w:ascii="Times New Roman" w:hAnsi="Times New Roman" w:cs="Times New Roman"/>
        </w:rPr>
        <w:t xml:space="preserve"> assume</w:t>
      </w:r>
      <w:r w:rsidR="002F6841">
        <w:rPr>
          <w:rFonts w:ascii="Times New Roman" w:hAnsi="Times New Roman" w:cs="Times New Roman"/>
        </w:rPr>
        <w:t>d</w:t>
      </w:r>
      <w:r w:rsidRPr="009B2AED">
        <w:rPr>
          <w:rFonts w:ascii="Times New Roman" w:hAnsi="Times New Roman" w:cs="Times New Roman"/>
        </w:rPr>
        <w:t xml:space="preserve"> that degradation can be approximated by an increase over time of the Area-Specific-Resistance (</w:t>
      </w:r>
      <m:oMath>
        <m:r>
          <w:rPr>
            <w:rFonts w:ascii="Cambria Math" w:hAnsi="Cambria Math" w:cs="Times New Roman"/>
          </w:rPr>
          <m:t>ASR</m:t>
        </m:r>
      </m:oMath>
      <w:r w:rsidRPr="009B2AED">
        <w:rPr>
          <w:rFonts w:ascii="Times New Roman" w:hAnsi="Times New Roman" w:cs="Times New Roman"/>
        </w:rPr>
        <w:t>) of the cell or stack:</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F13731" w14:paraId="416B0650" w14:textId="77777777" w:rsidTr="00694420">
        <w:tc>
          <w:tcPr>
            <w:tcW w:w="562" w:type="dxa"/>
            <w:vAlign w:val="center"/>
          </w:tcPr>
          <w:p w14:paraId="089CA73D" w14:textId="77777777" w:rsidR="00F13731" w:rsidRDefault="00F13731" w:rsidP="00694420">
            <w:pPr>
              <w:pStyle w:val="EFCFText"/>
              <w:jc w:val="center"/>
            </w:pPr>
          </w:p>
        </w:tc>
        <w:tc>
          <w:tcPr>
            <w:tcW w:w="8505" w:type="dxa"/>
            <w:vAlign w:val="center"/>
          </w:tcPr>
          <w:p w14:paraId="7CC87CF0" w14:textId="774D9C86" w:rsidR="00F13731" w:rsidRDefault="00F13731" w:rsidP="009B2AED">
            <w:pPr>
              <w:pStyle w:val="EFCFText"/>
              <w:spacing w:before="240" w:after="240"/>
              <w:jc w:val="center"/>
            </w:pPr>
            <m:oMathPara>
              <m:oMath>
                <m:r>
                  <w:rPr>
                    <w:rFonts w:ascii="Cambria Math" w:hAnsi="Cambria Math"/>
                  </w:rPr>
                  <m:t>ASR</m:t>
                </m:r>
                <m:d>
                  <m:dPr>
                    <m:ctrlPr>
                      <w:rPr>
                        <w:rFonts w:ascii="Cambria Math" w:hAnsi="Cambria Math"/>
                        <w:i/>
                      </w:rPr>
                    </m:ctrlPr>
                  </m:dPr>
                  <m:e>
                    <m:r>
                      <w:rPr>
                        <w:rFonts w:ascii="Cambria Math" w:hAnsi="Cambria Math"/>
                      </w:rPr>
                      <m:t>t</m:t>
                    </m:r>
                  </m:e>
                </m:d>
                <m:r>
                  <w:rPr>
                    <w:rFonts w:ascii="Cambria Math" w:hAnsi="Cambria Math"/>
                  </w:rPr>
                  <m:t>=ASR</m:t>
                </m:r>
                <m:d>
                  <m:dPr>
                    <m:ctrlPr>
                      <w:rPr>
                        <w:rFonts w:ascii="Cambria Math" w:hAnsi="Cambria Math"/>
                        <w:i/>
                      </w:rPr>
                    </m:ctrlPr>
                  </m:dPr>
                  <m:e>
                    <m:r>
                      <w:rPr>
                        <w:rFonts w:ascii="Cambria Math" w:hAnsi="Cambria Math"/>
                      </w:rPr>
                      <m:t>t=0</m:t>
                    </m:r>
                  </m:e>
                </m:d>
                <m:r>
                  <w:rPr>
                    <w:rFonts w:ascii="Cambria Math" w:hAnsi="Cambria Math"/>
                  </w:rPr>
                  <m:t>+d×t=</m:t>
                </m:r>
                <m:sSup>
                  <m:sSupPr>
                    <m:ctrlPr>
                      <w:rPr>
                        <w:rFonts w:ascii="Cambria Math" w:hAnsi="Cambria Math"/>
                        <w:i/>
                      </w:rPr>
                    </m:ctrlPr>
                  </m:sSupPr>
                  <m:e>
                    <m:r>
                      <w:rPr>
                        <w:rFonts w:ascii="Cambria Math" w:hAnsi="Cambria Math"/>
                      </w:rPr>
                      <m:t>ASR</m:t>
                    </m:r>
                  </m:e>
                  <m:sup>
                    <m:r>
                      <w:rPr>
                        <w:rFonts w:ascii="Cambria Math" w:hAnsi="Cambria Math"/>
                      </w:rPr>
                      <m:t>0</m:t>
                    </m:r>
                  </m:sup>
                </m:sSup>
                <m:r>
                  <w:rPr>
                    <w:rFonts w:ascii="Cambria Math" w:hAnsi="Cambria Math"/>
                  </w:rPr>
                  <m:t>+d×t</m:t>
                </m:r>
              </m:oMath>
            </m:oMathPara>
          </w:p>
        </w:tc>
        <w:tc>
          <w:tcPr>
            <w:tcW w:w="561" w:type="dxa"/>
            <w:vAlign w:val="center"/>
          </w:tcPr>
          <w:p w14:paraId="326E02B7" w14:textId="77777777" w:rsidR="00F13731" w:rsidRPr="009B2AED" w:rsidRDefault="00F13731" w:rsidP="00694420">
            <w:pPr>
              <w:pStyle w:val="EFCFText"/>
              <w:jc w:val="center"/>
              <w:rPr>
                <w:rFonts w:ascii="Times New Roman" w:hAnsi="Times New Roman" w:cs="Times New Roman"/>
              </w:rPr>
            </w:pPr>
            <w:r w:rsidRPr="009B2AED">
              <w:rPr>
                <w:rFonts w:ascii="Times New Roman" w:hAnsi="Times New Roman" w:cs="Times New Roman"/>
              </w:rPr>
              <w:t>(2)</w:t>
            </w:r>
          </w:p>
        </w:tc>
      </w:tr>
    </w:tbl>
    <w:p w14:paraId="41DE111D" w14:textId="77777777" w:rsidR="00F13731" w:rsidRDefault="00F13731" w:rsidP="00F13731">
      <w:pPr>
        <w:pStyle w:val="EFCFText"/>
      </w:pPr>
    </w:p>
    <w:p w14:paraId="7F436E82" w14:textId="6671DA9B" w:rsidR="00F13731" w:rsidRPr="009B2AED" w:rsidRDefault="002F6841" w:rsidP="009B2AED">
      <w:pPr>
        <w:pStyle w:val="EFCFText"/>
        <w:tabs>
          <w:tab w:val="left" w:pos="1797"/>
        </w:tabs>
        <w:spacing w:line="480" w:lineRule="auto"/>
        <w:rPr>
          <w:rFonts w:ascii="Times New Roman" w:hAnsi="Times New Roman" w:cs="Times New Roman"/>
        </w:rPr>
      </w:pPr>
      <w:r>
        <w:rPr>
          <w:rFonts w:ascii="Times New Roman" w:hAnsi="Times New Roman" w:cs="Times New Roman"/>
        </w:rPr>
        <w:t>w</w:t>
      </w:r>
      <w:r w:rsidR="00F13731" w:rsidRPr="009B2AED">
        <w:rPr>
          <w:rFonts w:ascii="Times New Roman" w:hAnsi="Times New Roman" w:cs="Times New Roman"/>
        </w:rPr>
        <w:t xml:space="preserve">here the term </w:t>
      </w:r>
      <w:r w:rsidR="009B2AED" w:rsidRPr="009B2AED">
        <w:rPr>
          <w:rFonts w:ascii="Times New Roman" w:hAnsi="Times New Roman" w:cs="Times New Roman"/>
          <w:i/>
        </w:rPr>
        <w:t>d</w:t>
      </w:r>
      <w:r w:rsidR="00F13731" w:rsidRPr="009B2AED">
        <w:rPr>
          <w:rFonts w:ascii="Times New Roman" w:hAnsi="Times New Roman" w:cs="Times New Roman"/>
        </w:rPr>
        <w:t xml:space="preserve"> denotes the intrinsic degradation rate of the fuel cell, which</w:t>
      </w:r>
      <w:r w:rsidR="009B2AED">
        <w:rPr>
          <w:rFonts w:ascii="Times New Roman" w:hAnsi="Times New Roman" w:cs="Times New Roman"/>
        </w:rPr>
        <w:t xml:space="preserve"> in general is not a constant, </w:t>
      </w:r>
      <w:r w:rsidR="004147EE">
        <w:rPr>
          <w:rFonts w:ascii="Times New Roman" w:hAnsi="Times New Roman" w:cs="Times New Roman"/>
        </w:rPr>
        <w:t>it rather</w:t>
      </w:r>
      <w:r w:rsidR="009B2AED">
        <w:rPr>
          <w:rFonts w:ascii="Times New Roman" w:hAnsi="Times New Roman" w:cs="Times New Roman"/>
        </w:rPr>
        <w:t xml:space="preserve"> depend</w:t>
      </w:r>
      <w:r w:rsidR="004147EE">
        <w:rPr>
          <w:rFonts w:ascii="Times New Roman" w:hAnsi="Times New Roman" w:cs="Times New Roman"/>
        </w:rPr>
        <w:t>s</w:t>
      </w:r>
      <w:r w:rsidR="009B2AED">
        <w:rPr>
          <w:rFonts w:ascii="Times New Roman" w:hAnsi="Times New Roman" w:cs="Times New Roman"/>
        </w:rPr>
        <w:t xml:space="preserve"> on time and</w:t>
      </w:r>
      <w:r w:rsidR="000676F7">
        <w:rPr>
          <w:rFonts w:ascii="Times New Roman" w:hAnsi="Times New Roman" w:cs="Times New Roman"/>
        </w:rPr>
        <w:t>/or</w:t>
      </w:r>
      <w:r w:rsidR="009B2AED">
        <w:rPr>
          <w:rFonts w:ascii="Times New Roman" w:hAnsi="Times New Roman" w:cs="Times New Roman"/>
        </w:rPr>
        <w:t xml:space="preserve"> other variables</w:t>
      </w:r>
      <w:r w:rsidR="005661D6" w:rsidRPr="009B2AED">
        <w:rPr>
          <w:rFonts w:ascii="Times New Roman" w:hAnsi="Times New Roman" w:cs="Times New Roman"/>
        </w:rPr>
        <w:t>.</w:t>
      </w:r>
      <w:r w:rsidR="009B2AED">
        <w:rPr>
          <w:rFonts w:ascii="Times New Roman" w:hAnsi="Times New Roman" w:cs="Times New Roman"/>
        </w:rPr>
        <w:t xml:space="preserve"> </w:t>
      </w:r>
      <w:r w:rsidR="00F13731" w:rsidRPr="009B2AED">
        <w:rPr>
          <w:rFonts w:ascii="Times New Roman" w:hAnsi="Times New Roman" w:cs="Times New Roman"/>
        </w:rPr>
        <w:t>The degrading voltage trend over time is thus expressed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F13731" w:rsidRPr="009B2AED" w14:paraId="789EBC9B" w14:textId="77777777" w:rsidTr="00694420">
        <w:tc>
          <w:tcPr>
            <w:tcW w:w="562" w:type="dxa"/>
            <w:vAlign w:val="center"/>
          </w:tcPr>
          <w:p w14:paraId="58F35D6C" w14:textId="77777777" w:rsidR="00F13731" w:rsidRDefault="00F13731" w:rsidP="009B2AED">
            <w:pPr>
              <w:pStyle w:val="EFCFText"/>
              <w:jc w:val="center"/>
            </w:pPr>
          </w:p>
        </w:tc>
        <w:tc>
          <w:tcPr>
            <w:tcW w:w="8505" w:type="dxa"/>
            <w:vAlign w:val="center"/>
          </w:tcPr>
          <w:p w14:paraId="0B53DD2B" w14:textId="77777777" w:rsidR="00F13731" w:rsidRDefault="00F13731" w:rsidP="009B2AED">
            <w:pPr>
              <w:pStyle w:val="EFCFText"/>
              <w:spacing w:before="240" w:after="240"/>
              <w:jc w:val="center"/>
            </w:pPr>
            <m:oMathPara>
              <m:oMath>
                <m:r>
                  <w:rPr>
                    <w:rFonts w:ascii="Cambria Math" w:hAnsi="Cambria Math"/>
                  </w:rPr>
                  <m:t>V</m:t>
                </m:r>
                <m:d>
                  <m:dPr>
                    <m:ctrlPr>
                      <w:rPr>
                        <w:rFonts w:ascii="Cambria Math" w:hAnsi="Cambria Math"/>
                        <w:i/>
                      </w:rPr>
                    </m:ctrlPr>
                  </m:dPr>
                  <m:e>
                    <m:r>
                      <w:rPr>
                        <w:rFonts w:ascii="Cambria Math" w:hAnsi="Cambria Math"/>
                      </w:rPr>
                      <m:t>t</m:t>
                    </m:r>
                  </m:e>
                </m:d>
                <m:r>
                  <w:rPr>
                    <w:rFonts w:ascii="Cambria Math" w:hAnsi="Cambria Math"/>
                  </w:rPr>
                  <m:t>=OCV-ASR</m:t>
                </m:r>
                <m:d>
                  <m:dPr>
                    <m:ctrlPr>
                      <w:rPr>
                        <w:rFonts w:ascii="Cambria Math" w:hAnsi="Cambria Math"/>
                        <w:i/>
                      </w:rPr>
                    </m:ctrlPr>
                  </m:dPr>
                  <m:e>
                    <m:r>
                      <w:rPr>
                        <w:rFonts w:ascii="Cambria Math" w:hAnsi="Cambria Math"/>
                      </w:rPr>
                      <m:t>t</m:t>
                    </m:r>
                  </m:e>
                </m:d>
                <m:r>
                  <w:rPr>
                    <w:rFonts w:ascii="Cambria Math" w:hAnsi="Cambria Math"/>
                  </w:rPr>
                  <m:t>×j=</m:t>
                </m:r>
                <m:sSup>
                  <m:sSupPr>
                    <m:ctrlPr>
                      <w:rPr>
                        <w:rFonts w:ascii="Cambria Math" w:hAnsi="Cambria Math"/>
                        <w:i/>
                      </w:rPr>
                    </m:ctrlPr>
                  </m:sSupPr>
                  <m:e>
                    <m:r>
                      <w:rPr>
                        <w:rFonts w:ascii="Cambria Math" w:hAnsi="Cambria Math"/>
                      </w:rPr>
                      <m:t>OCV-ASR</m:t>
                    </m:r>
                  </m:e>
                  <m:sup>
                    <m:r>
                      <w:rPr>
                        <w:rFonts w:ascii="Cambria Math" w:hAnsi="Cambria Math"/>
                      </w:rPr>
                      <m:t>0</m:t>
                    </m:r>
                  </m:sup>
                </m:sSup>
                <m:r>
                  <w:rPr>
                    <w:rFonts w:ascii="Cambria Math" w:hAnsi="Cambria Math"/>
                  </w:rPr>
                  <m:t>×j-d×t×j=</m:t>
                </m:r>
                <m:sSup>
                  <m:sSupPr>
                    <m:ctrlPr>
                      <w:rPr>
                        <w:rFonts w:ascii="Cambria Math" w:hAnsi="Cambria Math"/>
                        <w:i/>
                      </w:rPr>
                    </m:ctrlPr>
                  </m:sSupPr>
                  <m:e>
                    <m:r>
                      <w:rPr>
                        <w:rFonts w:ascii="Cambria Math" w:hAnsi="Cambria Math"/>
                      </w:rPr>
                      <m:t>V</m:t>
                    </m:r>
                  </m:e>
                  <m:sup>
                    <m:r>
                      <w:rPr>
                        <w:rFonts w:ascii="Cambria Math" w:hAnsi="Cambria Math"/>
                      </w:rPr>
                      <m:t>0</m:t>
                    </m:r>
                  </m:sup>
                </m:sSup>
                <m:r>
                  <w:rPr>
                    <w:rFonts w:ascii="Cambria Math" w:hAnsi="Cambria Math"/>
                  </w:rPr>
                  <m:t>-d×t×j</m:t>
                </m:r>
              </m:oMath>
            </m:oMathPara>
          </w:p>
        </w:tc>
        <w:tc>
          <w:tcPr>
            <w:tcW w:w="561" w:type="dxa"/>
            <w:vAlign w:val="center"/>
          </w:tcPr>
          <w:p w14:paraId="2B58616F" w14:textId="77777777" w:rsidR="00F13731" w:rsidRPr="009B2AED" w:rsidRDefault="00F13731" w:rsidP="009B2AED">
            <w:pPr>
              <w:pStyle w:val="EFCFText"/>
              <w:jc w:val="center"/>
              <w:rPr>
                <w:rFonts w:ascii="Times New Roman" w:hAnsi="Times New Roman" w:cs="Times New Roman"/>
              </w:rPr>
            </w:pPr>
            <w:r w:rsidRPr="009B2AED">
              <w:rPr>
                <w:rFonts w:ascii="Times New Roman" w:hAnsi="Times New Roman" w:cs="Times New Roman"/>
              </w:rPr>
              <w:t>(3)</w:t>
            </w:r>
          </w:p>
        </w:tc>
      </w:tr>
    </w:tbl>
    <w:p w14:paraId="7CB68BFA" w14:textId="77777777" w:rsidR="00F13731" w:rsidRDefault="00F13731" w:rsidP="00F13731">
      <w:pPr>
        <w:pStyle w:val="EFCFText"/>
        <w:tabs>
          <w:tab w:val="left" w:pos="1797"/>
        </w:tabs>
      </w:pPr>
    </w:p>
    <w:p w14:paraId="0224F7D3" w14:textId="77777777" w:rsidR="00F13731" w:rsidRPr="009B2AED" w:rsidRDefault="00F13731"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The additional assumption here is that a constant OCV is maintained through the experiment (i.e., degradation does not affect the OCV of the cell).</w:t>
      </w:r>
    </w:p>
    <w:p w14:paraId="5F4412D2" w14:textId="77777777" w:rsidR="00F13731" w:rsidRPr="009B2AED" w:rsidRDefault="00F13731"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We propose a sound definition of ‘degradation’ that is calculated as the time-derivative of the operating voltage divided by the current density (so instantaneous degradation is the rate of change of voltage adjusted for current density). By taking the first derivative over time of Eq. 3, and dividing by the current density, we get the following expression: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F13731" w14:paraId="4AFC3A1E" w14:textId="77777777" w:rsidTr="00694420">
        <w:tc>
          <w:tcPr>
            <w:tcW w:w="562" w:type="dxa"/>
            <w:vAlign w:val="center"/>
          </w:tcPr>
          <w:p w14:paraId="5192F2D5" w14:textId="77777777" w:rsidR="00F13731" w:rsidRDefault="00F13731" w:rsidP="009B2AED">
            <w:pPr>
              <w:pStyle w:val="EFCFText"/>
              <w:spacing w:before="240" w:after="240"/>
              <w:jc w:val="center"/>
            </w:pPr>
          </w:p>
        </w:tc>
        <w:tc>
          <w:tcPr>
            <w:tcW w:w="8505" w:type="dxa"/>
            <w:vAlign w:val="center"/>
          </w:tcPr>
          <w:p w14:paraId="0D7ABF7B" w14:textId="77777777" w:rsidR="00F13731" w:rsidRDefault="009442A0" w:rsidP="009B2AED">
            <w:pPr>
              <w:pStyle w:val="EFCFText"/>
              <w:spacing w:before="240" w:after="240"/>
              <w:jc w:val="center"/>
            </w:pPr>
            <m:oMathPara>
              <m:oMath>
                <m:f>
                  <m:fPr>
                    <m:ctrlPr>
                      <w:rPr>
                        <w:rFonts w:ascii="Cambria Math" w:hAnsi="Cambria Math"/>
                        <w:i/>
                      </w:rPr>
                    </m:ctrlPr>
                  </m:fPr>
                  <m:num>
                    <m:f>
                      <m:fPr>
                        <m:ctrlPr>
                          <w:rPr>
                            <w:rFonts w:ascii="Cambria Math" w:hAnsi="Cambria Math"/>
                            <w:i/>
                          </w:rPr>
                        </m:ctrlPr>
                      </m:fPr>
                      <m:num>
                        <m:r>
                          <w:rPr>
                            <w:rFonts w:ascii="Cambria Math" w:hAnsi="Cambria Math"/>
                          </w:rPr>
                          <m:t>dV</m:t>
                        </m:r>
                        <m:d>
                          <m:dPr>
                            <m:ctrlPr>
                              <w:rPr>
                                <w:rFonts w:ascii="Cambria Math" w:hAnsi="Cambria Math"/>
                                <w:i/>
                              </w:rPr>
                            </m:ctrlPr>
                          </m:dPr>
                          <m:e>
                            <m:r>
                              <w:rPr>
                                <w:rFonts w:ascii="Cambria Math" w:hAnsi="Cambria Math"/>
                              </w:rPr>
                              <m:t>t</m:t>
                            </m:r>
                          </m:e>
                        </m:d>
                      </m:num>
                      <m:den>
                        <m:r>
                          <w:rPr>
                            <w:rFonts w:ascii="Cambria Math" w:hAnsi="Cambria Math"/>
                          </w:rPr>
                          <m:t>dt</m:t>
                        </m:r>
                      </m:den>
                    </m:f>
                  </m:num>
                  <m:den>
                    <m:r>
                      <w:rPr>
                        <w:rFonts w:ascii="Cambria Math" w:hAnsi="Cambria Math"/>
                      </w:rPr>
                      <m:t>j</m:t>
                    </m:r>
                  </m:den>
                </m:f>
                <m:r>
                  <w:rPr>
                    <w:rFonts w:ascii="Cambria Math" w:hAnsi="Cambria Math"/>
                  </w:rPr>
                  <m:t>=-d</m:t>
                </m:r>
              </m:oMath>
            </m:oMathPara>
          </w:p>
        </w:tc>
        <w:tc>
          <w:tcPr>
            <w:tcW w:w="561" w:type="dxa"/>
            <w:vAlign w:val="center"/>
          </w:tcPr>
          <w:p w14:paraId="39108CF4" w14:textId="77777777" w:rsidR="00F13731" w:rsidRPr="009B2AED" w:rsidRDefault="00F13731" w:rsidP="009B2AED">
            <w:pPr>
              <w:pStyle w:val="EFCFText"/>
              <w:spacing w:before="240" w:after="240"/>
              <w:jc w:val="center"/>
              <w:rPr>
                <w:rFonts w:ascii="Times New Roman" w:hAnsi="Times New Roman" w:cs="Times New Roman"/>
              </w:rPr>
            </w:pPr>
            <w:r w:rsidRPr="009B2AED">
              <w:rPr>
                <w:rFonts w:ascii="Times New Roman" w:hAnsi="Times New Roman" w:cs="Times New Roman"/>
              </w:rPr>
              <w:t>(4)</w:t>
            </w:r>
          </w:p>
        </w:tc>
      </w:tr>
    </w:tbl>
    <w:p w14:paraId="494E63B2" w14:textId="77777777" w:rsidR="009B2AED" w:rsidRDefault="009B2AED" w:rsidP="009B2AED">
      <w:pPr>
        <w:pStyle w:val="EFCFText"/>
        <w:tabs>
          <w:tab w:val="left" w:pos="1797"/>
        </w:tabs>
        <w:spacing w:line="480" w:lineRule="auto"/>
        <w:rPr>
          <w:rFonts w:ascii="Times New Roman" w:hAnsi="Times New Roman" w:cs="Times New Roman"/>
        </w:rPr>
      </w:pPr>
    </w:p>
    <w:p w14:paraId="5F53727D" w14:textId="2E1623AE" w:rsidR="00F13731" w:rsidRPr="009B2AED" w:rsidRDefault="00F13731"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 xml:space="preserve">Hence, the term </w:t>
      </w:r>
      <m:oMath>
        <m:r>
          <w:rPr>
            <w:rFonts w:ascii="Cambria Math" w:hAnsi="Cambria Math" w:cs="Times New Roman"/>
          </w:rPr>
          <m:t>d</m:t>
        </m:r>
      </m:oMath>
      <w:r w:rsidR="002F6841">
        <w:rPr>
          <w:rFonts w:ascii="Times New Roman" w:hAnsi="Times New Roman" w:cs="Times New Roman"/>
        </w:rPr>
        <w:t xml:space="preserve"> attempts</w:t>
      </w:r>
      <w:r w:rsidRPr="009B2AED">
        <w:rPr>
          <w:rFonts w:ascii="Times New Roman" w:hAnsi="Times New Roman" w:cs="Times New Roman"/>
        </w:rPr>
        <w:t xml:space="preserve"> to describe </w:t>
      </w:r>
      <w:r w:rsidR="002F6841" w:rsidRPr="009B2AED">
        <w:rPr>
          <w:rFonts w:ascii="Times New Roman" w:hAnsi="Times New Roman" w:cs="Times New Roman"/>
        </w:rPr>
        <w:t xml:space="preserve">consistently </w:t>
      </w:r>
      <w:r w:rsidRPr="009B2AED">
        <w:rPr>
          <w:rFonts w:ascii="Times New Roman" w:hAnsi="Times New Roman" w:cs="Times New Roman"/>
        </w:rPr>
        <w:t>intrinsic degradation. To have a positive number for degradation, we can simply take its value with a sign change.</w:t>
      </w:r>
    </w:p>
    <w:p w14:paraId="1F5C028C" w14:textId="77777777" w:rsidR="009B2AED" w:rsidRDefault="00FF5DD5"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lastRenderedPageBreak/>
        <w:t xml:space="preserve">In the following of this work, the observed degradation will be reported – whenever meaningful – in terms of intrinsic </w:t>
      </w:r>
      <w:r w:rsidRPr="00873410">
        <w:rPr>
          <w:rFonts w:ascii="Times New Roman" w:hAnsi="Times New Roman" w:cs="Times New Roman"/>
          <w:noProof/>
        </w:rPr>
        <w:t>degradation</w:t>
      </w:r>
      <w:r w:rsidRPr="009B2AED">
        <w:rPr>
          <w:rFonts w:ascii="Times New Roman" w:hAnsi="Times New Roman" w:cs="Times New Roman"/>
        </w:rPr>
        <w:t xml:space="preserve">. The advantage of </w:t>
      </w:r>
      <w:r w:rsidRPr="00873410">
        <w:rPr>
          <w:rFonts w:ascii="Times New Roman" w:hAnsi="Times New Roman" w:cs="Times New Roman"/>
          <w:i/>
          <w:iCs/>
          <w:noProof/>
        </w:rPr>
        <w:t>intrinsic</w:t>
      </w:r>
      <w:r w:rsidRPr="009B2AED">
        <w:rPr>
          <w:rFonts w:ascii="Times New Roman" w:hAnsi="Times New Roman" w:cs="Times New Roman"/>
          <w:i/>
          <w:iCs/>
        </w:rPr>
        <w:t xml:space="preserve"> </w:t>
      </w:r>
      <w:r w:rsidRPr="009B2AED">
        <w:rPr>
          <w:rFonts w:ascii="Times New Roman" w:hAnsi="Times New Roman" w:cs="Times New Roman"/>
        </w:rPr>
        <w:t xml:space="preserve">degradation against </w:t>
      </w:r>
      <w:r w:rsidRPr="002F6841">
        <w:rPr>
          <w:rFonts w:ascii="Times New Roman" w:hAnsi="Times New Roman" w:cs="Times New Roman"/>
          <w:iCs/>
        </w:rPr>
        <w:t xml:space="preserve">overall </w:t>
      </w:r>
      <w:r w:rsidRPr="002F6841">
        <w:rPr>
          <w:rFonts w:ascii="Times New Roman" w:hAnsi="Times New Roman" w:cs="Times New Roman"/>
        </w:rPr>
        <w:t>degradation</w:t>
      </w:r>
      <w:r w:rsidRPr="009B2AED">
        <w:rPr>
          <w:rFonts w:ascii="Times New Roman" w:hAnsi="Times New Roman" w:cs="Times New Roman"/>
        </w:rPr>
        <w:t xml:space="preserve"> is that it decouples the effect of current density </w:t>
      </w:r>
      <w:r w:rsidRPr="002F6841">
        <w:rPr>
          <w:rFonts w:ascii="Times New Roman" w:hAnsi="Times New Roman" w:cs="Times New Roman"/>
        </w:rPr>
        <w:t xml:space="preserve">that is embedded in </w:t>
      </w:r>
      <w:r w:rsidRPr="002F6841">
        <w:rPr>
          <w:rFonts w:ascii="Times New Roman" w:hAnsi="Times New Roman" w:cs="Times New Roman"/>
          <w:iCs/>
        </w:rPr>
        <w:t xml:space="preserve">overall </w:t>
      </w:r>
      <w:r w:rsidRPr="002F6841">
        <w:rPr>
          <w:rFonts w:ascii="Times New Roman" w:hAnsi="Times New Roman" w:cs="Times New Roman"/>
        </w:rPr>
        <w:t>degradation instead.</w:t>
      </w:r>
      <w:r w:rsidR="009B2AED">
        <w:rPr>
          <w:rFonts w:ascii="Times New Roman" w:hAnsi="Times New Roman" w:cs="Times New Roman"/>
        </w:rPr>
        <w:t xml:space="preserve"> </w:t>
      </w:r>
    </w:p>
    <w:p w14:paraId="27DA863C" w14:textId="1EF9630B" w:rsidR="00F13731" w:rsidRPr="009B2AED" w:rsidRDefault="00FF5DD5"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 xml:space="preserve">It is worth mentioning that intrinsic degradation rate is a sensible way to report degradation only for those processes for which a time-progressive increase of the </w:t>
      </w:r>
      <w:r w:rsidRPr="00873410">
        <w:rPr>
          <w:rFonts w:ascii="Times New Roman" w:hAnsi="Times New Roman" w:cs="Times New Roman"/>
          <w:noProof/>
        </w:rPr>
        <w:t>cell internal</w:t>
      </w:r>
      <w:r w:rsidRPr="009B2AED">
        <w:rPr>
          <w:rFonts w:ascii="Times New Roman" w:hAnsi="Times New Roman" w:cs="Times New Roman"/>
        </w:rPr>
        <w:t xml:space="preserve"> resistance occurs. This is the case of contaminants, which deposits foreign particles (e.g., silica in the </w:t>
      </w:r>
      <w:r w:rsidRPr="00873410">
        <w:rPr>
          <w:rFonts w:ascii="Times New Roman" w:hAnsi="Times New Roman" w:cs="Times New Roman"/>
          <w:noProof/>
        </w:rPr>
        <w:t>case</w:t>
      </w:r>
      <w:r w:rsidRPr="009B2AED">
        <w:rPr>
          <w:rFonts w:ascii="Times New Roman" w:hAnsi="Times New Roman" w:cs="Times New Roman"/>
        </w:rPr>
        <w:t xml:space="preserve"> of siloxanes) on the Ni surface. Degradation from C-deposition might </w:t>
      </w:r>
      <w:r w:rsidR="00873410">
        <w:rPr>
          <w:rFonts w:ascii="Times New Roman" w:hAnsi="Times New Roman" w:cs="Times New Roman"/>
          <w:noProof/>
        </w:rPr>
        <w:t>also be</w:t>
      </w:r>
      <w:r w:rsidRPr="009B2AED">
        <w:rPr>
          <w:rFonts w:ascii="Times New Roman" w:hAnsi="Times New Roman" w:cs="Times New Roman"/>
        </w:rPr>
        <w:t xml:space="preserve"> described in this way.</w:t>
      </w:r>
    </w:p>
    <w:p w14:paraId="055C6951" w14:textId="54AA3E61" w:rsidR="00FF5DD5" w:rsidRPr="009B2AED" w:rsidRDefault="00196E2F"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In th</w:t>
      </w:r>
      <w:r w:rsidR="00FF5DD5" w:rsidRPr="009B2AED">
        <w:rPr>
          <w:rFonts w:ascii="Times New Roman" w:hAnsi="Times New Roman" w:cs="Times New Roman"/>
        </w:rPr>
        <w:t>e</w:t>
      </w:r>
      <w:r w:rsidRPr="009B2AED">
        <w:rPr>
          <w:rFonts w:ascii="Times New Roman" w:hAnsi="Times New Roman" w:cs="Times New Roman"/>
        </w:rPr>
        <w:t xml:space="preserve"> case</w:t>
      </w:r>
      <w:r w:rsidR="00FF5DD5" w:rsidRPr="009B2AED">
        <w:rPr>
          <w:rFonts w:ascii="Times New Roman" w:hAnsi="Times New Roman" w:cs="Times New Roman"/>
        </w:rPr>
        <w:t xml:space="preserve"> in which</w:t>
      </w:r>
      <w:r w:rsidR="005661D6" w:rsidRPr="009B2AED">
        <w:rPr>
          <w:rFonts w:ascii="Times New Roman" w:hAnsi="Times New Roman" w:cs="Times New Roman"/>
        </w:rPr>
        <w:t xml:space="preserve"> the deposition</w:t>
      </w:r>
      <w:r w:rsidRPr="009B2AED">
        <w:rPr>
          <w:rFonts w:ascii="Times New Roman" w:hAnsi="Times New Roman" w:cs="Times New Roman"/>
        </w:rPr>
        <w:t xml:space="preserve"> rate</w:t>
      </w:r>
      <w:r w:rsidR="005661D6" w:rsidRPr="009B2AED">
        <w:rPr>
          <w:rFonts w:ascii="Times New Roman" w:hAnsi="Times New Roman" w:cs="Times New Roman"/>
        </w:rPr>
        <w:t xml:space="preserve"> of the contaminant species </w:t>
      </w:r>
      <w:r w:rsidRPr="009B2AED">
        <w:rPr>
          <w:rFonts w:ascii="Times New Roman" w:hAnsi="Times New Roman" w:cs="Times New Roman"/>
        </w:rPr>
        <w:t>is constant with fixed</w:t>
      </w:r>
      <w:r w:rsidR="005661D6" w:rsidRPr="009B2AED">
        <w:rPr>
          <w:rFonts w:ascii="Times New Roman" w:hAnsi="Times New Roman" w:cs="Times New Roman"/>
        </w:rPr>
        <w:t xml:space="preserve"> </w:t>
      </w:r>
      <w:r w:rsidRPr="009B2AED">
        <w:rPr>
          <w:rFonts w:ascii="Times New Roman" w:hAnsi="Times New Roman" w:cs="Times New Roman"/>
        </w:rPr>
        <w:t>SOFC</w:t>
      </w:r>
      <w:r w:rsidR="005661D6" w:rsidRPr="009B2AED">
        <w:rPr>
          <w:rFonts w:ascii="Times New Roman" w:hAnsi="Times New Roman" w:cs="Times New Roman"/>
        </w:rPr>
        <w:t xml:space="preserve"> operating conditions (</w:t>
      </w:r>
      <w:r w:rsidR="00FF5DD5" w:rsidRPr="009B2AED">
        <w:rPr>
          <w:rFonts w:ascii="Times New Roman" w:hAnsi="Times New Roman" w:cs="Times New Roman"/>
        </w:rPr>
        <w:t>i.e.,</w:t>
      </w:r>
      <w:r w:rsidR="005661D6" w:rsidRPr="009B2AED">
        <w:rPr>
          <w:rFonts w:ascii="Times New Roman" w:hAnsi="Times New Roman" w:cs="Times New Roman"/>
        </w:rPr>
        <w:t xml:space="preserve"> current, temperature, etc.)</w:t>
      </w:r>
      <w:r w:rsidRPr="009B2AED">
        <w:rPr>
          <w:rFonts w:ascii="Times New Roman" w:hAnsi="Times New Roman" w:cs="Times New Roman"/>
        </w:rPr>
        <w:t xml:space="preserve">, the </w:t>
      </w:r>
      <w:r w:rsidR="005661D6" w:rsidRPr="009B2AED">
        <w:rPr>
          <w:rFonts w:ascii="Times New Roman" w:hAnsi="Times New Roman" w:cs="Times New Roman"/>
        </w:rPr>
        <w:t>degradation rate</w:t>
      </w:r>
      <w:r w:rsidR="00FF5DD5" w:rsidRPr="009B2AED">
        <w:rPr>
          <w:rFonts w:ascii="Times New Roman" w:hAnsi="Times New Roman" w:cs="Times New Roman"/>
        </w:rPr>
        <w:t xml:space="preserve"> also</w:t>
      </w:r>
      <w:r w:rsidR="005661D6" w:rsidRPr="009B2AED">
        <w:rPr>
          <w:rFonts w:ascii="Times New Roman" w:hAnsi="Times New Roman" w:cs="Times New Roman"/>
        </w:rPr>
        <w:t xml:space="preserve"> assumes a constant value and the ASR evolution (see Equation 2) is linear over time.</w:t>
      </w:r>
      <w:r w:rsidRPr="009B2AED">
        <w:rPr>
          <w:rFonts w:ascii="Times New Roman" w:hAnsi="Times New Roman" w:cs="Times New Roman"/>
        </w:rPr>
        <w:t xml:space="preserve"> This is the case of </w:t>
      </w:r>
      <w:r w:rsidR="00FF5DD5" w:rsidRPr="009B2AED">
        <w:rPr>
          <w:rFonts w:ascii="Times New Roman" w:hAnsi="Times New Roman" w:cs="Times New Roman"/>
        </w:rPr>
        <w:t>poisoni</w:t>
      </w:r>
      <w:r w:rsidRPr="009B2AED">
        <w:rPr>
          <w:rFonts w:ascii="Times New Roman" w:hAnsi="Times New Roman" w:cs="Times New Roman"/>
        </w:rPr>
        <w:t>ng</w:t>
      </w:r>
      <w:r w:rsidR="00FF5DD5" w:rsidRPr="009B2AED">
        <w:rPr>
          <w:rFonts w:ascii="Times New Roman" w:hAnsi="Times New Roman" w:cs="Times New Roman"/>
        </w:rPr>
        <w:t xml:space="preserve"> </w:t>
      </w:r>
      <w:r w:rsidR="004147EE">
        <w:rPr>
          <w:rFonts w:ascii="Times New Roman" w:hAnsi="Times New Roman" w:cs="Times New Roman"/>
        </w:rPr>
        <w:t>micro-</w:t>
      </w:r>
      <w:r w:rsidR="004147EE" w:rsidRPr="009B2AED">
        <w:rPr>
          <w:rFonts w:ascii="Times New Roman" w:hAnsi="Times New Roman" w:cs="Times New Roman"/>
        </w:rPr>
        <w:t>silica</w:t>
      </w:r>
      <w:r w:rsidR="004147EE">
        <w:rPr>
          <w:rFonts w:ascii="Times New Roman" w:hAnsi="Times New Roman" w:cs="Times New Roman"/>
        </w:rPr>
        <w:t xml:space="preserve"> deposits</w:t>
      </w:r>
      <w:r w:rsidR="004147EE" w:rsidRPr="009B2AED">
        <w:rPr>
          <w:rFonts w:ascii="Times New Roman" w:hAnsi="Times New Roman" w:cs="Times New Roman"/>
        </w:rPr>
        <w:t xml:space="preserve"> </w:t>
      </w:r>
      <w:r w:rsidR="004147EE">
        <w:rPr>
          <w:rFonts w:ascii="Times New Roman" w:hAnsi="Times New Roman" w:cs="Times New Roman"/>
        </w:rPr>
        <w:t>from</w:t>
      </w:r>
      <w:r w:rsidR="00FF5DD5" w:rsidRPr="009B2AED">
        <w:rPr>
          <w:rFonts w:ascii="Times New Roman" w:hAnsi="Times New Roman" w:cs="Times New Roman"/>
        </w:rPr>
        <w:t xml:space="preserve"> siloxanes.</w:t>
      </w:r>
    </w:p>
    <w:p w14:paraId="454100C6" w14:textId="36668221" w:rsidR="00FF5DD5" w:rsidRPr="009B2AED" w:rsidRDefault="00111252" w:rsidP="009B2AED">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 xml:space="preserve">When the degradation rate is not a constant, </w:t>
      </w:r>
      <w:r w:rsidR="004147EE">
        <w:rPr>
          <w:rFonts w:ascii="Times New Roman" w:hAnsi="Times New Roman" w:cs="Times New Roman"/>
        </w:rPr>
        <w:t>rather it</w:t>
      </w:r>
      <w:r w:rsidRPr="009B2AED">
        <w:rPr>
          <w:rFonts w:ascii="Times New Roman" w:hAnsi="Times New Roman" w:cs="Times New Roman"/>
        </w:rPr>
        <w:t xml:space="preserve"> varies over the </w:t>
      </w:r>
      <w:r w:rsidR="004147EE">
        <w:rPr>
          <w:rFonts w:ascii="Times New Roman" w:hAnsi="Times New Roman" w:cs="Times New Roman"/>
        </w:rPr>
        <w:t>time,</w:t>
      </w:r>
      <w:r w:rsidRPr="009B2AED">
        <w:rPr>
          <w:rFonts w:ascii="Times New Roman" w:hAnsi="Times New Roman" w:cs="Times New Roman"/>
        </w:rPr>
        <w:t xml:space="preserve"> the ASR evolution is not linear. This is the case of carbon deposition; in fact, the rate of formation of carbon deposits progressively reduces over the time due to the coverage of Nickel sites that catalyze the deposition reactions. </w:t>
      </w:r>
      <w:r w:rsidRPr="00873410">
        <w:rPr>
          <w:rFonts w:ascii="Times New Roman" w:hAnsi="Times New Roman" w:cs="Times New Roman"/>
          <w:noProof/>
        </w:rPr>
        <w:t>It is worth noting that</w:t>
      </w:r>
      <w:r w:rsidR="00FF5DD5" w:rsidRPr="00873410">
        <w:rPr>
          <w:rFonts w:ascii="Times New Roman" w:hAnsi="Times New Roman" w:cs="Times New Roman"/>
          <w:noProof/>
        </w:rPr>
        <w:t xml:space="preserve"> in this case</w:t>
      </w:r>
      <w:r w:rsidRPr="00873410">
        <w:rPr>
          <w:rFonts w:ascii="Times New Roman" w:hAnsi="Times New Roman" w:cs="Times New Roman"/>
          <w:noProof/>
        </w:rPr>
        <w:t xml:space="preserve"> the</w:t>
      </w:r>
      <w:r w:rsidRPr="009B2AED">
        <w:rPr>
          <w:rFonts w:ascii="Times New Roman" w:hAnsi="Times New Roman" w:cs="Times New Roman"/>
        </w:rPr>
        <w:t xml:space="preserve"> </w:t>
      </w:r>
      <w:r w:rsidRPr="00873410">
        <w:rPr>
          <w:rFonts w:ascii="Times New Roman" w:hAnsi="Times New Roman" w:cs="Times New Roman"/>
          <w:noProof/>
        </w:rPr>
        <w:t>intrinsic</w:t>
      </w:r>
      <w:r w:rsidRPr="009B2AED">
        <w:rPr>
          <w:rFonts w:ascii="Times New Roman" w:hAnsi="Times New Roman" w:cs="Times New Roman"/>
        </w:rPr>
        <w:t xml:space="preserve"> degradation rate is a time-dependent indicator </w:t>
      </w:r>
      <w:r w:rsidR="00FF5DD5" w:rsidRPr="009B2AED">
        <w:rPr>
          <w:rFonts w:ascii="Times New Roman" w:hAnsi="Times New Roman" w:cs="Times New Roman"/>
        </w:rPr>
        <w:t>and</w:t>
      </w:r>
      <w:r w:rsidRPr="009B2AED">
        <w:rPr>
          <w:rFonts w:ascii="Times New Roman" w:hAnsi="Times New Roman" w:cs="Times New Roman"/>
        </w:rPr>
        <w:t xml:space="preserve"> must be intended as a function that describes the trend of the </w:t>
      </w:r>
      <w:r w:rsidRPr="00873410">
        <w:rPr>
          <w:rFonts w:ascii="Times New Roman" w:hAnsi="Times New Roman" w:cs="Times New Roman"/>
          <w:noProof/>
        </w:rPr>
        <w:t>degradation</w:t>
      </w:r>
      <w:r w:rsidRPr="009B2AED">
        <w:rPr>
          <w:rFonts w:ascii="Times New Roman" w:hAnsi="Times New Roman" w:cs="Times New Roman"/>
        </w:rPr>
        <w:t xml:space="preserve"> over the time.</w:t>
      </w:r>
    </w:p>
    <w:p w14:paraId="240DC324" w14:textId="2263845C" w:rsidR="00FF5DD5" w:rsidRPr="002F6841" w:rsidRDefault="00FF5DD5" w:rsidP="002F6841">
      <w:pPr>
        <w:pStyle w:val="EFCFText"/>
        <w:tabs>
          <w:tab w:val="left" w:pos="1797"/>
        </w:tabs>
        <w:spacing w:line="480" w:lineRule="auto"/>
        <w:rPr>
          <w:rFonts w:ascii="Times New Roman" w:hAnsi="Times New Roman" w:cs="Times New Roman"/>
        </w:rPr>
      </w:pPr>
      <w:r w:rsidRPr="009B2AED">
        <w:rPr>
          <w:rFonts w:ascii="Times New Roman" w:hAnsi="Times New Roman" w:cs="Times New Roman"/>
        </w:rPr>
        <w:t xml:space="preserve">For degradation mechanisms that involve a (partially reversible) deactivation of the Ni active area, the meaningful way to report degradation is to provide the observed voltage drop over initial </w:t>
      </w:r>
      <w:r w:rsidRPr="00873410">
        <w:rPr>
          <w:rFonts w:ascii="Times New Roman" w:hAnsi="Times New Roman" w:cs="Times New Roman"/>
          <w:noProof/>
        </w:rPr>
        <w:t>voltage</w:t>
      </w:r>
      <w:r w:rsidRPr="009B2AED">
        <w:rPr>
          <w:rFonts w:ascii="Times New Roman" w:hAnsi="Times New Roman" w:cs="Times New Roman"/>
        </w:rPr>
        <w:t>:</w:t>
      </w:r>
    </w:p>
    <w:tbl>
      <w:tblPr>
        <w:tblStyle w:val="Grigliatabella"/>
        <w:tblpPr w:leftFromText="141" w:rightFromText="141" w:vertAnchor="text" w:horzAnchor="margin" w:tblpY="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FF5DD5" w:rsidRPr="008E6A71" w14:paraId="6F1F1BD7" w14:textId="77777777" w:rsidTr="00694420">
        <w:tc>
          <w:tcPr>
            <w:tcW w:w="562" w:type="dxa"/>
            <w:vAlign w:val="center"/>
          </w:tcPr>
          <w:p w14:paraId="3F03FC4B" w14:textId="77777777" w:rsidR="00FF5DD5" w:rsidRDefault="00FF5DD5" w:rsidP="000676F7">
            <w:pPr>
              <w:pStyle w:val="EFCFText"/>
              <w:spacing w:before="240" w:after="240"/>
              <w:jc w:val="center"/>
            </w:pPr>
          </w:p>
        </w:tc>
        <w:tc>
          <w:tcPr>
            <w:tcW w:w="8505" w:type="dxa"/>
            <w:vAlign w:val="center"/>
          </w:tcPr>
          <w:p w14:paraId="16F29646" w14:textId="77777777" w:rsidR="00FF5DD5" w:rsidRDefault="00FF5DD5" w:rsidP="000676F7">
            <w:pPr>
              <w:pStyle w:val="EFCFText"/>
              <w:spacing w:before="240" w:after="240"/>
              <w:jc w:val="center"/>
            </w:pPr>
            <m:oMathPara>
              <m:oMath>
                <m:r>
                  <w:rPr>
                    <w:rFonts w:ascii="Cambria Math" w:hAnsi="Cambria Math"/>
                  </w:rPr>
                  <m:t>Δd=-</m:t>
                </m:r>
                <m:f>
                  <m:fPr>
                    <m:ctrlPr>
                      <w:rPr>
                        <w:rFonts w:ascii="Cambria Math" w:hAnsi="Cambria Math"/>
                        <w:i/>
                      </w:rPr>
                    </m:ctrlPr>
                  </m:fPr>
                  <m:num>
                    <m:r>
                      <w:rPr>
                        <w:rFonts w:ascii="Cambria Math" w:hAnsi="Cambria Math"/>
                      </w:rPr>
                      <m:t>ΔV</m:t>
                    </m:r>
                  </m:num>
                  <m:den>
                    <m:sSup>
                      <m:sSupPr>
                        <m:ctrlPr>
                          <w:rPr>
                            <w:rFonts w:ascii="Cambria Math" w:hAnsi="Cambria Math"/>
                            <w:i/>
                          </w:rPr>
                        </m:ctrlPr>
                      </m:sSupPr>
                      <m:e>
                        <m:r>
                          <w:rPr>
                            <w:rFonts w:ascii="Cambria Math" w:hAnsi="Cambria Math"/>
                          </w:rPr>
                          <m:t>V</m:t>
                        </m:r>
                      </m:e>
                      <m:sup>
                        <m:r>
                          <w:rPr>
                            <w:rFonts w:ascii="Cambria Math" w:hAnsi="Cambria Math"/>
                          </w:rPr>
                          <m:t>0</m:t>
                        </m:r>
                      </m:sup>
                    </m:sSup>
                  </m:den>
                </m:f>
              </m:oMath>
            </m:oMathPara>
          </w:p>
        </w:tc>
        <w:tc>
          <w:tcPr>
            <w:tcW w:w="561" w:type="dxa"/>
            <w:vAlign w:val="center"/>
          </w:tcPr>
          <w:p w14:paraId="737BCAC7" w14:textId="77777777" w:rsidR="00FF5DD5" w:rsidRPr="000676F7" w:rsidRDefault="00FF5DD5" w:rsidP="000676F7">
            <w:pPr>
              <w:pStyle w:val="EFCFText"/>
              <w:spacing w:before="240" w:after="240"/>
              <w:jc w:val="center"/>
              <w:rPr>
                <w:rFonts w:ascii="Times New Roman" w:hAnsi="Times New Roman" w:cs="Times New Roman"/>
              </w:rPr>
            </w:pPr>
            <w:r w:rsidRPr="000676F7">
              <w:rPr>
                <w:rFonts w:ascii="Times New Roman" w:hAnsi="Times New Roman" w:cs="Times New Roman"/>
              </w:rPr>
              <w:t>(5)</w:t>
            </w:r>
          </w:p>
        </w:tc>
      </w:tr>
    </w:tbl>
    <w:p w14:paraId="177C0882" w14:textId="77777777" w:rsidR="00FF5DD5" w:rsidRDefault="00FF5DD5" w:rsidP="000676F7">
      <w:pPr>
        <w:pStyle w:val="EFCFText"/>
        <w:tabs>
          <w:tab w:val="left" w:pos="1797"/>
        </w:tabs>
        <w:spacing w:before="240" w:after="240"/>
        <w:rPr>
          <w:sz w:val="23"/>
          <w:szCs w:val="23"/>
        </w:rPr>
      </w:pPr>
    </w:p>
    <w:p w14:paraId="0C5F3161" w14:textId="1099051A" w:rsidR="00196E2F" w:rsidRDefault="00FF5DD5" w:rsidP="00EB3919">
      <w:pPr>
        <w:pStyle w:val="EFCFText"/>
        <w:tabs>
          <w:tab w:val="left" w:pos="1797"/>
        </w:tabs>
        <w:spacing w:line="480" w:lineRule="auto"/>
        <w:rPr>
          <w:rFonts w:ascii="Times New Roman" w:hAnsi="Times New Roman" w:cs="Times New Roman"/>
        </w:rPr>
      </w:pPr>
      <w:r w:rsidRPr="000676F7">
        <w:rPr>
          <w:rFonts w:ascii="Times New Roman" w:hAnsi="Times New Roman" w:cs="Times New Roman"/>
        </w:rPr>
        <w:t>This is the case of contamination from H</w:t>
      </w:r>
      <w:r w:rsidRPr="000676F7">
        <w:rPr>
          <w:rFonts w:ascii="Times New Roman" w:hAnsi="Times New Roman" w:cs="Times New Roman"/>
          <w:vertAlign w:val="subscript"/>
        </w:rPr>
        <w:t>2</w:t>
      </w:r>
      <w:r w:rsidRPr="000676F7">
        <w:rPr>
          <w:rFonts w:ascii="Times New Roman" w:hAnsi="Times New Roman" w:cs="Times New Roman"/>
        </w:rPr>
        <w:t xml:space="preserve">S, </w:t>
      </w:r>
      <w:r w:rsidRPr="00873410">
        <w:rPr>
          <w:rFonts w:ascii="Times New Roman" w:hAnsi="Times New Roman" w:cs="Times New Roman"/>
          <w:noProof/>
        </w:rPr>
        <w:t>HCl</w:t>
      </w:r>
      <w:r w:rsidR="00873410">
        <w:rPr>
          <w:rFonts w:ascii="Times New Roman" w:hAnsi="Times New Roman" w:cs="Times New Roman"/>
          <w:noProof/>
        </w:rPr>
        <w:t>,</w:t>
      </w:r>
      <w:r w:rsidRPr="000676F7">
        <w:rPr>
          <w:rFonts w:ascii="Times New Roman" w:hAnsi="Times New Roman" w:cs="Times New Roman"/>
        </w:rPr>
        <w:t xml:space="preserve"> and </w:t>
      </w:r>
      <w:r w:rsidRPr="00873410">
        <w:rPr>
          <w:rFonts w:ascii="Times New Roman" w:hAnsi="Times New Roman" w:cs="Times New Roman"/>
          <w:noProof/>
        </w:rPr>
        <w:t>tars</w:t>
      </w:r>
      <w:r w:rsidRPr="000676F7">
        <w:rPr>
          <w:rFonts w:ascii="Times New Roman" w:hAnsi="Times New Roman" w:cs="Times New Roman"/>
        </w:rPr>
        <w:t xml:space="preserve">, which might be </w:t>
      </w:r>
      <w:r w:rsidRPr="00873410">
        <w:rPr>
          <w:rFonts w:ascii="Times New Roman" w:hAnsi="Times New Roman" w:cs="Times New Roman"/>
          <w:noProof/>
        </w:rPr>
        <w:t xml:space="preserve">responsible </w:t>
      </w:r>
      <w:r w:rsidR="00873410">
        <w:rPr>
          <w:rFonts w:ascii="Times New Roman" w:hAnsi="Times New Roman" w:cs="Times New Roman"/>
          <w:noProof/>
        </w:rPr>
        <w:t>for</w:t>
      </w:r>
      <w:r w:rsidRPr="000676F7">
        <w:rPr>
          <w:rFonts w:ascii="Times New Roman" w:hAnsi="Times New Roman" w:cs="Times New Roman"/>
        </w:rPr>
        <w:t xml:space="preserve"> a sudden voltage drop due to coverage of Ni atoms. The same contaminants, if present in the anode feed for </w:t>
      </w:r>
      <w:r w:rsidRPr="000676F7">
        <w:rPr>
          <w:rFonts w:ascii="Times New Roman" w:hAnsi="Times New Roman" w:cs="Times New Roman"/>
        </w:rPr>
        <w:lastRenderedPageBreak/>
        <w:t xml:space="preserve">prolonged periods, can produce irreversible degradation that should be reported in terms of </w:t>
      </w:r>
      <w:r w:rsidRPr="00873410">
        <w:rPr>
          <w:rFonts w:ascii="Times New Roman" w:hAnsi="Times New Roman" w:cs="Times New Roman"/>
          <w:noProof/>
        </w:rPr>
        <w:t>intrinsic</w:t>
      </w:r>
      <w:r w:rsidRPr="000676F7">
        <w:rPr>
          <w:rFonts w:ascii="Times New Roman" w:hAnsi="Times New Roman" w:cs="Times New Roman"/>
        </w:rPr>
        <w:t xml:space="preserve"> degradation rate instead.</w:t>
      </w:r>
    </w:p>
    <w:p w14:paraId="3AF61B06" w14:textId="77777777" w:rsidR="00EB3919" w:rsidRPr="000676F7" w:rsidRDefault="00EB3919" w:rsidP="00EB3919">
      <w:pPr>
        <w:pStyle w:val="EFCFText"/>
        <w:tabs>
          <w:tab w:val="left" w:pos="1797"/>
        </w:tabs>
        <w:spacing w:line="480" w:lineRule="auto"/>
        <w:rPr>
          <w:rFonts w:ascii="Times New Roman" w:hAnsi="Times New Roman" w:cs="Times New Roman"/>
        </w:rPr>
      </w:pPr>
    </w:p>
    <w:p w14:paraId="0E778548" w14:textId="77777777" w:rsidR="00EB3919" w:rsidRPr="00EB3919" w:rsidRDefault="00EB3919" w:rsidP="00EB3919">
      <w:pPr>
        <w:pStyle w:val="EFCFText"/>
        <w:tabs>
          <w:tab w:val="left" w:pos="1797"/>
        </w:tabs>
        <w:spacing w:line="480" w:lineRule="auto"/>
        <w:rPr>
          <w:rFonts w:ascii="Times New Roman" w:hAnsi="Times New Roman" w:cs="Times New Roman"/>
          <w:b/>
        </w:rPr>
      </w:pPr>
      <w:r w:rsidRPr="00EB3919">
        <w:rPr>
          <w:rFonts w:ascii="Times New Roman" w:hAnsi="Times New Roman" w:cs="Times New Roman"/>
          <w:b/>
        </w:rPr>
        <w:t>3 Experiments</w:t>
      </w:r>
    </w:p>
    <w:p w14:paraId="1A40D54E" w14:textId="16FACA65" w:rsidR="00EB3919" w:rsidRPr="00EB3919" w:rsidRDefault="00EB3919" w:rsidP="00EB3919">
      <w:pPr>
        <w:pStyle w:val="EFCFText"/>
        <w:spacing w:line="480" w:lineRule="auto"/>
        <w:rPr>
          <w:rFonts w:ascii="Times New Roman" w:hAnsi="Times New Roman" w:cs="Times New Roman"/>
        </w:rPr>
      </w:pPr>
      <w:r w:rsidRPr="00EB3919">
        <w:rPr>
          <w:rFonts w:ascii="Times New Roman" w:hAnsi="Times New Roman" w:cs="Times New Roman"/>
        </w:rPr>
        <w:t xml:space="preserve">A detailed description of experimental </w:t>
      </w:r>
      <w:r w:rsidRPr="00873410">
        <w:rPr>
          <w:rFonts w:ascii="Times New Roman" w:hAnsi="Times New Roman" w:cs="Times New Roman"/>
          <w:noProof/>
        </w:rPr>
        <w:t>test-rigs</w:t>
      </w:r>
      <w:r w:rsidRPr="00EB3919">
        <w:rPr>
          <w:rFonts w:ascii="Times New Roman" w:hAnsi="Times New Roman" w:cs="Times New Roman"/>
        </w:rPr>
        <w:t xml:space="preserve"> can be found in our previous works </w:t>
      </w:r>
      <w:r w:rsidRPr="00EB3919">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"10.1016/j.jpowsour.2015.01.053", "ISSN" : "03787753", "abstract" : "Lifetime and durability issues connected with Solid Oxide Fuel Cell (SOFC) technology are strongly related to the amount of contaminants that reach the stack. In this study the focus is on organic silicon compounds (siloxanes) and their highly detrimental effects on the performance of SOFC Ni-YSZ anodes. The involved mechanism of degradation is clarified and quantified through several test runs and subsequent post-mortem analysis on tested samples. In particular, experiments on both Ni anode-supported single cells and 11-cell- stacks are performed, co-feeding D4-siloxane (octamethylcyclotetrasiloxane, C8H24O4Si4) as model compound for the organic silicon species which are generally found in sewage biogas. High degradation rates are observed already at ppb(v) level of contaminant in the fuel stream. Post-test analysis revealed that Si (as silica) is mostly deposited at the inlet of the fuel channel on both the interconnect and the anode side of the cell suggesting a relatively fast condensation-type process. Deposition of the Si was found on the interconnect and on the anode contact layer, throughout the anode support and the three phase boundary in the anode, correlating with the observed increase of polarization losses from the EIS analysis of tested cells.", "author" : [ { "dropping-particle" : "", "family" : "Madi", "given" : "Hossein", "non-dropping-particle" : "", "parse-names" : false, "suffix" : "" }, { "dropping-particle" : "", "family" : "Lanzini", "given" : "Andrea", "non-dropping-particle" : "", "parse-names" : false, "suffix" : "" }, { "dropping-particle" : "", "family" : "Diethelm", "given" : "Stefan", "non-dropping-particle" : "", "parse-names" : false, "suffix" : "" }, { "dropping-particle" : "", "family" : "Papurello", "given" : "Davide", "non-dropping-particle" : "", "parse-names" : false, "suffix" : "" }, { "dropping-particle" : "", "family" : "herle", "given" : "Jan", "non-dropping-particle" : "Van", "parse-names" : false, "suffix" : "" }, { "dropping-particle" : "", "family" : "Lualdi", "given" : "Matteo", "non-dropping-particle" : "", "parse-names" : false, "suffix" : "" }, { "dropping-particle" : "", "family" : "Gutzon Larsen", "given" : "J\u00f8rgen", "non-dropping-particle" : "", "parse-names" : false, "suffix" : "" }, { "dropping-particle" : "", "family" : "Santarelli", "given" : "Massimo", "non-dropping-particle" : "", "parse-names" : false, "suffix" : "" } ], "container-title" : "Journal of Power Sources", "id" : "ITEM-1", "issued" : { "date-parts" : [ [ "2015", "4" ] ] }, "page" : "460-471", "title" : "Solid oxide fuel cell anode degradation by the effect of siloxanes", "type" : "article-journal", "volume" : "279" }, "uris" : [ "http://www.mendeley.com/documents/?uuid=badf5f3c-4156-495a-bdf7-20e34661bce9" ] }, { "id" : "ITEM-2", "itemData" : { "DOI" : "10.1016/j.cej.2013.01.003", "ISSN" : "13858947", "abstract" : "The present work investigates the performance and degradation mechanisms of a Ni-based anode supported Solid Oxides Fuel Cells (SOFC) operating at \u223c800\u00b0C on direct internal reforming of dry CH4-CO2 mixtures. The catalytic properties of the anode support were first studied in a micro-reactor configuration to determine safe conditions (i.e., without carbon formation) under which a dry conversion of the methane can occur directly within the fuel cell. A full electrochemical characterization of complete cells followed to preliminarily assess their resistance towards carbon formation when operating on direct dry-reforming. Ageing tests of \u223c300h each have been performed in galvanostatic mode, with impedance spectra taken every 50h of continuous operation to monitor the trend over the time of the different polarization contributions. Post-mortem microstructural analysis was carried out after each experiment to verify the morphology and nucleation of carbon deposited in the anode electrode. \u00a9 2013 Elsevier B.V..", "author" : [ { "dropping-particle" : "", "family" : "Lanzini", "given" : "a.", "non-dropping-particle" : "", "parse-names" : false, "suffix" : "" }, { "dropping-particle" : "", "family" : "Leone", "given" : "P.", "non-dropping-particle" : "", "parse-names" : false, "suffix" : "" }, { "dropping-particle" : "", "family" : "Guerra", "given" : "C.", "non-dropping-particle" : "", "parse-names" : false, "suffix" : "" }, { "dropping-particle" : "", "family" : "Smeacetto", "given" : "F.", "non-dropping-particle" : "", "parse-names" : false, "suffix" : "" }, { "dropping-particle" : "", "family" : "Brandon", "given" : "N.P. P.", "non-dropping-particle" : "", "parse-names" : false, "suffix" : "" }, { "dropping-particle" : "", "family" : "Santarelli", "given" : "M.", "non-dropping-particle" : "", "parse-names" : false, "suffix" : "" } ], "container-title" : "Chemical Engineering Journal", "id" : "ITEM-2", "issued" : { "date-parts" : [ [ "2013", "3" ] ] }, "page" : "254-263", "title" : "Durability of anode supported Solid Oxides Fuel Cells (SOFC) under direct dry-reforming of methane", "type" : "article-journal", "volume" : "220" }, "uris" : [ "http://www.mendeley.com/documents/?uuid=67a960ad-056e-45fd-9da5-a288759a962d" ] } ], "mendeley" : { "formattedCitation" : "[19,26]", "plainTextFormattedCitation" : "[19,26]", "previouslyFormattedCitation" : "[19,26]" }, "properties" : { "noteIndex" : 0 }, "schema" : "https://github.com/citation-style-language/schema/raw/master/csl-citation.json" }</w:instrText>
      </w:r>
      <w:r w:rsidRPr="00EB3919">
        <w:rPr>
          <w:rFonts w:ascii="Times New Roman" w:hAnsi="Times New Roman" w:cs="Times New Roman"/>
        </w:rPr>
        <w:fldChar w:fldCharType="separate"/>
      </w:r>
      <w:r w:rsidR="001C1C39" w:rsidRPr="001C1C39">
        <w:rPr>
          <w:rFonts w:ascii="Times New Roman" w:hAnsi="Times New Roman" w:cs="Times New Roman"/>
          <w:noProof/>
        </w:rPr>
        <w:t>[19,26]</w:t>
      </w:r>
      <w:r w:rsidRPr="00EB3919">
        <w:rPr>
          <w:rFonts w:ascii="Times New Roman" w:hAnsi="Times New Roman" w:cs="Times New Roman"/>
        </w:rPr>
        <w:fldChar w:fldCharType="end"/>
      </w:r>
      <w:r w:rsidRPr="00EB3919">
        <w:rPr>
          <w:rFonts w:ascii="Times New Roman" w:hAnsi="Times New Roman" w:cs="Times New Roman"/>
        </w:rPr>
        <w:t xml:space="preserve">. </w:t>
      </w:r>
    </w:p>
    <w:p w14:paraId="4443C303" w14:textId="36600CA8" w:rsidR="00EB3919" w:rsidRDefault="00EB3919" w:rsidP="00EB3919">
      <w:pPr>
        <w:pStyle w:val="EFCFText"/>
        <w:spacing w:line="480" w:lineRule="auto"/>
        <w:rPr>
          <w:rFonts w:ascii="Times New Roman" w:hAnsi="Times New Roman" w:cs="Times New Roman"/>
        </w:rPr>
      </w:pPr>
      <w:r w:rsidRPr="00EB3919">
        <w:rPr>
          <w:rFonts w:ascii="Times New Roman" w:hAnsi="Times New Roman" w:cs="Times New Roman"/>
        </w:rPr>
        <w:t>Raw experimental data for degradation calculation in the presence of siloxanes were taken from Ref</w:t>
      </w:r>
      <w:r w:rsidR="001C1C39">
        <w:rPr>
          <w:rFonts w:ascii="Times New Roman" w:hAnsi="Times New Roman" w:cs="Times New Roman"/>
        </w:rPr>
        <w:t>s</w:t>
      </w:r>
      <w:r w:rsidRPr="00EB3919">
        <w:rPr>
          <w:rFonts w:ascii="Times New Roman" w:hAnsi="Times New Roman" w:cs="Times New Roman"/>
        </w:rPr>
        <w:t xml:space="preserve">. </w:t>
      </w:r>
      <w:r w:rsidR="001C1C39">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"10.1016/j.jpowsour.2015.01.053", "ISSN" : "03787753", "abstract" : "Lifetime and durability issues connected with Solid Oxide Fuel Cell (SOFC) technology are strongly related to the amount of contaminants that reach the stack. In this study the focus is on organic silicon compounds (siloxanes) and their highly detrimental effects on the performance of SOFC Ni-YSZ anodes. The involved mechanism of degradation is clarified and quantified through several test runs and subsequent post-mortem analysis on tested samples. In particular, experiments on both Ni anode-supported single cells and 11-cell- stacks are performed, co-feeding D4-siloxane (octamethylcyclotetrasiloxane, C8H24O4Si4) as model compound for the organic silicon species which are generally found in sewage biogas. High degradation rates are observed already at ppb(v) level of contaminant in the fuel stream. Post-test analysis revealed that Si (as silica) is mostly deposited at the inlet of the fuel channel on both the interconnect and the anode side of the cell suggesting a relatively fast condensation-type process. Deposition of the Si was found on the interconnect and on the anode contact layer, throughout the anode support and the three phase boundary in the anode, correlating with the observed increase of polarization losses from the EIS analysis of tested cells.", "author" : [ { "dropping-particle" : "", "family" : "Madi", "given" : "Hossein", "non-dropping-particle" : "", "parse-names" : false, "suffix" : "" }, { "dropping-particle" : "", "family" : "Lanzini", "given" : "Andrea", "non-dropping-particle" : "", "parse-names" : false, "suffix" : "" }, { "dropping-particle" : "", "family" : "Diethelm", "given" : "Stefan", "non-dropping-particle" : "", "parse-names" : false, "suffix" : "" }, { "dropping-particle" : "", "family" : "Papurello", "given" : "Davide", "non-dropping-particle" : "", "parse-names" : false, "suffix" : "" }, { "dropping-particle" : "", "family" : "herle", "given" : "Jan", "non-dropping-particle" : "Van", "parse-names" : false, "suffix" : "" }, { "dropping-particle" : "", "family" : "Lualdi", "given" : "Matteo", "non-dropping-particle" : "", "parse-names" : false, "suffix" : "" }, { "dropping-particle" : "", "family" : "Gutzon Larsen", "given" : "J\u00f8rgen", "non-dropping-particle" : "", "parse-names" : false, "suffix" : "" }, { "dropping-particle" : "", "family" : "Santarelli", "given" : "Massimo", "non-dropping-particle" : "", "parse-names" : false, "suffix" : "" } ], "container-title" : "Journal of Power Sources", "id" : "ITEM-1", "issued" : { "date-parts" : [ [ "2015", "4" ] ] }, "page" : "460-471", "title" : "Solid oxide fuel cell anode degradation by the effect of siloxanes", "type" : "article-journal", "volume" : "279" }, "uris" : [ "http://www.mendeley.com/documents/?uuid=badf5f3c-4156-495a-bdf7-20e34661bce9" ] }, { "id" : "ITEM-2", "itemData" : { "DOI" : "10.1016/j.energy.2015.11.070", "ISSN" : "03605442", "abstract" : "The present work investigates the performance of anode supported solid oxide fuel cells under the influence of different trace compounds. EIS (Electrochemical impedance spectroscopy) has been used to deconvolute the impedance spectra of an SOFC (Solid Oxide Fuel Cell) in order to identify the main losses. The impact of single and double contaminants on the SOFC performance has also been investigated. Typical biogas trace contaminants, obtained after a clean-up stage, such as sulfur, chlorine, aromatic compounds and siloxanes, have been taken into consideration. The results show how the ohmic contribution is almost independent of the H2S concentration. H2S acts mainly on the polarization losses and especially on the mass transport resistance. The impact of HCl on the SOFC performance is mainly connected to the charge transfer process. D4, as the model compound for siloxanes, already acts on SOFC performance at ppb(v) levels. The polarization losses have been influenced the most, and the largest increase has been recorded for the low frequency term, Rlow, related to the mass transport resistance for naphthalene and toluene. H2S, introduced with other contaminants, causes the instantaneous deterioration of the SOFC performance and the more the types of contaminants co-fed to the SOFC, the larger the initial anode degradation.", "author" : [ { "dropping-particle" : "", "family" : "Papurello", "given" : "Davide", "non-dropping-particle" : "", "parse-names" : false, "suffix" : "" }, { "dropping-particle" : "", "family" : "Lanzini", "given" : "Andrea", "non-dropping-particle" : "", "parse-names" : false, "suffix" : "" }, { "dropping-particle" : "", "family" : "Drago", "given" : "Davide", "non-dropping-particle" : "", "parse-names" : false, "suffix" : "" }, { "dropping-particle" : "", "family" : "Leone", "given" : "Pierluigi", "non-dropping-particle" : "", "parse-names" : false, "suffix" : "" }, { "dropping-particle" : "", "family" : "Santarelli", "given" : "Massimo", "non-dropping-particle" : "", "parse-names" : false, "suffix" : "" } ], "container-title" : "Energy", "id" : "ITEM-2", "issued" : { "date-parts" : [ [ "2016", "1" ] ] }, "page" : "67-78", "title" : "Limiting factors for planar solid oxide fuel cells under different trace compound concentrations", "type" : "article-journal", "volume" : "95" }, "uris" : [ "http://www.mendeley.com/documents/?uuid=25277666-a443-4895-9fb2-58909aa3d335" ] } ], "mendeley" : { "formattedCitation" : "[19,27]", "plainTextFormattedCitation" : "[19,27]", "previouslyFormattedCitation" : "[19,27]" }, "properties" : { "noteIndex" : 0 }, "schema" : "https://github.com/citation-style-language/schema/raw/master/csl-citation.json" }</w:instrText>
      </w:r>
      <w:r w:rsidR="001C1C39">
        <w:rPr>
          <w:rFonts w:ascii="Times New Roman" w:hAnsi="Times New Roman" w:cs="Times New Roman"/>
        </w:rPr>
        <w:fldChar w:fldCharType="separate"/>
      </w:r>
      <w:r w:rsidR="001C1C39" w:rsidRPr="001C1C39">
        <w:rPr>
          <w:rFonts w:ascii="Times New Roman" w:hAnsi="Times New Roman" w:cs="Times New Roman"/>
          <w:noProof/>
        </w:rPr>
        <w:t>[19,27]</w:t>
      </w:r>
      <w:r w:rsidR="001C1C39">
        <w:rPr>
          <w:rFonts w:ascii="Times New Roman" w:hAnsi="Times New Roman" w:cs="Times New Roman"/>
        </w:rPr>
        <w:fldChar w:fldCharType="end"/>
      </w:r>
      <w:r w:rsidRPr="00EB3919">
        <w:rPr>
          <w:rFonts w:ascii="Times New Roman" w:hAnsi="Times New Roman" w:cs="Times New Roman"/>
        </w:rPr>
        <w:t>. Data for H</w:t>
      </w:r>
      <w:r w:rsidRPr="00EB3919">
        <w:rPr>
          <w:rFonts w:ascii="Times New Roman" w:hAnsi="Times New Roman" w:cs="Times New Roman"/>
          <w:vertAlign w:val="subscript"/>
        </w:rPr>
        <w:t>2</w:t>
      </w:r>
      <w:r w:rsidRPr="00EB3919">
        <w:rPr>
          <w:rFonts w:ascii="Times New Roman" w:hAnsi="Times New Roman" w:cs="Times New Roman"/>
        </w:rPr>
        <w:t>S contamination have been taken from Ref</w:t>
      </w:r>
      <w:r w:rsidR="001C1C39">
        <w:rPr>
          <w:rFonts w:ascii="Times New Roman" w:hAnsi="Times New Roman" w:cs="Times New Roman"/>
        </w:rPr>
        <w:t>s</w:t>
      </w:r>
      <w:r w:rsidRPr="00EB3919">
        <w:rPr>
          <w:rFonts w:ascii="Times New Roman" w:hAnsi="Times New Roman" w:cs="Times New Roman"/>
        </w:rPr>
        <w:t xml:space="preserve">. </w:t>
      </w:r>
      <w:r w:rsidRPr="00EB3919">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"10.1016/j.cej.2015.08.091", "ISSN" : "13858947", "abstract" : "The most thermodynamically stable sulfur compound in the anode electrode at SOFC temperature is H2S, which dissociates on a nickel (Ni) surface according to a chemisorption mechanism. In this study, SOFC performance losses have been quantified in the presence of H2S contamination. The deactivation process has been well quantified by correlating it to Ni surface coverage by sulfur through a Temkin-like isotherm adsorption process. The detailed microscopic features of an Ni-based electrode have been taken into account to quantitatively predict atomic sulfur adsorption on the Ni surface. The results show that, in anode-supported cells, the entire available Ni surface is affected by sulfur contamination and not just the three-phase-boundary (TPB) region. Experiments on both commercial single-cells and on a stack have been described in this work. The H2S concentration was varied from 0.8 to 6.5ppm(v) in the single-cell experiments, and between 0.01 and 25ppm(v) in the stack experiment. The time-to-coverage evaluation has been established on the basis of the relationship between the sulfur capacity of the Ni anode and the sulfur flow rate through the fuel feed.", "author" : [ { "dropping-particle" : "", "family" : "Papurello", "given" : "Davide", "non-dropping-particle" : "", "parse-names" : false, "suffix" : "" }, { "dropping-particle" : "", "family" : "Lanzini", "given" : "Andrea", "non-dropping-particle" : "", "parse-names" : false, "suffix" : "" }, { "dropping-particle" : "", "family" : "Fiorilli", "given" : "Sonia", "non-dropping-particle" : "", "parse-names" : false, "suffix" : "" }, { "dropping-particle" : "", "family" : "Smeacetto", "given" : "Federico", "non-dropping-particle" : "", "parse-names" : false, "suffix" : "" }, { "dropping-particle" : "", "family" : "Singh", "given" : "Rahul", "non-dropping-particle" : "", "parse-names" : false, "suffix" : "" }, { "dropping-particle" : "", "family" : "Santarelli", "given" : "Massimo", "non-dropping-particle" : "", "parse-names" : false, "suffix" : "" } ], "container-title" : "Chemical Engineering Journal", "id" : "ITEM-1", "issued" : { "date-parts" : [ [ "2016", "1" ] ] }, "page" : "1224-1233", "title" : "Sulfur poisoning in Ni-anode solid oxide fuel cells (SOFCs): Deactivation in single cells and a stack", "type" : "article-journal", "volume" : "283" }, "uris" : [ "http://www.mendeley.com/documents/?uuid=335d337d-1b06-413c-9259-acf98e4e84a5", "http://www.mendeley.com/documents/?uuid=f952f3d5-fa74-4481-8745-a4681c7bfc35" ] }, { "id" : "ITEM-2", "itemData" : { "DOI" : "10.1016/j.energy.2015.11.070", "ISSN" : "03605442", "abstract" : "The present work investigates the performance of anode supported solid oxide fuel cells under the influence of different trace compounds. EIS (Electrochemical impedance spectroscopy) has been used to deconvolute the impedance spectra of an SOFC (Solid Oxide Fuel Cell) in order to identify the main losses. The impact of single and double contaminants on the SOFC performance has also been investigated. Typical biogas trace contaminants, obtained after a clean-up stage, such as sulfur, chlorine, aromatic compounds and siloxanes, have been taken into consideration. The results show how the ohmic contribution is almost independent of the H2S concentration. H2S acts mainly on the polarization losses and especially on the mass transport resistance. The impact of HCl on the SOFC performance is mainly connected to the charge transfer process. D4, as the model compound for siloxanes, already acts on SOFC performance at ppb(v) levels. The polarization losses have been influenced the most, and the largest increase has been recorded for the low frequency term, Rlow, related to the mass transport resistance for naphthalene and toluene. H2S, introduced with other contaminants, causes the instantaneous deterioration of the SOFC performance and the more the types of contaminants co-fed to the SOFC, the larger the initial anode degradation.", "author" : [ { "dropping-particle" : "", "family" : "Papurello", "given" : "Davide", "non-dropping-particle" : "", "parse-names" : false, "suffix" : "" }, { "dropping-particle" : "", "family" : "Lanzini", "given" : "Andrea", "non-dropping-particle" : "", "parse-names" : false, "suffix" : "" }, { "dropping-particle" : "", "family" : "Drago", "given" : "Davide", "non-dropping-particle" : "", "parse-names" : false, "suffix" : "" }, { "dropping-particle" : "", "family" : "Leone", "given" : "Pierluigi", "non-dropping-particle" : "", "parse-names" : false, "suffix" : "" }, { "dropping-particle" : "", "family" : "Santarelli", "given" : "Massimo", "non-dropping-particle" : "", "parse-names" : false, "suffix" : "" } ], "container-title" : "Energy", "id" : "ITEM-2", "issued" : { "date-parts" : [ [ "2016", "1" ] ] }, "page" : "67-78", "title" : "Limiting factors for planar solid oxide fuel cells under different trace compound concentrations", "type" : "article-journal", "volume" : "95" }, "uris" : [ "http://www.mendeley.com/documents/?uuid=25277666-a443-4895-9fb2-58909aa3d335" ] }, { "id" : "ITEM-3", "itemData" : { "DOI" : "10.1016/j.wasman.2014.06.017", "ISSN" : "1879-2456", "PMID" : "25081854", "abstract" : "The present work investigates electricity production using a high efficiency electrochemical generator that employs as fuel a biogas from the dry anaerobic digestion of the organic fraction of municipal solid waste (OFMSW). The as-produced biogas contains several contaminants (sulfur, halogen, organic silicon and aromatic compounds) that can be harmful for the fuel cell: these were monitored via an innovative mass spectrometry technique that enables for in-line and real-time quantification. A cleaning trap with activated carbons for the removal of sulfur and other VOCs contained in the biogas was also tested and monitored by observing the different breakthrough times of studied contaminants. The electrochemical generator was a commercial Ni anode-supported planar Solid Oxide Fuel Cell (SOFC), tested for more than 300 h with a simulated biogas mixture (CH4 60 vol.%, CO2 40 vol.%), directly fed to the anode electrode. Air was added to promote the direct internal conversion of CH4 to H2 and CO via partial oxidation (POx). The initial breakthrough of H2S from the cleaning section was also simulated and tested by adding \u223c1 ppm(v) of sulfur in the anode feed; a full recovery of the fuel cell performance after 24 h of sulfur exposure (\u223c1 ppm(v)) was observed upon its removal, indicating the reliable time of anode exposure to sulfur in case of exhausted guard bed. \u00a9 2014 Elsevier Ltd. All rights reserved.", "author" : [ { "dropping-particle" : "", "family" : "Papurello", "given" : "Davide", "non-dropping-particle" : "", "parse-names" : false, "suffix" : "" }, { "dropping-particle" : "", "family" : "Lanzini", "given" : "Andrea", "non-dropping-particle" : "", "parse-names" : false, "suffix" : "" }, { "dropping-particle" : "", "family" : "Leone", "given" : "Pierluigi", "non-dropping-particle" : "", "parse-names" : false, "suffix" : "" }, { "dropping-particle" : "", "family" : "Santarelli", "given" : "Massimo", "non-dropping-particle" : "", "parse-names" : false, "suffix" : "" }, { "dropping-particle" : "", "family" : "Silvestri", "given" : "Silvia", "non-dropping-particle" : "", "parse-names" : false, "suffix" : "" } ], "container-title" : "Waste management (New York, N.Y.)", "id" : "ITEM-3", "issue" : "11", "issued" : { "date-parts" : [ [ "2014", "11" ] ] }, "page" : "2047-56", "title" : "Biogas from the organic fraction of municipal solid waste: dealing with contaminants for a solid oxide fuel cell energy generator.", "type" : "article-newspaper", "volume" : "34" }, "uris" : [ "http://www.mendeley.com/documents/?uuid=65bddc2c-cc80-420b-915d-7d011b4bc77e" ] }, { "id" : "ITEM-4", "itemData" : { "DOI" : "10.1016/j.apenergy.2014.03.040", "ISSN" : "03062619", "abstract" : "In this study, the main sections required to produce electricity in an SOFC short stack starting from biogas were studied and tested at a lab-scale level. A test-rig including a cleaning unit, a reformer and an SOFC stack was built and used to run a test of 500h. In the plant, an in-house planar SOFC short stack (composed of three nickel based anode-supported cells) was fed by a simulated biogas mixture (60vol.% CH4, 40vol.% CO2) contaminated by 30ppmv of H2S (the main contaminant found in biogas, and deleterious for both the reformer and fuel cells). In the plant, H2S is first removed from the gas stream by adsorption in a fixed bed reactor packed with Na\u2013X zeolites. The mixture was also passed on a ZnO guard bed (heated at 300\u00b0C) before feeding the reformer unit in order to guarantee a durable and stable operation of the same. The reformer uses a Ni-based catalyst, and was operated at \u223c700\u00b0C in a mixed steam-/dry-reforming condition to produce a gas mixture suitable for the Ni-based SOFC with CH4 converted almost entirely to H2 and CO. The 3-cells short stack was operated at 800\u00b0C and 0.1Acm\u22122 for more than 500h. The gas analysis was performed, via a mass spectrometer, in several points of the plant. These measurements indicated that no sulfur breakthrough takes place from the zeolites bed, and furthermore that the catalyst has a quite stable behavior. Results clearly show how a SOFC stack can be successfully operated with a contaminated biogenous gas mixture as fuel. As a matter of fact the cell stack exhibited a regular behavior, with no signs of degradation in the complete test.", "author" : [ { "dropping-particle" : "", "family" : "Papurello", "given" : "D.", "non-dropping-particle" : "", "parse-names" : false, "suffix" : "" }, { "dropping-particle" : "", "family" : "Borchiellini", "given" : "R.", "non-dropping-particle" : "", "parse-names" : false, "suffix" : "" }, { "dropping-particle" : "", "family" : "Bareschino", "given" : "P.", "non-dropping-particle" : "", "parse-names" : false, "suffix" : "" }, { "dropping-particle" : "", "family" : "Chiodo", "given" : "V.", "non-dropping-particle" : "", "parse-names" : false, "suffix" : "" }, { "dropping-particle" : "", "family" : "Freni", "given" : "S.", "non-dropping-particle" : "", "parse-names" : false, "suffix" : "" }, { "dropping-particle" : "", "family" : "Lanzini", "given" : "A.", "non-dropping-particle" : "", "parse-names" : false, "suffix" : "" }, { "dropping-particle" : "", "family" : "Pepe", "given" : "F.", "non-dropping-particle" : "", "parse-names" : false, "suffix" : "" }, { "dropping-particle" : "", "family" : "Ortigoza", "given" : "G.A.", "non-dropping-particle" : "", "parse-names" : false, "suffix" : "" }, { "dropping-particle" : "", "family" : "Santarelli", "given" : "M", "non-dropping-particle" : "", "parse-names" : false, "suffix" : "" } ], "container-title" : "Applied Energy", "id" : "ITEM-4", "issued" : { "date-parts" : [ [ "2014" ] ] }, "page" : "254-263", "title" : "Performance of a Solid Oxide Fuel Cell short-stack with biogas feeding", "type" : "article-journal", "volume" : "125" }, "uris" : [ "http://www.mendeley.com/documents/?uuid=8f1151e8-6356-3fe3-ad94-27f4f3871721" ] } ], "mendeley" : { "formattedCitation" : "[27\u201330]", "plainTextFormattedCitation" : "[27\u201330]", "previouslyFormattedCitation" : "[27\u201330]" }, "properties" : { "noteIndex" : 0 }, "schema" : "https://github.com/citation-style-language/schema/raw/master/csl-citation.json" }</w:instrText>
      </w:r>
      <w:r w:rsidRPr="00EB3919">
        <w:rPr>
          <w:rFonts w:ascii="Times New Roman" w:hAnsi="Times New Roman" w:cs="Times New Roman"/>
        </w:rPr>
        <w:fldChar w:fldCharType="separate"/>
      </w:r>
      <w:r w:rsidR="001C1C39" w:rsidRPr="001C1C39">
        <w:rPr>
          <w:rFonts w:ascii="Times New Roman" w:hAnsi="Times New Roman" w:cs="Times New Roman"/>
          <w:noProof/>
        </w:rPr>
        <w:t>[27–30]</w:t>
      </w:r>
      <w:r w:rsidRPr="00EB3919">
        <w:rPr>
          <w:rFonts w:ascii="Times New Roman" w:hAnsi="Times New Roman" w:cs="Times New Roman"/>
        </w:rPr>
        <w:fldChar w:fldCharType="end"/>
      </w:r>
      <w:r w:rsidR="001C1C39" w:rsidRPr="001C1C39">
        <w:rPr>
          <w:rFonts w:ascii="Times New Roman" w:hAnsi="Times New Roman" w:cs="Times New Roman"/>
          <w:sz w:val="20"/>
        </w:rPr>
        <w:t>.</w:t>
      </w:r>
      <w:r w:rsidR="00920C5E">
        <w:rPr>
          <w:rFonts w:ascii="Times New Roman" w:hAnsi="Times New Roman" w:cs="Times New Roman"/>
        </w:rPr>
        <w:t xml:space="preserve"> </w:t>
      </w:r>
      <w:r w:rsidRPr="00EB3919">
        <w:rPr>
          <w:rFonts w:ascii="Times New Roman" w:hAnsi="Times New Roman" w:cs="Times New Roman"/>
        </w:rPr>
        <w:t xml:space="preserve">Data for </w:t>
      </w:r>
      <w:r w:rsidRPr="00873410">
        <w:rPr>
          <w:rFonts w:ascii="Times New Roman" w:hAnsi="Times New Roman" w:cs="Times New Roman"/>
          <w:noProof/>
        </w:rPr>
        <w:t>tars</w:t>
      </w:r>
      <w:r w:rsidRPr="00EB3919">
        <w:rPr>
          <w:rFonts w:ascii="Times New Roman" w:hAnsi="Times New Roman" w:cs="Times New Roman"/>
        </w:rPr>
        <w:t xml:space="preserve"> were taken in the framework of the EU project SOFCOM (</w:t>
      </w:r>
      <w:hyperlink r:id="rId8" w:history="1">
        <w:r w:rsidRPr="00EB3919">
          <w:rPr>
            <w:rStyle w:val="Collegamentoipertestuale"/>
            <w:rFonts w:ascii="Times New Roman" w:hAnsi="Times New Roman" w:cs="Times New Roman"/>
          </w:rPr>
          <w:t>www.sofcom.eu</w:t>
        </w:r>
      </w:hyperlink>
      <w:r w:rsidRPr="00EB3919">
        <w:rPr>
          <w:rFonts w:ascii="Times New Roman" w:hAnsi="Times New Roman" w:cs="Times New Roman"/>
        </w:rPr>
        <w:t>)</w:t>
      </w:r>
      <w:r w:rsidR="00697533">
        <w:rPr>
          <w:rFonts w:ascii="Times New Roman" w:hAnsi="Times New Roman" w:cs="Times New Roman"/>
        </w:rPr>
        <w:t xml:space="preserve"> and Ref. </w:t>
      </w:r>
      <w:r w:rsidR="001C1C39">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"10.1016/j.renene.2016.07.029", "ISSN" : "18790682", "abstract" : "The effect of heavy tar compounds on the performance of a Ni-YSZ anode supported solid oxide fuel cell was investigated. Both toluene and naphthalene were chosen as model compounds and tested separately with a simulated bio-syngas. Notably, the effect of naphthalene is almost negligible with pure H2 feed to the SOFC, whereas a severe degradation is observed when using a bio-syngas with an H2:CO\u00a0=\u00a01. The tar compound showed to have a remarkable effect on the inhibition of the WGS shift-reaction, possibly also on the CO direct electro-oxidation at the three-phase-boundary. An interaction through adsorption of naphthalene on nickel catalytic and electrocatalytic active sites is a plausible explanation for observed degradation and strong performance loss. Different sites seem to be involved for H2 and CO electro-oxidation and also with regard to catalytic water gas shift reaction. Finally, heavy tars (C\u00a0\u2265\u00a010) must be regarded as a poison more than a fuel for SOFC applications, contrarily to lighter compounds such benzene or toluene that can directly reformed within the anode electrode. The presence of naphthalene strongly increases the risk of anode re-oxidation in a syngas stream as CO conversion to H2 is inhibited and also CH4 conversion is blocked.", "author" : [ { "dropping-particle" : "", "family" : "Papurello", "given" : "Davide", "non-dropping-particle" : "", "parse-names" : false, "suffix" : "" }, { "dropping-particle" : "", "family" : "Lanzini", "given" : "Andrea", "non-dropping-particle" : "", "parse-names" : false, "suffix" : "" }, { "dropping-particle" : "", "family" : "Leone", "given" : "Pierluigi", "non-dropping-particle" : "", "parse-names" : false, "suffix" : "" }, { "dropping-particle" : "", "family" : "Santarelli", "given" : "Massimo", "non-dropping-particle" : "", "parse-names" : false, "suffix" : "" } ], "container-title" : "Renewable Energy", "id" : "ITEM-1", "issued" : { "date-parts" : [ [ "2016" ] ] }, "page" : "747-753", "publisher" : "Elsevier Ltd", "title" : "The effect of heavy tars (toluene and naphthalene) on the electrochemical performance of an anode-supported SOFC running on bio-syngas", "type" : "article-journal", "volume" : "99" }, "uris" : [ "http://www.mendeley.com/documents/?uuid=a84ee3da-e039-4e5c-9ab5-9cb12f160ce3" ] } ], "mendeley" : { "formattedCitation" : "[31]", "plainTextFormattedCitation" : "[31]" }, "properties" : { "noteIndex" : 0 }, "schema" : "https://github.com/citation-style-language/schema/raw/master/csl-citation.json" }</w:instrText>
      </w:r>
      <w:r w:rsidR="001C1C39">
        <w:rPr>
          <w:rFonts w:ascii="Times New Roman" w:hAnsi="Times New Roman" w:cs="Times New Roman"/>
        </w:rPr>
        <w:fldChar w:fldCharType="separate"/>
      </w:r>
      <w:r w:rsidR="001C1C39" w:rsidRPr="001C1C39">
        <w:rPr>
          <w:rFonts w:ascii="Times New Roman" w:hAnsi="Times New Roman" w:cs="Times New Roman"/>
          <w:noProof/>
        </w:rPr>
        <w:t>[31]</w:t>
      </w:r>
      <w:r w:rsidR="001C1C39">
        <w:rPr>
          <w:rFonts w:ascii="Times New Roman" w:hAnsi="Times New Roman" w:cs="Times New Roman"/>
        </w:rPr>
        <w:fldChar w:fldCharType="end"/>
      </w:r>
      <w:r w:rsidR="001C1C39">
        <w:rPr>
          <w:rFonts w:ascii="Times New Roman" w:hAnsi="Times New Roman" w:cs="Times New Roman"/>
        </w:rPr>
        <w:t>.</w:t>
      </w:r>
    </w:p>
    <w:p w14:paraId="769D3456" w14:textId="77777777" w:rsidR="00EB3919" w:rsidRPr="00EB3919" w:rsidRDefault="00EB3919" w:rsidP="00EB3919">
      <w:pPr>
        <w:pStyle w:val="EFCFText"/>
        <w:spacing w:line="480" w:lineRule="auto"/>
        <w:rPr>
          <w:rFonts w:ascii="Times New Roman" w:hAnsi="Times New Roman" w:cs="Times New Roman"/>
        </w:rPr>
      </w:pPr>
    </w:p>
    <w:p w14:paraId="07EDB6D0" w14:textId="77777777" w:rsidR="00EB3919" w:rsidRPr="00EB3919" w:rsidRDefault="00EB3919" w:rsidP="00EB3919">
      <w:pPr>
        <w:pStyle w:val="EFCFText"/>
        <w:tabs>
          <w:tab w:val="left" w:pos="1797"/>
        </w:tabs>
        <w:spacing w:line="480" w:lineRule="auto"/>
        <w:rPr>
          <w:rFonts w:ascii="Times New Roman" w:hAnsi="Times New Roman" w:cs="Times New Roman"/>
          <w:b/>
        </w:rPr>
      </w:pPr>
      <w:r w:rsidRPr="00EB3919">
        <w:rPr>
          <w:rFonts w:ascii="Times New Roman" w:hAnsi="Times New Roman" w:cs="Times New Roman"/>
          <w:b/>
        </w:rPr>
        <w:t>4 Results</w:t>
      </w:r>
    </w:p>
    <w:p w14:paraId="458B0EDF" w14:textId="13B1F056" w:rsidR="00EB3919" w:rsidRDefault="00EB3919" w:rsidP="002F539D">
      <w:pPr>
        <w:pStyle w:val="EFCFText"/>
        <w:spacing w:line="480" w:lineRule="auto"/>
        <w:rPr>
          <w:rFonts w:ascii="Times New Roman" w:hAnsi="Times New Roman" w:cs="Times New Roman"/>
        </w:rPr>
      </w:pPr>
      <w:r w:rsidRPr="002F539D">
        <w:rPr>
          <w:rFonts w:ascii="Times New Roman" w:hAnsi="Times New Roman" w:cs="Times New Roman"/>
        </w:rPr>
        <w:t xml:space="preserve">Results are shown in Fig. 1 for D4 contaminant. The intrinsic degradation rate has been correlated with the total Silicon load reaching the </w:t>
      </w:r>
      <w:r w:rsidRPr="00873410">
        <w:rPr>
          <w:rFonts w:ascii="Times New Roman" w:hAnsi="Times New Roman" w:cs="Times New Roman"/>
          <w:noProof/>
        </w:rPr>
        <w:t>Ni-anode</w:t>
      </w:r>
      <w:r w:rsidRPr="002F539D">
        <w:rPr>
          <w:rFonts w:ascii="Times New Roman" w:hAnsi="Times New Roman" w:cs="Times New Roman"/>
        </w:rPr>
        <w:t>. For instance, the average Silicon content measured in a wastewater treatment plant located in Torino (IT) is about 5 mg tot. Si Nm</w:t>
      </w:r>
      <w:r w:rsidRPr="002F539D">
        <w:rPr>
          <w:rFonts w:ascii="Times New Roman" w:hAnsi="Times New Roman" w:cs="Times New Roman"/>
          <w:vertAlign w:val="superscript"/>
        </w:rPr>
        <w:t>-3</w:t>
      </w:r>
      <w:r w:rsidRPr="002F539D">
        <w:rPr>
          <w:rFonts w:ascii="Times New Roman" w:hAnsi="Times New Roman" w:cs="Times New Roman"/>
        </w:rPr>
        <w:t xml:space="preserve"> in the raw biogas (this amount in D4-equivalent corresponds to about 1 ppm(v)). Shall this amount reach the SOFC stack, the expected overall (voltage) degradation at 0.3 A cm</w:t>
      </w:r>
      <w:r w:rsidRPr="002F539D">
        <w:rPr>
          <w:rFonts w:ascii="Times New Roman" w:hAnsi="Times New Roman" w:cs="Times New Roman"/>
          <w:vertAlign w:val="superscript"/>
        </w:rPr>
        <w:t>-2</w:t>
      </w:r>
      <w:r w:rsidRPr="002F539D">
        <w:rPr>
          <w:rFonts w:ascii="Times New Roman" w:hAnsi="Times New Roman" w:cs="Times New Roman"/>
        </w:rPr>
        <w:t xml:space="preserve"> would be over 50% per 1,000 hr (at 5 mg tot. Si Nm</w:t>
      </w:r>
      <w:r w:rsidRPr="002F539D">
        <w:rPr>
          <w:rFonts w:ascii="Times New Roman" w:hAnsi="Times New Roman" w:cs="Times New Roman"/>
          <w:vertAlign w:val="superscript"/>
        </w:rPr>
        <w:t>-3</w:t>
      </w:r>
      <w:r w:rsidRPr="002F539D">
        <w:rPr>
          <w:rFonts w:ascii="Times New Roman" w:hAnsi="Times New Roman" w:cs="Times New Roman"/>
        </w:rPr>
        <w:t>, the intrinsic degradation rate is 1.56 mΩ cm</w:t>
      </w:r>
      <w:r w:rsidRPr="002F539D">
        <w:rPr>
          <w:rFonts w:ascii="Times New Roman" w:hAnsi="Times New Roman" w:cs="Times New Roman"/>
          <w:vertAlign w:val="superscript"/>
        </w:rPr>
        <w:t>2</w:t>
      </w:r>
      <w:r w:rsidRPr="002F539D">
        <w:rPr>
          <w:rFonts w:ascii="Times New Roman" w:hAnsi="Times New Roman" w:cs="Times New Roman"/>
        </w:rPr>
        <w:t xml:space="preserve"> hr</w:t>
      </w:r>
      <w:r w:rsidRPr="002F539D">
        <w:rPr>
          <w:rFonts w:ascii="Times New Roman" w:hAnsi="Times New Roman" w:cs="Times New Roman"/>
          <w:vertAlign w:val="superscript"/>
        </w:rPr>
        <w:t>-1</w:t>
      </w:r>
      <w:r w:rsidRPr="002F539D">
        <w:rPr>
          <w:rFonts w:ascii="Times New Roman" w:hAnsi="Times New Roman" w:cs="Times New Roman"/>
        </w:rPr>
        <w:t xml:space="preserve"> according to Fig. 1, which corresponds to a voltage degradation of 0.468 V over 1,000 hr; the ΔV is simply calculated by multiplying the intrinsic degradation rate, with units of measurement given below, by the current density). Hence, siloxanes should be fully removed from the raw biogas prior to </w:t>
      </w:r>
      <w:r w:rsidRPr="00873410">
        <w:rPr>
          <w:rFonts w:ascii="Times New Roman" w:hAnsi="Times New Roman" w:cs="Times New Roman"/>
          <w:noProof/>
        </w:rPr>
        <w:t>feed</w:t>
      </w:r>
      <w:r w:rsidR="00873410">
        <w:rPr>
          <w:rFonts w:ascii="Times New Roman" w:hAnsi="Times New Roman" w:cs="Times New Roman"/>
          <w:noProof/>
        </w:rPr>
        <w:t>ing</w:t>
      </w:r>
      <w:r w:rsidRPr="002F539D">
        <w:rPr>
          <w:rFonts w:ascii="Times New Roman" w:hAnsi="Times New Roman" w:cs="Times New Roman"/>
        </w:rPr>
        <w:t xml:space="preserve"> the fuel cell</w:t>
      </w:r>
      <w:r w:rsidR="002F539D">
        <w:rPr>
          <w:rFonts w:ascii="Times New Roman" w:hAnsi="Times New Roman" w:cs="Times New Roman"/>
        </w:rPr>
        <w:t xml:space="preserve"> in order to avoid a fast</w:t>
      </w:r>
      <w:r w:rsidRPr="002F539D">
        <w:rPr>
          <w:rFonts w:ascii="Times New Roman" w:hAnsi="Times New Roman" w:cs="Times New Roman"/>
        </w:rPr>
        <w:t xml:space="preserve"> failure of the SOFC stack. </w:t>
      </w:r>
    </w:p>
    <w:p w14:paraId="4AF660CA" w14:textId="57BFACD4" w:rsidR="00473F70" w:rsidRPr="002F539D" w:rsidRDefault="00473F70" w:rsidP="00473F70">
      <w:pPr>
        <w:pStyle w:val="EFCFText"/>
        <w:spacing w:line="480" w:lineRule="auto"/>
        <w:jc w:val="center"/>
        <w:rPr>
          <w:rFonts w:ascii="Times New Roman" w:hAnsi="Times New Roman" w:cs="Times New Roman"/>
        </w:rPr>
      </w:pPr>
      <w:r>
        <w:rPr>
          <w:rFonts w:ascii="Times New Roman" w:hAnsi="Times New Roman" w:cs="Times New Roman"/>
        </w:rPr>
        <w:t>Figure 1</w:t>
      </w:r>
    </w:p>
    <w:p w14:paraId="02C65B87" w14:textId="77777777" w:rsidR="00EB3919" w:rsidRPr="002F539D" w:rsidRDefault="00EB3919" w:rsidP="002F539D">
      <w:pPr>
        <w:pStyle w:val="EFCFText"/>
        <w:spacing w:line="480" w:lineRule="auto"/>
        <w:rPr>
          <w:rFonts w:ascii="Times New Roman" w:hAnsi="Times New Roman" w:cs="Times New Roman"/>
        </w:rPr>
      </w:pPr>
      <w:r w:rsidRPr="002F539D">
        <w:rPr>
          <w:rFonts w:ascii="Times New Roman" w:hAnsi="Times New Roman" w:cs="Times New Roman"/>
        </w:rPr>
        <w:t xml:space="preserve">A similar impact is also observed on the performance of Ni-catalyst used for steam reforming of biogas. Fast irreversible degradation of the reformer occurs due to silica deposition on the Ni-structure. </w:t>
      </w:r>
    </w:p>
    <w:p w14:paraId="7DEB7F6A" w14:textId="6D9B8F09" w:rsidR="00EB3919" w:rsidRDefault="00EB3919" w:rsidP="001B29DF">
      <w:pPr>
        <w:pStyle w:val="EFCFText"/>
        <w:spacing w:line="480" w:lineRule="auto"/>
        <w:rPr>
          <w:rFonts w:ascii="Times New Roman" w:hAnsi="Times New Roman" w:cs="Times New Roman"/>
        </w:rPr>
      </w:pPr>
      <w:r w:rsidRPr="001B29DF">
        <w:rPr>
          <w:rFonts w:ascii="Times New Roman" w:hAnsi="Times New Roman" w:cs="Times New Roman"/>
          <w:noProof/>
          <w:lang w:eastAsia="it-IT"/>
        </w:rPr>
        <w:t xml:space="preserve">In Fig. 2 results are shown for </w:t>
      </w:r>
      <w:r w:rsidRPr="001B29DF">
        <w:rPr>
          <w:rFonts w:ascii="Times New Roman" w:hAnsi="Times New Roman" w:cs="Times New Roman"/>
        </w:rPr>
        <w:t>the observed voltage drop over initial voltage (ΔV/V)</w:t>
      </w:r>
      <w:r w:rsidRPr="001B29DF">
        <w:rPr>
          <w:rFonts w:ascii="Times New Roman" w:hAnsi="Times New Roman" w:cs="Times New Roman"/>
          <w:noProof/>
          <w:lang w:eastAsia="it-IT"/>
        </w:rPr>
        <w:t xml:space="preserve"> for different contaminants for which fast Ni active </w:t>
      </w:r>
      <w:r w:rsidRPr="00873410">
        <w:rPr>
          <w:rFonts w:ascii="Times New Roman" w:hAnsi="Times New Roman" w:cs="Times New Roman"/>
          <w:noProof/>
          <w:lang w:eastAsia="it-IT"/>
        </w:rPr>
        <w:t>deactiv</w:t>
      </w:r>
      <w:r w:rsidR="00873410">
        <w:rPr>
          <w:rFonts w:ascii="Times New Roman" w:hAnsi="Times New Roman" w:cs="Times New Roman"/>
          <w:noProof/>
          <w:lang w:eastAsia="it-IT"/>
        </w:rPr>
        <w:t>at</w:t>
      </w:r>
      <w:r w:rsidRPr="00873410">
        <w:rPr>
          <w:rFonts w:ascii="Times New Roman" w:hAnsi="Times New Roman" w:cs="Times New Roman"/>
          <w:noProof/>
          <w:lang w:eastAsia="it-IT"/>
        </w:rPr>
        <w:t>ion</w:t>
      </w:r>
      <w:r w:rsidRPr="001B29DF">
        <w:rPr>
          <w:rFonts w:ascii="Times New Roman" w:hAnsi="Times New Roman" w:cs="Times New Roman"/>
          <w:noProof/>
          <w:lang w:eastAsia="it-IT"/>
        </w:rPr>
        <w:t xml:space="preserve"> </w:t>
      </w:r>
      <w:r w:rsidRPr="00873410">
        <w:rPr>
          <w:rFonts w:ascii="Times New Roman" w:hAnsi="Times New Roman" w:cs="Times New Roman"/>
          <w:noProof/>
          <w:lang w:eastAsia="it-IT"/>
        </w:rPr>
        <w:t>occurs</w:t>
      </w:r>
      <w:r w:rsidRPr="001B29DF">
        <w:rPr>
          <w:rFonts w:ascii="Times New Roman" w:hAnsi="Times New Roman" w:cs="Times New Roman"/>
          <w:noProof/>
          <w:lang w:eastAsia="it-IT"/>
        </w:rPr>
        <w:t>.</w:t>
      </w:r>
      <w:r w:rsidRPr="001B29DF">
        <w:rPr>
          <w:rFonts w:ascii="Times New Roman" w:hAnsi="Times New Roman" w:cs="Times New Roman"/>
        </w:rPr>
        <w:t xml:space="preserve"> For a given contaminant amount, S-</w:t>
      </w:r>
      <w:r w:rsidRPr="001B29DF">
        <w:rPr>
          <w:rFonts w:ascii="Times New Roman" w:hAnsi="Times New Roman" w:cs="Times New Roman"/>
        </w:rPr>
        <w:lastRenderedPageBreak/>
        <w:t xml:space="preserve">deactivation is the most severe, while Cl-contamination is very modest even at relatively high HCl concentrations. </w:t>
      </w:r>
    </w:p>
    <w:p w14:paraId="6F5616E2" w14:textId="54B8BC15" w:rsidR="00473F70" w:rsidRPr="001B29DF" w:rsidRDefault="00473F70" w:rsidP="00473F70">
      <w:pPr>
        <w:pStyle w:val="EFCFText"/>
        <w:spacing w:line="480" w:lineRule="auto"/>
        <w:jc w:val="center"/>
        <w:rPr>
          <w:rFonts w:ascii="Times New Roman" w:hAnsi="Times New Roman" w:cs="Times New Roman"/>
        </w:rPr>
      </w:pPr>
      <w:r>
        <w:rPr>
          <w:rFonts w:ascii="Times New Roman" w:hAnsi="Times New Roman" w:cs="Times New Roman"/>
        </w:rPr>
        <w:t>Figure 2</w:t>
      </w:r>
    </w:p>
    <w:p w14:paraId="4E83F72C" w14:textId="0D45413E" w:rsidR="00EB3919" w:rsidRPr="001B29DF" w:rsidRDefault="00EB3919" w:rsidP="001B29DF">
      <w:pPr>
        <w:pStyle w:val="EFCFText"/>
        <w:spacing w:line="480" w:lineRule="auto"/>
        <w:rPr>
          <w:rFonts w:ascii="Times New Roman" w:hAnsi="Times New Roman" w:cs="Times New Roman"/>
        </w:rPr>
      </w:pPr>
      <w:r w:rsidRPr="001B29DF">
        <w:rPr>
          <w:rFonts w:ascii="Times New Roman" w:hAnsi="Times New Roman" w:cs="Times New Roman"/>
        </w:rPr>
        <w:t>Sulfur affect</w:t>
      </w:r>
      <w:r w:rsidR="001B29DF">
        <w:rPr>
          <w:rFonts w:ascii="Times New Roman" w:hAnsi="Times New Roman" w:cs="Times New Roman"/>
        </w:rPr>
        <w:t>s</w:t>
      </w:r>
      <w:r w:rsidRPr="001B29DF">
        <w:rPr>
          <w:rFonts w:ascii="Times New Roman" w:hAnsi="Times New Roman" w:cs="Times New Roman"/>
        </w:rPr>
        <w:t xml:space="preserve"> </w:t>
      </w:r>
      <w:r w:rsidRPr="00873410">
        <w:rPr>
          <w:rFonts w:ascii="Times New Roman" w:hAnsi="Times New Roman" w:cs="Times New Roman"/>
          <w:noProof/>
        </w:rPr>
        <w:t>Ni</w:t>
      </w:r>
      <w:r w:rsidR="00873410">
        <w:rPr>
          <w:rFonts w:ascii="Times New Roman" w:hAnsi="Times New Roman" w:cs="Times New Roman"/>
          <w:noProof/>
        </w:rPr>
        <w:t>-</w:t>
      </w:r>
      <w:r w:rsidRPr="00873410">
        <w:rPr>
          <w:rFonts w:ascii="Times New Roman" w:hAnsi="Times New Roman" w:cs="Times New Roman"/>
          <w:noProof/>
        </w:rPr>
        <w:t>based</w:t>
      </w:r>
      <w:r w:rsidRPr="001B29DF">
        <w:rPr>
          <w:rFonts w:ascii="Times New Roman" w:hAnsi="Times New Roman" w:cs="Times New Roman"/>
        </w:rPr>
        <w:t xml:space="preserve"> fuel cell mainly with an adsorption mechanism that is almost reversible depending on the sulfur concentration and on the time of recovery. The impact on SOFC performance is mild if the concentration of sulfur is 1 ppm. </w:t>
      </w:r>
    </w:p>
    <w:p w14:paraId="37AE41F4" w14:textId="43AA8330" w:rsidR="00EB3919" w:rsidRPr="001B29DF" w:rsidRDefault="00EB3919" w:rsidP="001B29DF">
      <w:pPr>
        <w:pStyle w:val="EFCFText"/>
        <w:spacing w:line="480" w:lineRule="auto"/>
        <w:rPr>
          <w:rFonts w:ascii="Times New Roman" w:hAnsi="Times New Roman" w:cs="Times New Roman"/>
        </w:rPr>
      </w:pPr>
      <w:r w:rsidRPr="001B29DF">
        <w:rPr>
          <w:rFonts w:ascii="Times New Roman" w:hAnsi="Times New Roman" w:cs="Times New Roman"/>
        </w:rPr>
        <w:t xml:space="preserve">The impact of aromatics, </w:t>
      </w:r>
      <w:r w:rsidRPr="00873410">
        <w:rPr>
          <w:rFonts w:ascii="Times New Roman" w:hAnsi="Times New Roman" w:cs="Times New Roman"/>
          <w:noProof/>
        </w:rPr>
        <w:t>naphthalene</w:t>
      </w:r>
      <w:r w:rsidR="00873410">
        <w:rPr>
          <w:rFonts w:ascii="Times New Roman" w:hAnsi="Times New Roman" w:cs="Times New Roman"/>
          <w:noProof/>
        </w:rPr>
        <w:t>,</w:t>
      </w:r>
      <w:r w:rsidRPr="001B29DF">
        <w:rPr>
          <w:rFonts w:ascii="Times New Roman" w:hAnsi="Times New Roman" w:cs="Times New Roman"/>
        </w:rPr>
        <w:t xml:space="preserve"> and toluene, is high on SOFC performance. Especially, C</w:t>
      </w:r>
      <w:r w:rsidRPr="001B29DF">
        <w:rPr>
          <w:rFonts w:ascii="Times New Roman" w:hAnsi="Times New Roman" w:cs="Times New Roman"/>
          <w:vertAlign w:val="subscript"/>
        </w:rPr>
        <w:t>10</w:t>
      </w:r>
      <w:r w:rsidRPr="001B29DF">
        <w:rPr>
          <w:rFonts w:ascii="Times New Roman" w:hAnsi="Times New Roman" w:cs="Times New Roman"/>
        </w:rPr>
        <w:t>H</w:t>
      </w:r>
      <w:r w:rsidRPr="001B29DF">
        <w:rPr>
          <w:rFonts w:ascii="Times New Roman" w:hAnsi="Times New Roman" w:cs="Times New Roman"/>
          <w:vertAlign w:val="subscript"/>
        </w:rPr>
        <w:t>8</w:t>
      </w:r>
      <w:r w:rsidRPr="001B29DF">
        <w:rPr>
          <w:rFonts w:ascii="Times New Roman" w:hAnsi="Times New Roman" w:cs="Times New Roman"/>
        </w:rPr>
        <w:t xml:space="preserve"> yields a fast deactivation (coverage) of the Ni surface. </w:t>
      </w:r>
    </w:p>
    <w:p w14:paraId="332507DB" w14:textId="77777777" w:rsidR="000676F7" w:rsidRDefault="000676F7" w:rsidP="00EB3919">
      <w:pPr>
        <w:pStyle w:val="EFCFText"/>
        <w:tabs>
          <w:tab w:val="left" w:pos="1797"/>
        </w:tabs>
        <w:spacing w:line="480" w:lineRule="auto"/>
        <w:rPr>
          <w:sz w:val="22"/>
        </w:rPr>
      </w:pPr>
    </w:p>
    <w:p w14:paraId="429D0A04" w14:textId="77777777" w:rsidR="001B29DF" w:rsidRDefault="001B29DF" w:rsidP="00F13731">
      <w:pPr>
        <w:pStyle w:val="EFCFText"/>
        <w:tabs>
          <w:tab w:val="left" w:pos="1797"/>
        </w:tabs>
      </w:pPr>
    </w:p>
    <w:p w14:paraId="1D961C0A" w14:textId="77777777" w:rsidR="001B29DF" w:rsidRPr="008719F8" w:rsidRDefault="001B29DF" w:rsidP="008719F8">
      <w:pPr>
        <w:pStyle w:val="EFCFText"/>
        <w:tabs>
          <w:tab w:val="left" w:pos="1797"/>
        </w:tabs>
        <w:spacing w:line="480" w:lineRule="auto"/>
        <w:rPr>
          <w:rFonts w:ascii="Times New Roman" w:hAnsi="Times New Roman" w:cs="Times New Roman"/>
        </w:rPr>
      </w:pPr>
    </w:p>
    <w:p w14:paraId="22BE6448" w14:textId="77777777" w:rsidR="00A6464B" w:rsidRPr="008719F8" w:rsidRDefault="00EB3919" w:rsidP="008719F8">
      <w:pPr>
        <w:spacing w:line="480" w:lineRule="auto"/>
        <w:jc w:val="both"/>
        <w:rPr>
          <w:rFonts w:ascii="Times New Roman" w:eastAsia="Times New Roman" w:hAnsi="Times New Roman" w:cs="Times New Roman"/>
          <w:sz w:val="24"/>
          <w:szCs w:val="24"/>
        </w:rPr>
      </w:pPr>
      <w:r w:rsidRPr="008719F8">
        <w:rPr>
          <w:rFonts w:ascii="Times New Roman" w:hAnsi="Times New Roman" w:cs="Times New Roman"/>
          <w:b/>
          <w:bCs/>
          <w:sz w:val="24"/>
          <w:szCs w:val="24"/>
        </w:rPr>
        <w:t>5</w:t>
      </w:r>
      <w:r w:rsidR="00174158" w:rsidRPr="008719F8">
        <w:rPr>
          <w:rFonts w:ascii="Times New Roman" w:hAnsi="Times New Roman" w:cs="Times New Roman"/>
          <w:b/>
          <w:bCs/>
          <w:sz w:val="24"/>
          <w:szCs w:val="24"/>
        </w:rPr>
        <w:t xml:space="preserve">. </w:t>
      </w:r>
      <w:r w:rsidR="001B29DF" w:rsidRPr="008719F8">
        <w:rPr>
          <w:rFonts w:ascii="Times New Roman" w:hAnsi="Times New Roman" w:cs="Times New Roman"/>
          <w:b/>
          <w:bCs/>
          <w:sz w:val="24"/>
          <w:szCs w:val="24"/>
        </w:rPr>
        <w:t>Carbon deposition study</w:t>
      </w:r>
    </w:p>
    <w:p w14:paraId="7D19DDEB" w14:textId="4D268B5F" w:rsidR="00A6464B" w:rsidRPr="008719F8" w:rsidRDefault="00A6464B" w:rsidP="008719F8">
      <w:pPr>
        <w:spacing w:line="480" w:lineRule="auto"/>
        <w:jc w:val="both"/>
        <w:rPr>
          <w:rFonts w:ascii="Times New Roman" w:hAnsi="Times New Roman" w:cs="Times New Roman"/>
          <w:sz w:val="24"/>
          <w:szCs w:val="24"/>
        </w:rPr>
      </w:pPr>
      <w:r w:rsidRPr="008719F8">
        <w:rPr>
          <w:rFonts w:ascii="Times New Roman" w:hAnsi="Times New Roman" w:cs="Times New Roman"/>
          <w:sz w:val="24"/>
          <w:szCs w:val="24"/>
        </w:rPr>
        <w:t xml:space="preserve">The metric introduced for describing the degradation induced by contaminants can </w:t>
      </w:r>
      <w:r w:rsidR="00873410">
        <w:rPr>
          <w:rFonts w:ascii="Times New Roman" w:hAnsi="Times New Roman" w:cs="Times New Roman"/>
          <w:noProof/>
          <w:sz w:val="24"/>
          <w:szCs w:val="24"/>
        </w:rPr>
        <w:t>also be</w:t>
      </w:r>
      <w:r w:rsidRPr="008719F8">
        <w:rPr>
          <w:rFonts w:ascii="Times New Roman" w:hAnsi="Times New Roman" w:cs="Times New Roman"/>
          <w:sz w:val="24"/>
          <w:szCs w:val="24"/>
        </w:rPr>
        <w:t xml:space="preserve"> applied to the evaluation of the intrinsic </w:t>
      </w:r>
      <w:r w:rsidRPr="00873410">
        <w:rPr>
          <w:rFonts w:ascii="Times New Roman" w:hAnsi="Times New Roman" w:cs="Times New Roman"/>
          <w:noProof/>
          <w:sz w:val="24"/>
          <w:szCs w:val="24"/>
        </w:rPr>
        <w:t>degradation</w:t>
      </w:r>
      <w:r w:rsidRPr="008719F8">
        <w:rPr>
          <w:rFonts w:ascii="Times New Roman" w:hAnsi="Times New Roman" w:cs="Times New Roman"/>
          <w:sz w:val="24"/>
          <w:szCs w:val="24"/>
        </w:rPr>
        <w:t xml:space="preserve"> in the presence of carbon deposition. A case study based on simulated data obtained by a simple carbon deposition model is reported in this section.</w:t>
      </w:r>
    </w:p>
    <w:p w14:paraId="64637050" w14:textId="77777777" w:rsidR="008719F8" w:rsidRDefault="00A6464B" w:rsidP="008719F8">
      <w:pPr>
        <w:autoSpaceDE w:val="0"/>
        <w:autoSpaceDN w:val="0"/>
        <w:adjustRightInd w:val="0"/>
        <w:spacing w:after="0" w:line="480" w:lineRule="auto"/>
        <w:jc w:val="both"/>
        <w:rPr>
          <w:rFonts w:ascii="Times New Roman" w:hAnsi="Times New Roman" w:cs="Times New Roman"/>
          <w:sz w:val="24"/>
          <w:szCs w:val="24"/>
        </w:rPr>
      </w:pPr>
      <w:r w:rsidRPr="008719F8">
        <w:rPr>
          <w:rFonts w:ascii="Times New Roman" w:hAnsi="Times New Roman" w:cs="Times New Roman"/>
          <w:sz w:val="24"/>
          <w:szCs w:val="24"/>
        </w:rPr>
        <w:t xml:space="preserve">Before addressing the modeling approach followed, a brief overview on carbon deposition is given in the following lines. </w:t>
      </w:r>
    </w:p>
    <w:p w14:paraId="55D89549" w14:textId="167BE6E0" w:rsidR="008719F8" w:rsidRDefault="00A6464B" w:rsidP="008719F8">
      <w:pPr>
        <w:autoSpaceDE w:val="0"/>
        <w:autoSpaceDN w:val="0"/>
        <w:adjustRightInd w:val="0"/>
        <w:spacing w:after="0" w:line="480" w:lineRule="auto"/>
        <w:jc w:val="both"/>
        <w:rPr>
          <w:rFonts w:ascii="Times New Roman" w:hAnsi="Times New Roman" w:cs="Times New Roman"/>
          <w:sz w:val="24"/>
          <w:szCs w:val="24"/>
        </w:rPr>
      </w:pPr>
      <w:r w:rsidRPr="008719F8">
        <w:rPr>
          <w:rFonts w:ascii="Times New Roman" w:hAnsi="Times New Roman" w:cs="Times New Roman"/>
          <w:sz w:val="24"/>
          <w:szCs w:val="24"/>
        </w:rPr>
        <w:t xml:space="preserve">In general, carbon deposition identifies the phenomenon of formation of solid carbon within SOFC electrodes. The carbon coking leads to two deleterious effects in SOFCs: catalyst covering and pore blocking. The first effect is related to the reduction of the TPB area due to the </w:t>
      </w:r>
      <w:r w:rsidRPr="00873410">
        <w:rPr>
          <w:rFonts w:ascii="Times New Roman" w:hAnsi="Times New Roman" w:cs="Times New Roman"/>
          <w:noProof/>
          <w:sz w:val="24"/>
          <w:szCs w:val="24"/>
        </w:rPr>
        <w:t>physical</w:t>
      </w:r>
      <w:r w:rsidRPr="008719F8">
        <w:rPr>
          <w:rFonts w:ascii="Times New Roman" w:hAnsi="Times New Roman" w:cs="Times New Roman"/>
          <w:sz w:val="24"/>
          <w:szCs w:val="24"/>
        </w:rPr>
        <w:t xml:space="preserve"> coverage of the catalytic surface of electrodes due to the deposition of a carbon layer on it. The second consists in the progressive accumulation of solid carbon in the porous electrode structure of the anode that increases the transport resistance for gas species diffusing toward the TPB. Both the effects contribute to </w:t>
      </w:r>
      <w:r w:rsidRPr="00873410">
        <w:rPr>
          <w:rFonts w:ascii="Times New Roman" w:hAnsi="Times New Roman" w:cs="Times New Roman"/>
          <w:noProof/>
          <w:sz w:val="24"/>
          <w:szCs w:val="24"/>
        </w:rPr>
        <w:t>decreas</w:t>
      </w:r>
      <w:r w:rsidR="00873410">
        <w:rPr>
          <w:rFonts w:ascii="Times New Roman" w:hAnsi="Times New Roman" w:cs="Times New Roman"/>
          <w:noProof/>
          <w:sz w:val="24"/>
          <w:szCs w:val="24"/>
        </w:rPr>
        <w:t>ing</w:t>
      </w:r>
      <w:r w:rsidRPr="008719F8">
        <w:rPr>
          <w:rFonts w:ascii="Times New Roman" w:hAnsi="Times New Roman" w:cs="Times New Roman"/>
          <w:sz w:val="24"/>
          <w:szCs w:val="24"/>
        </w:rPr>
        <w:t xml:space="preserve"> the SOFC performance. Moreover, the accumulation of carbon deposits generates mechanical stresses in the cell, which can eventually lead to the formation of fractures in the cell structure. </w:t>
      </w:r>
    </w:p>
    <w:p w14:paraId="70E404C2" w14:textId="352F0218" w:rsidR="00A6464B" w:rsidRPr="008719F8" w:rsidRDefault="00A6464B" w:rsidP="008719F8">
      <w:pPr>
        <w:autoSpaceDE w:val="0"/>
        <w:autoSpaceDN w:val="0"/>
        <w:adjustRightInd w:val="0"/>
        <w:spacing w:after="0" w:line="480" w:lineRule="auto"/>
        <w:jc w:val="both"/>
        <w:rPr>
          <w:rFonts w:ascii="Times New Roman" w:hAnsi="Times New Roman" w:cs="Times New Roman"/>
          <w:sz w:val="24"/>
          <w:szCs w:val="24"/>
        </w:rPr>
      </w:pPr>
      <w:r w:rsidRPr="008719F8">
        <w:rPr>
          <w:rFonts w:ascii="Times New Roman" w:hAnsi="Times New Roman" w:cs="Times New Roman"/>
          <w:sz w:val="24"/>
          <w:szCs w:val="24"/>
        </w:rPr>
        <w:lastRenderedPageBreak/>
        <w:t>Modeling the degradation induced b</w:t>
      </w:r>
      <w:r w:rsidR="002F6841">
        <w:rPr>
          <w:rFonts w:ascii="Times New Roman" w:hAnsi="Times New Roman" w:cs="Times New Roman"/>
          <w:sz w:val="24"/>
          <w:szCs w:val="24"/>
        </w:rPr>
        <w:t>y carbon deposition requires deriving</w:t>
      </w:r>
      <w:r w:rsidRPr="008719F8">
        <w:rPr>
          <w:rFonts w:ascii="Times New Roman" w:hAnsi="Times New Roman" w:cs="Times New Roman"/>
          <w:sz w:val="24"/>
          <w:szCs w:val="24"/>
        </w:rPr>
        <w:t xml:space="preserve"> mathematical formulations for these phenomena. Degradation models can be developed at different levels of detail and can include different descriptions of the phenomena depending on their complexity and goals. In particular, the performance degradation due to pore blocking is an effect that can be included only in models that take into account gas diffusion in the electrodes, while Ni covering can be considered in models that include terms related to the electrochemical activity of SOFC anode. In this work, the degradation due to carbon deposition has been evaluated through a 0D model of an SOFC which does not include a gas diffusion </w:t>
      </w:r>
      <w:r w:rsidRPr="00873410">
        <w:rPr>
          <w:rFonts w:ascii="Times New Roman" w:hAnsi="Times New Roman" w:cs="Times New Roman"/>
          <w:noProof/>
          <w:sz w:val="24"/>
          <w:szCs w:val="24"/>
        </w:rPr>
        <w:t>mechanism</w:t>
      </w:r>
      <w:r w:rsidR="00873410">
        <w:rPr>
          <w:rFonts w:ascii="Times New Roman" w:hAnsi="Times New Roman" w:cs="Times New Roman"/>
          <w:noProof/>
          <w:sz w:val="24"/>
          <w:szCs w:val="24"/>
        </w:rPr>
        <w:t>. T</w:t>
      </w:r>
      <w:r w:rsidRPr="00873410">
        <w:rPr>
          <w:rFonts w:ascii="Times New Roman" w:hAnsi="Times New Roman" w:cs="Times New Roman"/>
          <w:noProof/>
          <w:sz w:val="24"/>
          <w:szCs w:val="24"/>
        </w:rPr>
        <w:t>hus</w:t>
      </w:r>
      <w:r w:rsidRPr="008719F8">
        <w:rPr>
          <w:rFonts w:ascii="Times New Roman" w:hAnsi="Times New Roman" w:cs="Times New Roman"/>
          <w:sz w:val="24"/>
          <w:szCs w:val="24"/>
        </w:rPr>
        <w:t xml:space="preserve"> only the Ni surface coverage has been taken into account.</w:t>
      </w:r>
    </w:p>
    <w:p w14:paraId="76976E40" w14:textId="4450FA88" w:rsidR="00A6464B" w:rsidRPr="00625AF1" w:rsidRDefault="00A6464B" w:rsidP="00625AF1">
      <w:pPr>
        <w:autoSpaceDE w:val="0"/>
        <w:autoSpaceDN w:val="0"/>
        <w:adjustRightInd w:val="0"/>
        <w:spacing w:after="0" w:line="480" w:lineRule="auto"/>
        <w:jc w:val="both"/>
        <w:rPr>
          <w:rFonts w:ascii="Times New Roman" w:hAnsi="Times New Roman" w:cs="Times New Roman"/>
          <w:sz w:val="24"/>
          <w:szCs w:val="24"/>
        </w:rPr>
      </w:pPr>
      <w:r w:rsidRPr="00873410">
        <w:rPr>
          <w:rFonts w:ascii="Times New Roman" w:hAnsi="Times New Roman" w:cs="Times New Roman"/>
          <w:noProof/>
          <w:sz w:val="24"/>
          <w:szCs w:val="24"/>
        </w:rPr>
        <w:t>Several reaction mechanisms have been proposed for the</w:t>
      </w:r>
      <w:r w:rsidRPr="00625AF1">
        <w:rPr>
          <w:rFonts w:ascii="Times New Roman" w:hAnsi="Times New Roman" w:cs="Times New Roman"/>
          <w:sz w:val="24"/>
          <w:szCs w:val="24"/>
        </w:rPr>
        <w:t xml:space="preserve"> solid carbon formation from carbonaceous gas mixtures in SOFCs </w:t>
      </w:r>
      <w:r w:rsidR="00516CCC" w:rsidRPr="00516CCC">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"10.1016/j.jpowsour.2010.11.095", "ISSN" : "03787753", "abstract" : "The nickel/yttrium-stabilized zirconia (Ni/YSZ) anode-supported solid oxide fuel cells (SOFCs) have been operated under various simulated syngases at different temperatures to investigate the degradation behavior of the cells caused by carbon deposition. The results show that the carbon morphology and the cell performance degradation are influenced significantly by the operation temperature. The stability of the cell fueled with syngas can be improved by applying a constant current, but the cell degraded quickly after carbon deposition. The microstructure damage is close to the anode surface and leads to a conductivity decrease, which is an important reason for the cell degradation and failure at 750 ??C. Conversely, the degradation behavior at 650 ??C is mainly due to solid carbon deposits inside of the anode that impede fuel diffusion and electrochemical reactions on the anodic side. The effect of carbon deposition on the microstructure degradation is also investigated using transmission electron microscope. ?? 2010 Elsevier B.V. All rights reserved.", "author" : [ { "dropping-particle" : "", "family" : "Chen", "given" : "Tao", "non-dropping-particle" : "", "parse-names" : false, "suffix" : "" }, { "dropping-particle" : "", "family" : "Wang", "given" : "Wei Guo", "non-dropping-particle" : "", "parse-names" : false, "suffix" : "" }, { "dropping-particle" : "", "family" : "Miao", "given" : "He", "non-dropping-particle" : "", "parse-names" : false, "suffix" : "" }, { "dropping-particle" : "", "family" : "Li", "given" : "Tingshuai", "non-dropping-particle" : "", "parse-names" : false, "suffix" : "" }, { "dropping-particle" : "", "family" : "Xu", "given" : "Cheng", "non-dropping-particle" : "", "parse-names" : false, "suffix" : "" } ], "container-title" : "Journal of Power Sources", "id" : "ITEM-1", "issue" : "5", "issued" : { "date-parts" : [ [ "2011" ] ] }, "page" : "2461-2468", "publisher" : "Elsevier B.V.", "title" : "Evaluation of carbon deposition behavior on the nickel/yttrium-stabilized zirconia anode-supported fuel cell fueled with simulated syngas", "type" : "article-journal", "volume" : "196" }, "uris" : [ "http://www.mendeley.com/documents/?uuid=ed1425da-bfe7-401a-be7e-d7a0106e833a", "http://www.mendeley.com/documents/?uuid=96e71050-b414-4b52-8f46-f5afcb0472ab" ] } ], "mendeley" : { "formattedCitation" : "[32]", "plainTextFormattedCitation" : "[32]", "previouslyFormattedCitation" : "[31]" }, "properties" : { "noteIndex" : 0 }, "schema" : "https://github.com/citation-style-language/schema/raw/master/csl-citation.json" }</w:instrText>
      </w:r>
      <w:r w:rsidR="00516CCC" w:rsidRPr="00516CCC">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[32]</w:t>
      </w:r>
      <w:r w:rsidR="00516CCC" w:rsidRPr="00516CCC">
        <w:rPr>
          <w:rFonts w:ascii="Times New Roman" w:hAnsi="Times New Roman" w:cs="Times New Roman"/>
          <w:sz w:val="24"/>
          <w:szCs w:val="24"/>
        </w:rPr>
        <w:fldChar w:fldCharType="end"/>
      </w:r>
      <w:r w:rsidRPr="00625AF1">
        <w:rPr>
          <w:rFonts w:ascii="Times New Roman" w:hAnsi="Times New Roman" w:cs="Times New Roman"/>
          <w:sz w:val="24"/>
          <w:szCs w:val="24"/>
        </w:rPr>
        <w:t>. Typical SOFC mixtures contain C atoms in CO, CO2 and CH4 molecules that can be involved in carbon depositions reactions. In particular, CH4 can directly lead to coke formation by methane cracking:</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080B64" w14:paraId="66B9BC8D" w14:textId="77777777" w:rsidTr="00694420">
        <w:trPr>
          <w:trHeight w:val="598"/>
        </w:trPr>
        <w:tc>
          <w:tcPr>
            <w:tcW w:w="675" w:type="dxa"/>
            <w:vAlign w:val="center"/>
          </w:tcPr>
          <w:p w14:paraId="2A6D7D1F" w14:textId="77777777" w:rsidR="00A6464B" w:rsidRPr="00080B64" w:rsidRDefault="00A6464B" w:rsidP="00694420">
            <w:pPr>
              <w:spacing w:before="120" w:after="120" w:line="360" w:lineRule="auto"/>
              <w:jc w:val="center"/>
              <w:rPr>
                <w:sz w:val="24"/>
                <w:szCs w:val="24"/>
              </w:rPr>
            </w:pPr>
          </w:p>
        </w:tc>
        <w:tc>
          <w:tcPr>
            <w:tcW w:w="8222" w:type="dxa"/>
            <w:vAlign w:val="center"/>
          </w:tcPr>
          <w:p w14:paraId="4565C915" w14:textId="085EFE14" w:rsidR="00A6464B" w:rsidRPr="00080B64" w:rsidRDefault="009442A0" w:rsidP="00625AF1">
            <w:pPr>
              <w:spacing w:before="240" w:after="240"/>
              <w:jc w:val="center"/>
              <w:rPr>
                <w:rFonts w:ascii="Cambria Math" w:hAnsi="Cambria Math"/>
                <w:i/>
                <w:sz w:val="24"/>
                <w:szCs w:val="24"/>
              </w:rPr>
            </w:pPr>
            <m:oMathPara>
              <m:oMath>
                <m:sSub>
                  <m:sSubPr>
                    <m:ctrlPr>
                      <w:rPr>
                        <w:rFonts w:ascii="Cambria Math" w:hAnsi="Cambria Math"/>
                        <w:i/>
                        <w:sz w:val="24"/>
                        <w:szCs w:val="24"/>
                      </w:rPr>
                    </m:ctrlPr>
                  </m:sSubPr>
                  <m:e>
                    <m:r>
                      <w:rPr>
                        <w:rFonts w:ascii="Cambria Math" w:hAnsi="Cambria Math"/>
                        <w:sz w:val="24"/>
                        <w:szCs w:val="24"/>
                      </w:rPr>
                      <m:t>CH</m:t>
                    </m:r>
                  </m:e>
                  <m:sub>
                    <m:r>
                      <w:rPr>
                        <w:rFonts w:ascii="Cambria Math"/>
                        <w:sz w:val="24"/>
                        <w:szCs w:val="24"/>
                      </w:rPr>
                      <m:t>4(g)</m:t>
                    </m:r>
                  </m:sub>
                </m:sSub>
                <m:r>
                  <w:rPr>
                    <w:rFonts w:ascii="Cambria Math"/>
                    <w:sz w:val="24"/>
                    <w:szCs w:val="24"/>
                  </w:rPr>
                  <m:t>↔</m:t>
                </m:r>
                <m:r>
                  <w:rPr>
                    <w:rFonts w:ascii="Cambria Math"/>
                    <w:sz w:val="24"/>
                    <w:szCs w:val="24"/>
                  </w:rPr>
                  <m:t>2</m:t>
                </m:r>
                <m:sSub>
                  <m:sSubPr>
                    <m:ctrlPr>
                      <w:rPr>
                        <w:rFonts w:ascii="Cambria Math" w:hAnsi="Cambria Math"/>
                        <w:i/>
                        <w:sz w:val="24"/>
                        <w:szCs w:val="24"/>
                      </w:rPr>
                    </m:ctrlPr>
                  </m:sSubPr>
                  <m:e>
                    <m:r>
                      <w:rPr>
                        <w:rFonts w:ascii="Cambria Math" w:hAnsi="Cambria Math"/>
                        <w:sz w:val="24"/>
                        <w:szCs w:val="24"/>
                      </w:rPr>
                      <m:t>H</m:t>
                    </m:r>
                  </m:e>
                  <m:sub>
                    <m:r>
                      <w:rPr>
                        <w:rFonts w:ascii="Cambria Math"/>
                        <w:sz w:val="24"/>
                        <w:szCs w:val="24"/>
                      </w:rPr>
                      <m:t>2(</m:t>
                    </m:r>
                    <m:r>
                      <w:rPr>
                        <w:rFonts w:ascii="Cambria Math" w:hAnsi="Cambria Math"/>
                        <w:sz w:val="24"/>
                        <w:szCs w:val="24"/>
                      </w:rPr>
                      <m:t>g</m:t>
                    </m:r>
                    <m:r>
                      <w:rPr>
                        <w:rFonts w:ascii="Cambria Math"/>
                        <w:sz w:val="24"/>
                        <w:szCs w:val="24"/>
                      </w:rPr>
                      <m:t>)</m:t>
                    </m:r>
                  </m:sub>
                </m:sSub>
                <m:r>
                  <w:rPr>
                    <w:rFonts w:asci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sz w:val="24"/>
                        <w:szCs w:val="24"/>
                      </w:rPr>
                      <m:t>(s)</m:t>
                    </m:r>
                  </m:sub>
                </m:sSub>
              </m:oMath>
            </m:oMathPara>
          </w:p>
        </w:tc>
        <w:tc>
          <w:tcPr>
            <w:tcW w:w="881" w:type="dxa"/>
            <w:vAlign w:val="center"/>
          </w:tcPr>
          <w:p w14:paraId="6CDFF4A8" w14:textId="77777777" w:rsidR="00A6464B" w:rsidRPr="00080B64" w:rsidRDefault="00A6464B" w:rsidP="00D51F75">
            <w:pPr>
              <w:spacing w:before="240" w:after="240" w:line="240" w:lineRule="exact"/>
              <w:jc w:val="center"/>
              <w:rPr>
                <w:sz w:val="24"/>
                <w:szCs w:val="24"/>
              </w:rPr>
            </w:pPr>
            <w:r w:rsidRPr="00D51F75">
              <w:rPr>
                <w:sz w:val="24"/>
                <w:szCs w:val="24"/>
              </w:rPr>
              <w:t>(</w:t>
            </w:r>
            <w:r w:rsidR="00D51F75" w:rsidRPr="00D51F75">
              <w:rPr>
                <w:sz w:val="24"/>
                <w:szCs w:val="24"/>
              </w:rPr>
              <w:t>6</w:t>
            </w:r>
            <w:r w:rsidRPr="00D51F75">
              <w:rPr>
                <w:sz w:val="24"/>
                <w:szCs w:val="24"/>
              </w:rPr>
              <w:t>)</w:t>
            </w:r>
          </w:p>
        </w:tc>
      </w:tr>
    </w:tbl>
    <w:p w14:paraId="7E83603C" w14:textId="77777777" w:rsidR="00A6464B" w:rsidRPr="00625AF1" w:rsidRDefault="00A6464B" w:rsidP="00625AF1">
      <w:pPr>
        <w:autoSpaceDE w:val="0"/>
        <w:autoSpaceDN w:val="0"/>
        <w:adjustRightInd w:val="0"/>
        <w:spacing w:before="240" w:after="0" w:line="480" w:lineRule="auto"/>
        <w:jc w:val="both"/>
        <w:rPr>
          <w:rFonts w:ascii="Times New Roman" w:hAnsi="Times New Roman" w:cs="Times New Roman"/>
          <w:sz w:val="24"/>
          <w:szCs w:val="24"/>
        </w:rPr>
      </w:pPr>
      <w:r w:rsidRPr="00625AF1">
        <w:rPr>
          <w:rFonts w:ascii="Times New Roman" w:hAnsi="Times New Roman" w:cs="Times New Roman"/>
          <w:sz w:val="24"/>
          <w:szCs w:val="24"/>
        </w:rPr>
        <w:t>Carbon monoxide can be converted into carbon and CO</w:t>
      </w:r>
      <w:r w:rsidRPr="00625AF1">
        <w:rPr>
          <w:rFonts w:ascii="Times New Roman" w:hAnsi="Times New Roman" w:cs="Times New Roman"/>
          <w:sz w:val="24"/>
          <w:szCs w:val="24"/>
          <w:vertAlign w:val="subscript"/>
        </w:rPr>
        <w:t>2</w:t>
      </w:r>
      <w:r w:rsidRPr="00625AF1">
        <w:rPr>
          <w:rFonts w:ascii="Times New Roman" w:hAnsi="Times New Roman" w:cs="Times New Roman"/>
          <w:sz w:val="24"/>
          <w:szCs w:val="24"/>
        </w:rPr>
        <w:t xml:space="preserve"> by the Boudouard disproportionation reaction: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F6353A" w14:paraId="34C04286" w14:textId="77777777" w:rsidTr="00D51F75">
        <w:trPr>
          <w:trHeight w:val="598"/>
        </w:trPr>
        <w:tc>
          <w:tcPr>
            <w:tcW w:w="675" w:type="dxa"/>
            <w:vAlign w:val="center"/>
          </w:tcPr>
          <w:p w14:paraId="110FD709" w14:textId="77777777" w:rsidR="00A6464B" w:rsidRPr="001840B8" w:rsidRDefault="00A6464B" w:rsidP="00625AF1">
            <w:pPr>
              <w:spacing w:before="120" w:after="120"/>
              <w:jc w:val="center"/>
              <w:rPr>
                <w:sz w:val="24"/>
                <w:szCs w:val="24"/>
              </w:rPr>
            </w:pPr>
          </w:p>
        </w:tc>
        <w:tc>
          <w:tcPr>
            <w:tcW w:w="8222" w:type="dxa"/>
            <w:vAlign w:val="center"/>
          </w:tcPr>
          <w:p w14:paraId="27B923DA" w14:textId="77777777" w:rsidR="00A6464B" w:rsidRPr="00BC048B" w:rsidRDefault="00A6464B" w:rsidP="00625AF1">
            <w:pPr>
              <w:spacing w:before="240" w:after="240"/>
              <w:jc w:val="center"/>
              <w:rPr>
                <w:rFonts w:ascii="Cambria Math" w:hAnsi="Cambria Math"/>
                <w:i/>
                <w:sz w:val="24"/>
                <w:szCs w:val="24"/>
              </w:rPr>
            </w:pPr>
            <m:oMathPara>
              <m:oMath>
                <m:r>
                  <w:rPr>
                    <w:rFonts w:ascii="Cambria Math"/>
                    <w:sz w:val="24"/>
                    <w:szCs w:val="24"/>
                  </w:rPr>
                  <m:t>2</m:t>
                </m:r>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O</m:t>
                    </m:r>
                  </m:e>
                  <m:sub>
                    <m:r>
                      <w:rPr>
                        <w:rFonts w:ascii="Cambria Math"/>
                        <w:sz w:val="24"/>
                        <w:szCs w:val="24"/>
                      </w:rPr>
                      <m:t>(</m:t>
                    </m:r>
                    <m:r>
                      <w:rPr>
                        <w:rFonts w:ascii="Cambria Math" w:hAnsi="Cambria Math"/>
                        <w:sz w:val="24"/>
                        <w:szCs w:val="24"/>
                      </w:rPr>
                      <m:t>g</m:t>
                    </m:r>
                    <m:r>
                      <w:rPr>
                        <w:rFonts w:ascii="Cambria Math"/>
                        <w:sz w:val="24"/>
                        <w:szCs w:val="24"/>
                      </w:rPr>
                      <m: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CO</m:t>
                    </m:r>
                  </m:e>
                  <m:sub>
                    <m:r>
                      <w:rPr>
                        <w:rFonts w:ascii="Cambria Math"/>
                        <w:sz w:val="24"/>
                        <w:szCs w:val="24"/>
                      </w:rPr>
                      <m:t>2(g)</m:t>
                    </m:r>
                  </m:sub>
                </m:sSub>
                <m:r>
                  <w:rPr>
                    <w:rFonts w:ascii="Cambria Math"/>
                    <w:sz w:val="24"/>
                    <w:szCs w:val="24"/>
                  </w:rPr>
                  <m:t>+</m:t>
                </m:r>
                <m:sSub>
                  <m:sSubPr>
                    <m:ctrlPr>
                      <w:rPr>
                        <w:rFonts w:ascii="Cambria Math" w:eastAsiaTheme="minorHAnsi" w:hAnsi="Cambria Math"/>
                        <w:i/>
                        <w:sz w:val="24"/>
                        <w:szCs w:val="24"/>
                        <w:lang w:eastAsia="en-US"/>
                      </w:rPr>
                    </m:ctrlPr>
                  </m:sSubPr>
                  <m:e>
                    <m:r>
                      <w:rPr>
                        <w:rFonts w:ascii="Cambria Math" w:hAnsi="Cambria Math"/>
                        <w:sz w:val="24"/>
                        <w:szCs w:val="24"/>
                      </w:rPr>
                      <m:t>C</m:t>
                    </m:r>
                  </m:e>
                  <m:sub>
                    <m:r>
                      <w:rPr>
                        <w:rFonts w:ascii="Cambria Math"/>
                        <w:sz w:val="24"/>
                        <w:szCs w:val="24"/>
                      </w:rPr>
                      <m:t>(s)</m:t>
                    </m:r>
                  </m:sub>
                </m:sSub>
              </m:oMath>
            </m:oMathPara>
          </w:p>
        </w:tc>
        <w:tc>
          <w:tcPr>
            <w:tcW w:w="881" w:type="dxa"/>
            <w:shd w:val="clear" w:color="auto" w:fill="auto"/>
            <w:vAlign w:val="center"/>
          </w:tcPr>
          <w:p w14:paraId="04A122CA" w14:textId="77777777" w:rsidR="00A6464B" w:rsidRPr="00F6353A" w:rsidRDefault="00A6464B" w:rsidP="00D51F75">
            <w:pPr>
              <w:spacing w:before="240" w:after="240"/>
              <w:jc w:val="center"/>
              <w:rPr>
                <w:sz w:val="24"/>
                <w:szCs w:val="24"/>
              </w:rPr>
            </w:pPr>
            <w:r w:rsidRPr="00D51F75">
              <w:rPr>
                <w:sz w:val="24"/>
                <w:szCs w:val="24"/>
              </w:rPr>
              <w:t>(</w:t>
            </w:r>
            <w:r w:rsidR="00D51F75" w:rsidRPr="00D51F75">
              <w:rPr>
                <w:sz w:val="24"/>
                <w:szCs w:val="24"/>
              </w:rPr>
              <w:t>7</w:t>
            </w:r>
            <w:r w:rsidRPr="00D51F75">
              <w:rPr>
                <w:sz w:val="24"/>
                <w:szCs w:val="24"/>
              </w:rPr>
              <w:t>)</w:t>
            </w:r>
          </w:p>
        </w:tc>
      </w:tr>
    </w:tbl>
    <w:p w14:paraId="4EC4EFC9" w14:textId="77777777" w:rsidR="00A6464B" w:rsidRPr="004F0892" w:rsidRDefault="00A6464B" w:rsidP="00A6464B">
      <w:pPr>
        <w:autoSpaceDE w:val="0"/>
        <w:autoSpaceDN w:val="0"/>
        <w:adjustRightInd w:val="0"/>
        <w:spacing w:after="0" w:line="240" w:lineRule="auto"/>
        <w:jc w:val="both"/>
        <w:rPr>
          <w:rFonts w:ascii="Arial" w:hAnsi="Arial" w:cs="Arial"/>
          <w:szCs w:val="24"/>
        </w:rPr>
      </w:pPr>
    </w:p>
    <w:p w14:paraId="742FDB71" w14:textId="72B5F113" w:rsidR="00A6464B" w:rsidRPr="00625AF1" w:rsidRDefault="00A6464B" w:rsidP="00625AF1">
      <w:pPr>
        <w:autoSpaceDE w:val="0"/>
        <w:autoSpaceDN w:val="0"/>
        <w:adjustRightInd w:val="0"/>
        <w:spacing w:after="0" w:line="480" w:lineRule="auto"/>
        <w:jc w:val="both"/>
        <w:rPr>
          <w:rFonts w:ascii="Times New Roman" w:hAnsi="Times New Roman" w:cs="Times New Roman"/>
          <w:sz w:val="24"/>
          <w:szCs w:val="24"/>
        </w:rPr>
      </w:pPr>
      <w:r w:rsidRPr="00625AF1">
        <w:rPr>
          <w:rFonts w:ascii="Times New Roman" w:hAnsi="Times New Roman" w:cs="Times New Roman"/>
          <w:sz w:val="24"/>
          <w:szCs w:val="24"/>
        </w:rPr>
        <w:t>Another reaction mechanism that can lead to the formation of solid carbon is the reduction of carbon monoxide by hy</w:t>
      </w:r>
      <w:r w:rsidRPr="00516CCC">
        <w:rPr>
          <w:rFonts w:ascii="Times New Roman" w:hAnsi="Times New Roman" w:cs="Times New Roman"/>
          <w:sz w:val="24"/>
          <w:szCs w:val="24"/>
        </w:rPr>
        <w:t>drogen</w:t>
      </w:r>
      <w:r w:rsidR="00516CCC" w:rsidRPr="00516CCC">
        <w:rPr>
          <w:rFonts w:ascii="Times New Roman" w:hAnsi="Times New Roman" w:cs="Times New Roman"/>
          <w:sz w:val="24"/>
          <w:szCs w:val="24"/>
        </w:rPr>
        <w:t xml:space="preserve"> </w:t>
      </w:r>
      <w:r w:rsidR="00516CCC" w:rsidRPr="00516CCC">
        <w:rPr>
          <w:rFonts w:ascii="Times New Roman" w:eastAsia="TimesNewRoman" w:hAnsi="Times New Roman" w:cs="Times New Roman"/>
          <w:sz w:val="24"/>
          <w:szCs w:val="24"/>
        </w:rPr>
        <w:fldChar w:fldCharType="begin" w:fldLock="1"/>
      </w:r>
      <w:r w:rsidR="001C1C39">
        <w:rPr>
          <w:rFonts w:ascii="Times New Roman" w:eastAsia="TimesNewRoman" w:hAnsi="Times New Roman" w:cs="Times New Roman"/>
          <w:sz w:val="24"/>
          <w:szCs w:val="24"/>
        </w:rPr>
        <w:instrText>ADDIN CSL_CITATION { "citationItems" : [ { "id" : "ITEM-1", "itemData" : { "DOI" : "10.1016/j.jpowsour.2011.10.080", "ISBN" : "0378-7753", "ISSN" : "03787753", "abstract" : "The suggestion has been made in the literature that solid oxide fuel cells (SOFCs) operated with syngas as fuel may be viable in certain gas ratio regimes. We have explored this hypothesis with a promising bimetallic anode material. SOFCs with Ni 0.7Co 0.3-YSZ cermet anodes were operated with CO/H 2 mixtures in the full concentration range. Electrochemical impedance spectroscopy and voltammetry measurements were employed to measure the exchange current density (i 0) values of each fuel mixture. The fuel mixtures of CO/H 2 ratios corresponding to the range 20/80 and 30/70 were found to have i 0 values larger than that of pure H 2 with the same cell. For these two fuel ratios, an improvement of 5-8 times, respectively, in the exchange current density has been observed. Higher CO/H 2 fuel ratios in the range of 60/40-80/20 produced i 0 values lower than H 2, as carbon poisoning is operational in this region. Continuous running of a cell with fuel ratio 25/75 CO/H 2 for 7 days produced i 0 values above the values for pure H 2 as has been recently suggested. ?? 2011 Elsevier B.V. All rights reserved.", "author" : [ { "dropping-particle" : "", "family" : "O'Brien", "given" : "Julie S.", "non-dropping-particle" : "", "parse-names" : false, "suffix" : "" }, { "dropping-particle" : "", "family" : "Giorgi", "given" : "Javier B.", "non-dropping-particle" : "", "parse-names" : false, "suffix" : "" } ], "container-title" : "Journal of Power Sources", "id" : "ITEM-1", "issued" : { "date-parts" : [ [ "2012" ] ] }, "page" : "14-20", "publisher" : "Elsevier B.V.", "title" : "Solid oxide fuel cell with NiCo-YSZ cermet anode for oxidation of CO/H 2 fuel mixtures", "type" : "article-journal", "volume" : "200" }, "uris" : [ "http://www.mendeley.com/documents/?uuid=3f405f06-0546-47ed-981e-52f918bb2578", "http://www.mendeley.com/documents/?uuid=5e494b1a-cb0f-4f25-8396-24d2527810f4" ] } ], "mendeley" : { "formattedCitation" : "[33]", "plainTextFormattedCitation" : "[33]", "previouslyFormattedCitation" : "[32]" }, "properties" : { "noteIndex" : 0 }, "schema" : "https://github.com/citation-style-language/schema/raw/master/csl-citation.json" }</w:instrText>
      </w:r>
      <w:r w:rsidR="00516CCC" w:rsidRPr="00516CCC">
        <w:rPr>
          <w:rFonts w:ascii="Times New Roman" w:eastAsia="TimesNewRoman" w:hAnsi="Times New Roman" w:cs="Times New Roman"/>
          <w:sz w:val="24"/>
          <w:szCs w:val="24"/>
        </w:rPr>
        <w:fldChar w:fldCharType="separate"/>
      </w:r>
      <w:r w:rsidR="001C1C39" w:rsidRPr="001C1C39">
        <w:rPr>
          <w:rFonts w:ascii="Times New Roman" w:eastAsia="TimesNewRoman" w:hAnsi="Times New Roman" w:cs="Times New Roman"/>
          <w:noProof/>
          <w:sz w:val="24"/>
          <w:szCs w:val="24"/>
        </w:rPr>
        <w:t>[33]</w:t>
      </w:r>
      <w:r w:rsidR="00516CCC" w:rsidRPr="00516CCC">
        <w:rPr>
          <w:rFonts w:ascii="Times New Roman" w:eastAsia="TimesNewRoman" w:hAnsi="Times New Roman" w:cs="Times New Roman"/>
          <w:sz w:val="24"/>
          <w:szCs w:val="24"/>
        </w:rPr>
        <w:fldChar w:fldCharType="end"/>
      </w:r>
      <w:r w:rsidRPr="00625AF1">
        <w:rPr>
          <w:rFonts w:ascii="Times New Roman" w:hAnsi="Times New Roman" w:cs="Times New Roman"/>
          <w:sz w:val="24"/>
          <w:szCs w:val="24"/>
        </w:rPr>
        <w:t>:</w:t>
      </w:r>
    </w:p>
    <w:p w14:paraId="6B026DB1" w14:textId="77777777" w:rsidR="00A6464B" w:rsidRPr="004F0892" w:rsidRDefault="00A6464B" w:rsidP="00A6464B">
      <w:pPr>
        <w:autoSpaceDE w:val="0"/>
        <w:autoSpaceDN w:val="0"/>
        <w:adjustRightInd w:val="0"/>
        <w:spacing w:after="0" w:line="240" w:lineRule="auto"/>
        <w:jc w:val="both"/>
        <w:rPr>
          <w:rFonts w:ascii="Arial" w:hAnsi="Arial" w:cs="Arial"/>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F6353A" w14:paraId="3ACEA6AA" w14:textId="77777777" w:rsidTr="00694420">
        <w:trPr>
          <w:trHeight w:val="598"/>
        </w:trPr>
        <w:tc>
          <w:tcPr>
            <w:tcW w:w="675" w:type="dxa"/>
            <w:vAlign w:val="center"/>
          </w:tcPr>
          <w:p w14:paraId="57371204" w14:textId="77777777" w:rsidR="00A6464B" w:rsidRPr="001840B8" w:rsidRDefault="00A6464B" w:rsidP="00625AF1">
            <w:pPr>
              <w:spacing w:before="120" w:after="120"/>
              <w:jc w:val="center"/>
              <w:rPr>
                <w:sz w:val="24"/>
                <w:szCs w:val="24"/>
              </w:rPr>
            </w:pPr>
          </w:p>
        </w:tc>
        <w:tc>
          <w:tcPr>
            <w:tcW w:w="8222" w:type="dxa"/>
            <w:vAlign w:val="center"/>
          </w:tcPr>
          <w:p w14:paraId="76BB00E3" w14:textId="77777777" w:rsidR="00A6464B" w:rsidRPr="00BC048B" w:rsidRDefault="00A6464B" w:rsidP="00625AF1">
            <w:pPr>
              <w:spacing w:before="240" w:after="240"/>
              <w:jc w:val="center"/>
              <w:rPr>
                <w:rFonts w:ascii="Cambria Math" w:hAnsi="Cambria Math"/>
                <w:i/>
                <w:sz w:val="24"/>
                <w:szCs w:val="24"/>
              </w:rPr>
            </w:pPr>
            <m:oMathPara>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O</m:t>
                    </m:r>
                  </m:e>
                  <m:sub>
                    <m:r>
                      <w:rPr>
                        <w:rFonts w:ascii="Cambria Math"/>
                        <w:sz w:val="24"/>
                        <w:szCs w:val="24"/>
                      </w:rPr>
                      <m:t>(</m:t>
                    </m:r>
                    <m:r>
                      <w:rPr>
                        <w:rFonts w:ascii="Cambria Math" w:hAnsi="Cambria Math"/>
                        <w:sz w:val="24"/>
                        <w:szCs w:val="24"/>
                      </w:rPr>
                      <m:t>g</m:t>
                    </m:r>
                    <m:r>
                      <w:rPr>
                        <w:rFonts w:ascii="Cambria Math"/>
                        <w:sz w:val="24"/>
                        <w:szCs w:val="24"/>
                      </w:rPr>
                      <m:t>)</m:t>
                    </m:r>
                  </m:sub>
                </m:sSub>
                <m:r>
                  <w:rPr>
                    <w:rFonts w:asci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sz w:val="24"/>
                        <w:szCs w:val="24"/>
                      </w:rPr>
                      <m:t>2(</m:t>
                    </m:r>
                    <m:r>
                      <w:rPr>
                        <w:rFonts w:ascii="Cambria Math" w:hAnsi="Cambria Math"/>
                        <w:sz w:val="24"/>
                        <w:szCs w:val="24"/>
                      </w:rPr>
                      <m:t>g</m:t>
                    </m:r>
                    <m:r>
                      <w:rPr>
                        <w:rFonts w:ascii="Cambria Math"/>
                        <w:sz w:val="24"/>
                        <w:szCs w:val="24"/>
                      </w:rPr>
                      <m: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sz w:val="24"/>
                        <w:szCs w:val="24"/>
                      </w:rPr>
                      <m:t>(</m:t>
                    </m:r>
                    <m:r>
                      <w:rPr>
                        <w:rFonts w:ascii="Cambria Math" w:hAnsi="Cambria Math"/>
                        <w:sz w:val="24"/>
                        <w:szCs w:val="24"/>
                      </w:rPr>
                      <m:t>s</m:t>
                    </m:r>
                    <m:r>
                      <w:rPr>
                        <w:rFonts w:ascii="Cambria Math"/>
                        <w:sz w:val="24"/>
                        <w:szCs w:val="24"/>
                      </w:rPr>
                      <m:t>)</m:t>
                    </m:r>
                  </m:sub>
                </m:sSub>
                <m:r>
                  <w:rPr>
                    <w:rFonts w:asci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sz w:val="24"/>
                        <w:szCs w:val="24"/>
                      </w:rPr>
                      <m:t>2</m:t>
                    </m:r>
                  </m:sub>
                </m:sSub>
                <m:sSub>
                  <m:sSubPr>
                    <m:ctrlPr>
                      <w:rPr>
                        <w:rFonts w:ascii="Cambria Math" w:hAnsi="Cambria Math"/>
                        <w:i/>
                        <w:sz w:val="24"/>
                        <w:szCs w:val="24"/>
                      </w:rPr>
                    </m:ctrlPr>
                  </m:sSubPr>
                  <m:e>
                    <m:r>
                      <w:rPr>
                        <w:rFonts w:ascii="Cambria Math" w:hAnsi="Cambria Math"/>
                        <w:sz w:val="24"/>
                        <w:szCs w:val="24"/>
                      </w:rPr>
                      <m:t>O</m:t>
                    </m:r>
                  </m:e>
                  <m:sub>
                    <m:r>
                      <w:rPr>
                        <w:rFonts w:ascii="Cambria Math"/>
                        <w:sz w:val="24"/>
                        <w:szCs w:val="24"/>
                      </w:rPr>
                      <m:t>(</m:t>
                    </m:r>
                    <m:r>
                      <w:rPr>
                        <w:rFonts w:ascii="Cambria Math" w:hAnsi="Cambria Math"/>
                        <w:sz w:val="24"/>
                        <w:szCs w:val="24"/>
                      </w:rPr>
                      <m:t>g</m:t>
                    </m:r>
                    <m:r>
                      <w:rPr>
                        <w:rFonts w:ascii="Cambria Math"/>
                        <w:sz w:val="24"/>
                        <w:szCs w:val="24"/>
                      </w:rPr>
                      <m:t>)</m:t>
                    </m:r>
                  </m:sub>
                </m:sSub>
              </m:oMath>
            </m:oMathPara>
          </w:p>
        </w:tc>
        <w:tc>
          <w:tcPr>
            <w:tcW w:w="881" w:type="dxa"/>
            <w:vAlign w:val="center"/>
          </w:tcPr>
          <w:p w14:paraId="7F1DF1B5" w14:textId="77777777" w:rsidR="00A6464B" w:rsidRPr="00F6353A" w:rsidRDefault="00D51F75" w:rsidP="00625AF1">
            <w:pPr>
              <w:spacing w:before="240" w:after="240"/>
              <w:jc w:val="center"/>
              <w:rPr>
                <w:sz w:val="24"/>
                <w:szCs w:val="24"/>
              </w:rPr>
            </w:pPr>
            <w:r>
              <w:rPr>
                <w:sz w:val="24"/>
                <w:szCs w:val="24"/>
              </w:rPr>
              <w:t>(8)</w:t>
            </w:r>
          </w:p>
        </w:tc>
      </w:tr>
    </w:tbl>
    <w:p w14:paraId="24DC8F9E" w14:textId="77777777" w:rsidR="00A6464B" w:rsidRPr="00625AF1" w:rsidRDefault="00A6464B" w:rsidP="00625AF1">
      <w:pPr>
        <w:autoSpaceDE w:val="0"/>
        <w:autoSpaceDN w:val="0"/>
        <w:adjustRightInd w:val="0"/>
        <w:spacing w:after="0" w:line="480" w:lineRule="auto"/>
        <w:jc w:val="both"/>
        <w:rPr>
          <w:rFonts w:ascii="Times New Roman" w:hAnsi="Times New Roman" w:cs="Times New Roman"/>
          <w:sz w:val="24"/>
          <w:szCs w:val="24"/>
        </w:rPr>
      </w:pPr>
    </w:p>
    <w:p w14:paraId="3C7E5B4B" w14:textId="1A53A05C"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625AF1">
        <w:rPr>
          <w:rFonts w:ascii="Times New Roman" w:hAnsi="Times New Roman" w:cs="Times New Roman"/>
          <w:sz w:val="24"/>
          <w:szCs w:val="24"/>
        </w:rPr>
        <w:t xml:space="preserve">In the </w:t>
      </w:r>
      <w:r w:rsidRPr="00516CCC">
        <w:rPr>
          <w:rFonts w:ascii="Times New Roman" w:hAnsi="Times New Roman" w:cs="Times New Roman"/>
          <w:sz w:val="24"/>
          <w:szCs w:val="24"/>
        </w:rPr>
        <w:t xml:space="preserve">study of Li et al. </w:t>
      </w:r>
      <w:r w:rsidR="00516CCC" w:rsidRPr="00516CCC">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"10.1016/j.jpowsour.2014.11.106", "ISSN" : "03787753", "author" : [ { "dropping-particle" : "", "family" : "Li", "given" : "Wenying", "non-dropping-particle" : "", "parse-names" : false, "suffix" : "" }, { "dropping-particle" : "", "family" : "Shi", "given" : "Yixiang", "non-dropping-particle" : "", "parse-names" : false, "suffix" : "" }, { "dropping-particle" : "", "family" : "Luo", "given" : "Yu", "non-dropping-particle" : "", "parse-names" : false, "suffix" : "" }, { "dropping-particle" : "", "family" : "Wang", "given" : "Yuqing", "non-dropping-particle" : "", "parse-names" : false, "suffix" : "" }, { "dropping-particle" : "", "family" : "Cai", "given" : "Ningsheng", "non-dropping-particle" : "", "parse-names" : false, "suffix" : "" } ], "container-title" : "Journal of Power Sources", "id" : "ITEM-1", "issued" : { "date-parts" : [ [ "2015" ] ] }, "page" : "26-31", "publisher" : "Elsevier B.V", "title" : "Carbon deposition on patterned nickel/yttria stabilized zirconia electrodes for solid oxide fuel cell/solid oxide electrolysis cell modes", "type" : "article-journal", "volume" : "276" }, "uris" : [ "http://www.mendeley.com/documents/?uuid=0f534029-221f-40e7-8790-43d8de22b479", "http://www.mendeley.com/documents/?uuid=96255ec6-c4a9-4be4-942c-91bd123bebf6" ] } ], "mendeley" : { "formattedCitation" : "[34]", "plainTextFormattedCitation" : "[34]", "previouslyFormattedCitation" : "[33]" }, "properties" : { "noteIndex" : 0 }, "schema" : "https://github.com/citation-style-language/schema/raw/master/csl-citation.json" }</w:instrText>
      </w:r>
      <w:r w:rsidR="00516CCC" w:rsidRPr="00516CCC">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[34]</w:t>
      </w:r>
      <w:r w:rsidR="00516CCC" w:rsidRPr="00516CCC">
        <w:rPr>
          <w:rFonts w:ascii="Times New Roman" w:hAnsi="Times New Roman" w:cs="Times New Roman"/>
          <w:sz w:val="24"/>
          <w:szCs w:val="24"/>
        </w:rPr>
        <w:fldChar w:fldCharType="end"/>
      </w:r>
      <w:r w:rsidRPr="00516CCC">
        <w:rPr>
          <w:rFonts w:ascii="Times New Roman" w:hAnsi="Times New Roman" w:cs="Times New Roman"/>
          <w:sz w:val="24"/>
          <w:szCs w:val="24"/>
        </w:rPr>
        <w:t xml:space="preserve"> it was also</w:t>
      </w:r>
      <w:r w:rsidRPr="00625AF1">
        <w:rPr>
          <w:rFonts w:ascii="Times New Roman" w:hAnsi="Times New Roman" w:cs="Times New Roman"/>
          <w:sz w:val="24"/>
          <w:szCs w:val="24"/>
        </w:rPr>
        <w:t xml:space="preserve"> speculated that deposited carbon could be directly produced or consumed by the following electrochemical reaction at TPB:</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F6353A" w14:paraId="5369321A" w14:textId="77777777" w:rsidTr="00694420">
        <w:trPr>
          <w:trHeight w:val="598"/>
        </w:trPr>
        <w:tc>
          <w:tcPr>
            <w:tcW w:w="675" w:type="dxa"/>
            <w:vAlign w:val="center"/>
          </w:tcPr>
          <w:p w14:paraId="56811D3E" w14:textId="77777777" w:rsidR="00A6464B" w:rsidRPr="001840B8" w:rsidRDefault="00A6464B" w:rsidP="00625AF1">
            <w:pPr>
              <w:spacing w:before="120" w:after="120"/>
              <w:jc w:val="center"/>
              <w:rPr>
                <w:sz w:val="24"/>
                <w:szCs w:val="24"/>
              </w:rPr>
            </w:pPr>
          </w:p>
        </w:tc>
        <w:tc>
          <w:tcPr>
            <w:tcW w:w="8222" w:type="dxa"/>
            <w:vAlign w:val="center"/>
          </w:tcPr>
          <w:p w14:paraId="324BBAED" w14:textId="77777777" w:rsidR="00A6464B" w:rsidRPr="00BC048B" w:rsidRDefault="009442A0" w:rsidP="00625AF1">
            <w:pPr>
              <w:spacing w:before="240" w:after="240"/>
              <w:jc w:val="center"/>
              <w:rPr>
                <w:rFonts w:ascii="Cambria Math" w:hAnsi="Cambria Math"/>
                <w:i/>
                <w:sz w:val="24"/>
                <w:szCs w:val="24"/>
              </w:rPr>
            </w:pPr>
            <m:oMathPara>
              <m:oMath>
                <m:sSub>
                  <m:sSubPr>
                    <m:ctrlPr>
                      <w:rPr>
                        <w:rFonts w:ascii="Cambria Math" w:hAnsi="Cambria Math"/>
                        <w:i/>
                        <w:sz w:val="24"/>
                        <w:szCs w:val="24"/>
                      </w:rPr>
                    </m:ctrlPr>
                  </m:sSubPr>
                  <m:e>
                    <m:r>
                      <w:rPr>
                        <w:rFonts w:ascii="Cambria Math" w:hAnsi="Cambria Math"/>
                        <w:sz w:val="24"/>
                        <w:szCs w:val="24"/>
                      </w:rPr>
                      <m:t>C</m:t>
                    </m:r>
                  </m:e>
                  <m:sub>
                    <m:r>
                      <w:rPr>
                        <w:rFonts w:ascii="Cambria Math"/>
                        <w:sz w:val="24"/>
                        <w:szCs w:val="24"/>
                      </w:rPr>
                      <m:t>(</m:t>
                    </m:r>
                    <m:r>
                      <w:rPr>
                        <w:rFonts w:ascii="Cambria Math" w:hAnsi="Cambria Math"/>
                        <w:sz w:val="24"/>
                        <w:szCs w:val="24"/>
                      </w:rPr>
                      <m:t>s</m:t>
                    </m:r>
                    <m:r>
                      <w:rPr>
                        <w:rFonts w:ascii="Cambria Math"/>
                        <w:sz w:val="24"/>
                        <w:szCs w:val="24"/>
                      </w:rPr>
                      <m:t>)</m:t>
                    </m:r>
                  </m:sub>
                </m:sSub>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O</m:t>
                    </m:r>
                  </m:e>
                  <m:sup>
                    <m:r>
                      <w:rPr>
                        <w:rFonts w:ascii="Cambria Math" w:hAnsi="Cambria Math"/>
                        <w:sz w:val="24"/>
                        <w:szCs w:val="24"/>
                      </w:rPr>
                      <m:t>2-</m:t>
                    </m:r>
                  </m:sup>
                </m:sSup>
                <m:r>
                  <w:rPr>
                    <w:rFonts w:ascii="Cambria Math" w:hAnsi="Cambria Math"/>
                    <w:sz w:val="24"/>
                    <w:szCs w:val="24"/>
                  </w:rPr>
                  <m:t>↔</m:t>
                </m:r>
                <m:r>
                  <w:rPr>
                    <w:rFonts w:ascii="Cambria Math"/>
                    <w:sz w:val="24"/>
                    <w:szCs w:val="24"/>
                  </w:rPr>
                  <m:t>C</m:t>
                </m:r>
                <m:sSub>
                  <m:sSubPr>
                    <m:ctrlPr>
                      <w:rPr>
                        <w:rFonts w:ascii="Cambria Math" w:hAnsi="Cambria Math"/>
                        <w:i/>
                        <w:sz w:val="24"/>
                        <w:szCs w:val="24"/>
                      </w:rPr>
                    </m:ctrlPr>
                  </m:sSubPr>
                  <m:e>
                    <m:r>
                      <w:rPr>
                        <w:rFonts w:ascii="Cambria Math"/>
                        <w:sz w:val="24"/>
                        <w:szCs w:val="24"/>
                      </w:rPr>
                      <m:t>O</m:t>
                    </m:r>
                  </m:e>
                  <m:sub>
                    <m:r>
                      <w:rPr>
                        <w:rFonts w:ascii="Cambria Math"/>
                        <w:sz w:val="24"/>
                        <w:szCs w:val="24"/>
                      </w:rPr>
                      <m:t>(g)</m:t>
                    </m:r>
                  </m:sub>
                </m:sSub>
                <m:r>
                  <w:rPr>
                    <w:rFonts w:ascii="Cambria Math"/>
                    <w:sz w:val="24"/>
                    <w:szCs w:val="24"/>
                  </w:rPr>
                  <m:t>+2</m:t>
                </m:r>
                <m:sSup>
                  <m:sSupPr>
                    <m:ctrlPr>
                      <w:rPr>
                        <w:rFonts w:ascii="Cambria Math" w:hAnsi="Cambria Math"/>
                        <w:i/>
                        <w:sz w:val="24"/>
                        <w:szCs w:val="24"/>
                      </w:rPr>
                    </m:ctrlPr>
                  </m:sSupPr>
                  <m:e>
                    <m:r>
                      <w:rPr>
                        <w:rFonts w:ascii="Cambria Math"/>
                        <w:sz w:val="24"/>
                        <w:szCs w:val="24"/>
                      </w:rPr>
                      <m:t>e</m:t>
                    </m:r>
                  </m:e>
                  <m:sup>
                    <m:r>
                      <w:rPr>
                        <w:rFonts w:ascii="Cambria Math"/>
                        <w:sz w:val="24"/>
                        <w:szCs w:val="24"/>
                      </w:rPr>
                      <m:t>-</m:t>
                    </m:r>
                  </m:sup>
                </m:sSup>
              </m:oMath>
            </m:oMathPara>
          </w:p>
        </w:tc>
        <w:tc>
          <w:tcPr>
            <w:tcW w:w="881" w:type="dxa"/>
            <w:vAlign w:val="center"/>
          </w:tcPr>
          <w:p w14:paraId="1E4EE30D" w14:textId="77777777" w:rsidR="00A6464B" w:rsidRPr="00F6353A" w:rsidRDefault="00D51F75" w:rsidP="00625AF1">
            <w:pPr>
              <w:spacing w:before="240" w:after="240"/>
              <w:jc w:val="center"/>
              <w:rPr>
                <w:sz w:val="24"/>
                <w:szCs w:val="24"/>
              </w:rPr>
            </w:pPr>
            <w:r>
              <w:rPr>
                <w:sz w:val="24"/>
                <w:szCs w:val="24"/>
              </w:rPr>
              <w:t>(9)</w:t>
            </w:r>
          </w:p>
        </w:tc>
      </w:tr>
    </w:tbl>
    <w:p w14:paraId="05B3FB1F" w14:textId="77777777" w:rsidR="00A6464B" w:rsidRDefault="00A6464B" w:rsidP="00A6464B">
      <w:pPr>
        <w:autoSpaceDE w:val="0"/>
        <w:autoSpaceDN w:val="0"/>
        <w:adjustRightInd w:val="0"/>
        <w:spacing w:after="0" w:line="240" w:lineRule="auto"/>
        <w:jc w:val="both"/>
        <w:rPr>
          <w:rFonts w:ascii="Arial" w:hAnsi="Arial" w:cs="Arial"/>
          <w:szCs w:val="24"/>
        </w:rPr>
      </w:pPr>
    </w:p>
    <w:p w14:paraId="64B58869" w14:textId="7335D2EA"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Among the reactions listed above, methane cracking </w:t>
      </w:r>
      <w:r w:rsidR="00D51F75">
        <w:rPr>
          <w:rFonts w:ascii="Times New Roman" w:hAnsi="Times New Roman" w:cs="Times New Roman"/>
          <w:sz w:val="24"/>
          <w:szCs w:val="24"/>
        </w:rPr>
        <w:t>(6</w:t>
      </w:r>
      <w:r w:rsidRPr="00516CCC">
        <w:rPr>
          <w:rFonts w:ascii="Times New Roman" w:hAnsi="Times New Roman" w:cs="Times New Roman"/>
          <w:sz w:val="24"/>
          <w:szCs w:val="24"/>
        </w:rPr>
        <w:t>) and Boudouard reaction (</w:t>
      </w:r>
      <w:r w:rsidR="00D51F75">
        <w:rPr>
          <w:rFonts w:ascii="Times New Roman" w:hAnsi="Times New Roman" w:cs="Times New Roman"/>
          <w:sz w:val="24"/>
          <w:szCs w:val="24"/>
        </w:rPr>
        <w:t>7</w:t>
      </w:r>
      <w:r w:rsidRPr="00516CCC">
        <w:rPr>
          <w:rFonts w:ascii="Times New Roman" w:hAnsi="Times New Roman" w:cs="Times New Roman"/>
          <w:sz w:val="24"/>
          <w:szCs w:val="24"/>
        </w:rPr>
        <w:t xml:space="preserve">) are those identified in the literature as the major pathways for carbon deposition on Ni-based catalysts and SOFC anodes </w:t>
      </w:r>
      <w:r w:rsidR="00950D2C">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"10.1016/S0926-860X(98)00244-0", "ISBN" : "0926-860X", "ISSN" : "0926860X", "abstract" : "This review describes a number of different, largely catalytic approaches for producing H2. Since a major fraction of the world's H2 is produced by catalytic processes, involving multiple steps with different types of catalysts, it is clear that catalysis plays a critical role in the production of H2. This review is focused on the use of catalysis for the current and future production of H2. Some background will be provided to give a perspective of the dramatic change in the supply and demand for H2 in the past decade, followed by a review of how it is produced commercially, with a view to how multiple types of catalysis contribute to the total process for H2 production. Steam methane reforming, the major approach for H2 manufacture, will be a focal point for most of the discussion in pointing out the large number of catalytic steps that are used in this major technology. Finally, some alternative catalytic approaches for H2 production will be described.", "author" : [ { "dropping-particle" : "", "family" : "Armor", "given" : "John N.", "non-dropping-particle" : "", "parse-names" : false, "suffix" : "" } ], "container-title" : "Applied Catalysis A: General", "id" : "ITEM-1", "issue" : "2", "issued" : { "date-parts" : [ [ "1999" ] ] }, "page" : "159-176", "title" : "The multiple roles for catalysis in the production of H2", "type" : "article-journal", "volume" : "176" }, "uris" : [ "http://www.mendeley.com/documents/?uuid=faae263e-9657-4a98-baf5-567809a396ee", "http://www.mendeley.com/documents/?uuid=873a0503-3ac5-4738-b413-95ae45c122e2" ] }, { "id" : "ITEM-2", "itemData" : { "DOI" : "10.1016/j.cej.2013.01.003", "ISSN" : "13858947", "abstract" : "The present work investigates the performance and degradation mechanisms of a Ni-based anode supported Solid Oxides Fuel Cells (SOFC) operating at \u223c800\u00b0C on direct internal reforming of dry CH4-CO2 mixtures. The catalytic properties of the anode support were first studied in a micro-reactor configuration to determine safe conditions (i.e., without carbon formation) under which a dry conversion of the methane can occur directly within the fuel cell. A full electrochemical characterization of complete cells followed to preliminarily assess their resistance towards carbon formation when operating on direct dry-reforming. Ageing tests of \u223c300h each have been performed in galvanostatic mode, with impedance spectra taken every 50h of continuous operation to monitor the trend over the time of the different polarization contributions. Post-mortem microstructural analysis was carried out after each experiment to verify the morphology and nucleation of carbon deposited in the anode electrode. \u00a9 2013 Elsevier B.V..", "author" : [ { "dropping-particle" : "", "family" : "Lanzini", "given" : "a.", "non-dropping-particle" : "", "parse-names" : false, "suffix" : "" }, { "dropping-particle" : "", "family" : "Leone", "given" : "P.", "non-dropping-particle" : "", "parse-names" : false, "suffix" : "" }, { "dropping-particle" : "", "family" : "Guerra", "given" : "C.", "non-dropping-particle" : "", "parse-names" : false, "suffix" : "" }, { "dropping-particle" : "", "family" : "Smeacetto", "given" : "F.", "non-dropping-particle" : "", "parse-names" : false, "suffix" : "" }, { "dropping-particle" : "", "family" : "Brandon", "given" : "N.P. P.", "non-dropping-particle" : "", "parse-names" : false, "suffix" : "" }, { "dropping-particle" : "", "family" : "Santarelli", "given" : "M.", "non-dropping-particle" : "", "parse-names" : false, "suffix" : "" } ], "container-title" : "Chemical Engineering Journal", "id" : "ITEM-2", "issued" : { "date-parts" : [ [ "2013", "3" ] ] }, "page" : "254-263", "title" : "Durability of anode supported Solid Oxides Fuel Cells (SOFC) under direct dry-reforming of methane", "type" : "article-journal", "volume" : "220" }, "uris" : [ "http://www.mendeley.com/documents/?uuid=67a960ad-056e-45fd-9da5-a288759a962d" ] } ], "mendeley" : { "formattedCitation" : "[26,35]", "plainTextFormattedCitation" : "[26,35]", "previouslyFormattedCitation" : "[26,34]" }, "properties" : { "noteIndex" : 0 }, "schema" : "https://github.com/citation-style-language/schema/raw/master/csl-citation.json" }</w:instrText>
      </w:r>
      <w:r w:rsidR="00950D2C">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[26,35]</w:t>
      </w:r>
      <w:r w:rsidR="00950D2C">
        <w:rPr>
          <w:rFonts w:ascii="Times New Roman" w:hAnsi="Times New Roman" w:cs="Times New Roman"/>
          <w:sz w:val="24"/>
          <w:szCs w:val="24"/>
        </w:rPr>
        <w:fldChar w:fldCharType="end"/>
      </w:r>
      <w:r w:rsidR="00950D2C">
        <w:rPr>
          <w:rFonts w:ascii="Times New Roman" w:hAnsi="Times New Roman" w:cs="Times New Roman"/>
          <w:sz w:val="24"/>
          <w:szCs w:val="24"/>
        </w:rPr>
        <w:t xml:space="preserve">. </w:t>
      </w:r>
      <w:r w:rsidRPr="00516CCC">
        <w:rPr>
          <w:rFonts w:ascii="Times New Roman" w:hAnsi="Times New Roman" w:cs="Times New Roman"/>
          <w:sz w:val="24"/>
          <w:szCs w:val="24"/>
        </w:rPr>
        <w:t xml:space="preserve">Therefore, only these reactions have been included in the model presented.  </w:t>
      </w:r>
    </w:p>
    <w:p w14:paraId="233F0E2C" w14:textId="40B13FBF"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In the SOFC literature, the most common modeling approach followed to describe carbon deposition is based on the thermodynamic equilibrium analysis. This </w:t>
      </w:r>
      <w:r w:rsidRPr="00873410">
        <w:rPr>
          <w:rFonts w:ascii="Times New Roman" w:hAnsi="Times New Roman" w:cs="Times New Roman"/>
          <w:noProof/>
          <w:sz w:val="24"/>
          <w:szCs w:val="24"/>
        </w:rPr>
        <w:t>approach</w:t>
      </w:r>
      <w:r w:rsidRPr="00516CCC">
        <w:rPr>
          <w:rFonts w:ascii="Times New Roman" w:hAnsi="Times New Roman" w:cs="Times New Roman"/>
          <w:sz w:val="24"/>
          <w:szCs w:val="24"/>
        </w:rPr>
        <w:t xml:space="preserve"> provides a measure of the distance from equilibrium of selected reactions by coefficients that are functions of partial pressures of chemical species and equilibrium constants. Examples are given by the studies of </w:t>
      </w:r>
      <w:r w:rsidRPr="00AC5451">
        <w:rPr>
          <w:rFonts w:ascii="Times New Roman" w:hAnsi="Times New Roman" w:cs="Times New Roman"/>
          <w:sz w:val="24"/>
          <w:szCs w:val="24"/>
        </w:rPr>
        <w:t xml:space="preserve">Vakouftsi et al. </w:t>
      </w:r>
      <w:r w:rsidR="00AC5451" w:rsidRPr="00AC5451">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"10.1016/j.ssi.2010.05.051", "ISBN" : "0167-2738", "ISSN" : "01672738", "abstract" : "Mathematical modeling of transport and electrochemical phenomena within SOFCs can lead to improved understanding of the involved physical, electrical, and chemical processes and represents a powerful tool for their development. In this context, the present work illustrates a three-dimensional CFD simulation of a planar SOFC unit cell fuelled by modeled biogas/steam mixtures. The simulations estimate the distribution of gas species, the current densities and the potentials, as well as the temperature gradients and confirm that equimolar CH4/CO2 biogas leads to improved performance, while minimal steam addition can prevent carbon deposition. ?? 2010 Elsevier B.V. All rights reserved.", "author" : [ { "dropping-particle" : "", "family" : "Vakouftsi", "given" : "E.", "non-dropping-particle" : "", "parse-names" : false, "suffix" : "" }, { "dropping-particle" : "", "family" : "Marnellos", "given" : "G. E.", "non-dropping-particle" : "", "parse-names" : false, "suffix" : "" }, { "dropping-particle" : "", "family" : "Athanasiou", "given" : "C.", "non-dropping-particle" : "", "parse-names" : false, "suffix" : "" }, { "dropping-particle" : "", "family" : "Coutelieris", "given" : "F.", "non-dropping-particle" : "", "parse-names" : false, "suffix" : "" } ], "container-title" : "Solid State Ionics", "id" : "ITEM-1", "issue" : "1", "issued" : { "date-parts" : [ [ "2011" ] ] }, "page" : "458-463", "publisher" : "Elsevier B.V.", "title" : "CFD modeling of a biogas fuelled SOFC", "type" : "article-journal", "volume" : "192" }, "uris" : [ "http://www.mendeley.com/documents/?uuid=be957dca-010a-422a-8df9-298990719ea3", "http://www.mendeley.com/documents/?uuid=471b6b2a-1237-48cd-aca2-1d408c5799b4" ] } ], "mendeley" : { "formattedCitation" : "[36]", "plainTextFormattedCitation" : "[36]", "previouslyFormattedCitation" : "[35]" }, "properties" : { "noteIndex" : 0 }, "schema" : "https://github.com/citation-style-language/schema/raw/master/csl-citation.json" }</w:instrText>
      </w:r>
      <w:r w:rsidR="00AC5451" w:rsidRPr="00AC5451">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[36]</w:t>
      </w:r>
      <w:r w:rsidR="00AC5451" w:rsidRPr="00AC5451">
        <w:rPr>
          <w:rFonts w:ascii="Times New Roman" w:hAnsi="Times New Roman" w:cs="Times New Roman"/>
          <w:sz w:val="24"/>
          <w:szCs w:val="24"/>
        </w:rPr>
        <w:fldChar w:fldCharType="end"/>
      </w:r>
      <w:r w:rsidR="00AC5451" w:rsidRPr="00AC5451">
        <w:rPr>
          <w:rFonts w:ascii="Times New Roman" w:hAnsi="Times New Roman" w:cs="Times New Roman"/>
          <w:sz w:val="24"/>
          <w:szCs w:val="24"/>
        </w:rPr>
        <w:t xml:space="preserve"> </w:t>
      </w:r>
      <w:r w:rsidRPr="00AC5451">
        <w:rPr>
          <w:rFonts w:ascii="Times New Roman" w:hAnsi="Times New Roman" w:cs="Times New Roman"/>
          <w:sz w:val="24"/>
          <w:szCs w:val="24"/>
        </w:rPr>
        <w:t xml:space="preserve">and Wang et al. </w:t>
      </w:r>
      <w:r w:rsidR="00AC5451" w:rsidRPr="00AC5451">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"10.1016/j.ijhydene.2009.02.073", "ISBN" : "0360-3199", "ISSN" : "03603199", "abstract" : "Under mass/heat transfer and species diffusion limitations, the detailed thermodynamic investigations and experimental measurements were carried out to study and evaluate the performance of methane steam reforming and to develop its effective kinetic models over Ni/YSZ anode of the planar solid oxide fuel cell developed by Central Research Institute of Electric Power Industry (CRIEPI) of Japan. Based on the kinetic models of methane steam reforming developed by Xu and Froment, the effective kinetic models were developed. Combining the experiment data with the iteration calculation, the effective factor (Ce) is found to be 5.0 ?? 10-4. Using these effective kinetic models, the detailed distributions of temperature, species, methane conversion, and carbon formation and gasification activity are presented under wide range of operating conditions. The results show that the local temperature in the reactor and the methane conversion are sensitive to the operating parameters. The region of the lowest local temperature and the most possible region of carbon formation are at the front of the porous anode sample. Due to the limitation of contact time, heat transfer and species diffusion, the methane conversion appreciably decreases with an increase of S/C ratio. ?? 2009 International Association for Hydrogen Energy.", "author" : [ { "dropping-particle" : "", "family" : "Wang", "given" : "Yuzhang", "non-dropping-particle" : "", "parse-names" : false, "suffix" : "" }, { "dropping-particle" : "", "family" : "Yoshiba", "given" : "Fumihiko", "non-dropping-particle" : "", "parse-names" : false, "suffix" : "" }, { "dropping-particle" : "", "family" : "Kawase", "given" : "Makoto", "non-dropping-particle" : "", "parse-names" : false, "suffix" : "" }, { "dropping-particle" : "", "family" : "Watanabe", "given" : "Takao", "non-dropping-particle" : "", "parse-names" : false, "suffix" : "" } ], "container-title" : "International Journal of Hydrogen Energy", "id" : "ITEM-1", "issue" : "9", "issued" : { "date-parts" : [ [ "2009" ] ] }, "page" : "3885-3893", "publisher" : "Elsevier Ltd", "title" : "Performance and effective kinetic models of methane steam reforming over Ni/YSZ anode of planar SOFC", "type" : "article-journal", "volume" : "34" }, "uris" : [ "http://www.mendeley.com/documents/?uuid=d761b551-b586-4df8-9d25-30a8d1fd1080", "http://www.mendeley.com/documents/?uuid=96197f9f-c16b-4083-ba5d-bc04b6bd0aef" ] } ], "mendeley" : { "formattedCitation" : "[37]", "plainTextFormattedCitation" : "[37]", "previouslyFormattedCitation" : "[36]" }, "properties" : { "noteIndex" : 0 }, "schema" : "https://github.com/citation-style-language/schema/raw/master/csl-citation.json" }</w:instrText>
      </w:r>
      <w:r w:rsidR="00AC5451" w:rsidRPr="00AC5451">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[37]</w:t>
      </w:r>
      <w:r w:rsidR="00AC5451" w:rsidRPr="00AC5451">
        <w:rPr>
          <w:rFonts w:ascii="Times New Roman" w:hAnsi="Times New Roman" w:cs="Times New Roman"/>
          <w:sz w:val="24"/>
          <w:szCs w:val="24"/>
        </w:rPr>
        <w:fldChar w:fldCharType="end"/>
      </w:r>
      <w:r w:rsidRPr="00AC5451">
        <w:rPr>
          <w:rFonts w:ascii="Times New Roman" w:hAnsi="Times New Roman" w:cs="Times New Roman"/>
          <w:sz w:val="24"/>
          <w:szCs w:val="24"/>
        </w:rPr>
        <w:t>.</w:t>
      </w:r>
      <w:r w:rsidRPr="00516CCC">
        <w:rPr>
          <w:rFonts w:ascii="Times New Roman" w:hAnsi="Times New Roman" w:cs="Times New Roman"/>
          <w:sz w:val="24"/>
          <w:szCs w:val="24"/>
        </w:rPr>
        <w:t xml:space="preserve"> Other equilibrium-based analyses are performed on the basis of the</w:t>
      </w:r>
      <w:r w:rsidR="00AC5451">
        <w:rPr>
          <w:rFonts w:ascii="Times New Roman" w:hAnsi="Times New Roman" w:cs="Times New Roman"/>
          <w:sz w:val="24"/>
          <w:szCs w:val="24"/>
        </w:rPr>
        <w:t xml:space="preserve"> Gibbs-free energy minimization </w:t>
      </w:r>
      <w:r w:rsidR="00AC5451" w:rsidRPr="00AC5451">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"10.1149/1.1577338", "ISBN" : "10.1149/1.1577338", "ISSN" : "00134651", "abstract" : "Because chemical compositions in thermodynamic equilibrium for various fuel gases are specified by the ratios among carbon, hydrogen, and oxygen, carbon-hydrogen-oxygen (C-H-O) ternary diagrams are useful to present relevant operational conditions of fuel cells. Such C-H-O ternary diagrams are constructed, describing the carbon deposition region, the fuel gas region, partial pressures of gaseous species including O2, H2, and CO, and electromotive force corresponding to the theoretical open circuit voltage of fuel cells. Such ternary diagrams present these operational conditions for any given C-H-O ratios without any additional calculations. \u00a92003 The Electrochemical Society. All rights reserved.", "author" : [ { "dropping-particle" : "", "family" : "Sasaki", "given" : "K.", "non-dropping-particle" : "", "parse-names" : false, "suffix" : "" }, { "dropping-particle" : "", "family" : "Teraoka", "given" : "Y.", "non-dropping-particle" : "", "parse-names" : false, "suffix" : "" } ], "container-title" : "Journal of The Electrochemical Society", "id" : "ITEM-1", "issue" : "7", "issued" : { "date-parts" : [ [ "2003" ] ] }, "page" : "A885", "title" : "Equilibria in Fuel Cell Gases", "type" : "article-journal", "volume" : "150" }, "uris" : [ "http://www.mendeley.com/documents/?uuid=90a92c60-cf5b-41a0-9d5a-36ba95f8bcea", "http://www.mendeley.com/documents/?uuid=1e106d8e-3f25-4558-a3fc-54661a752d0d" ] }, { "id" : "ITEM-2", "itemData" : { "DOI" : "10.1016/j.jpowsour.2005.08.008", "ISBN" : "0378-7753", "ISSN" : "03787753", "abstract" : "Reduced-temperature solid oxide fuel cells (SOFCs) - with thin Ce0.85Sm0.15O1.925 (SDC) electrolytes, thick Ni-SDC anode supports, and composite cathodes containing La0.6Sr0.4Co0.2Fe0.8O3 (LSCF) and SDC - were fabricated and tested with iso-octane/air fuel mixtures. An additional supported catalyst layer, placed between the fuel stream and the anode, was needed to obtain a stable output power density (e.g. 0.6 W cm-2 at 590 ??C) without anode coking. The Ru-CeO2 catalyst produced CO2 and H2 at temperatures &lt;350 ??C, while H2 and CO became predominant above 500 ??C. Power densities were substantially less than for the same cells with H2 fuel (e.g. 1.0 W cm-2 at 600 ??C), due to the dilute (???20%) hydrogen in the fuel mixture produced by iso-octane partial oxidation. Electrochemical impedance analysis showed a main arc that represented ???60% of the total resistance, and that increased substantially upon switching from hydrogen to iso-octane/air. ?? 2005 Elsevier B.V. All rights reserved.", "author" : [ { "dropping-particle" : "", "family" : "Zhan", "given" : "Zhongliang", "non-dropping-particle" : "", "parse-names" : false, "suffix" : "" }, { "dropping-particle" : "", "family" : "Barnett", "given" : "Scott A.", "non-dropping-particle" : "", "parse-names" : false, "suffix" : "" } ], "container-title" : "Journal of Power Sources", "id" : "ITEM-2", "issue" : "1", "issued" : { "date-parts" : [ [ "2006" ] ] }, "page" : "422-429", "title" : "Operation of ceria-electrolyte solid oxide fuel cells on iso-octane-air fuel mixtures", "type" : "article-journal", "volume" : "157" }, "uris" : [ "http://www.mendeley.com/documents/?uuid=f554a4b1-4238-4969-bda8-c15f9dc15025", "http://www.mendeley.com/documents/?uuid=02ebe072-af36-4821-a02b-c879e09ff909" ] } ], "mendeley" : { "formattedCitation" : "[38,39]", "plainTextFormattedCitation" : "[38,39]", "previouslyFormattedCitation" : "[37,38]" }, "properties" : { "noteIndex" : 0 }, "schema" : "https://github.com/citation-style-language/schema/raw/master/csl-citation.json" }</w:instrText>
      </w:r>
      <w:r w:rsidR="00AC5451" w:rsidRPr="00AC5451">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[38,39]</w:t>
      </w:r>
      <w:r w:rsidR="00AC5451" w:rsidRPr="00AC5451">
        <w:rPr>
          <w:rFonts w:ascii="Times New Roman" w:hAnsi="Times New Roman" w:cs="Times New Roman"/>
          <w:sz w:val="24"/>
          <w:szCs w:val="24"/>
        </w:rPr>
        <w:fldChar w:fldCharType="end"/>
      </w:r>
      <w:r w:rsidRPr="00516CCC">
        <w:rPr>
          <w:rFonts w:ascii="Times New Roman" w:hAnsi="Times New Roman" w:cs="Times New Roman"/>
          <w:sz w:val="24"/>
          <w:szCs w:val="24"/>
        </w:rPr>
        <w:t xml:space="preserve">. These studies consider an element balance of the species, thus including all the possible reactions between the species. </w:t>
      </w:r>
      <w:r w:rsidRPr="00873410">
        <w:rPr>
          <w:rFonts w:ascii="Times New Roman" w:hAnsi="Times New Roman" w:cs="Times New Roman"/>
          <w:noProof/>
          <w:sz w:val="24"/>
          <w:szCs w:val="24"/>
        </w:rPr>
        <w:t>All the modeling approaches based on thermodynamic equilibrium are focused on predicting the possibility of carbon deposition, and if applied in multi-dimensional models allow to highlight the areas of the electrode where the risk of carbon deposition is higher.</w:t>
      </w:r>
      <w:r w:rsidRPr="00516CCC">
        <w:rPr>
          <w:rFonts w:ascii="Times New Roman" w:hAnsi="Times New Roman" w:cs="Times New Roman"/>
          <w:sz w:val="24"/>
          <w:szCs w:val="24"/>
        </w:rPr>
        <w:t xml:space="preserve"> However, very few studies approached the problem of evaluating the amount of carbon deposited </w:t>
      </w:r>
      <w:r w:rsidRPr="00873410">
        <w:rPr>
          <w:rFonts w:ascii="Times New Roman" w:hAnsi="Times New Roman" w:cs="Times New Roman"/>
          <w:noProof/>
          <w:sz w:val="24"/>
          <w:szCs w:val="24"/>
        </w:rPr>
        <w:t>in</w:t>
      </w:r>
      <w:r w:rsidRPr="00516CCC">
        <w:rPr>
          <w:rFonts w:ascii="Times New Roman" w:hAnsi="Times New Roman" w:cs="Times New Roman"/>
          <w:sz w:val="24"/>
          <w:szCs w:val="24"/>
        </w:rPr>
        <w:t xml:space="preserve"> SOFC electrodes when carbon formation </w:t>
      </w:r>
      <w:r w:rsidRPr="00873410">
        <w:rPr>
          <w:rFonts w:ascii="Times New Roman" w:hAnsi="Times New Roman" w:cs="Times New Roman"/>
          <w:noProof/>
          <w:sz w:val="24"/>
          <w:szCs w:val="24"/>
        </w:rPr>
        <w:t>occurs</w:t>
      </w:r>
      <w:r w:rsidRPr="00516CCC">
        <w:rPr>
          <w:rFonts w:ascii="Times New Roman" w:hAnsi="Times New Roman" w:cs="Times New Roman"/>
          <w:sz w:val="24"/>
          <w:szCs w:val="24"/>
        </w:rPr>
        <w:t xml:space="preserve"> and the consequent effects on cell performance. The equilibrium approach is not sufficient for this type of analysis, and the study of</w:t>
      </w:r>
      <w:r w:rsidR="00873410">
        <w:rPr>
          <w:rFonts w:ascii="Times New Roman" w:hAnsi="Times New Roman" w:cs="Times New Roman"/>
          <w:sz w:val="24"/>
          <w:szCs w:val="24"/>
        </w:rPr>
        <w:t xml:space="preserve"> the</w:t>
      </w:r>
      <w:r w:rsidRPr="00516CCC">
        <w:rPr>
          <w:rFonts w:ascii="Times New Roman" w:hAnsi="Times New Roman" w:cs="Times New Roman"/>
          <w:sz w:val="24"/>
          <w:szCs w:val="24"/>
        </w:rPr>
        <w:t xml:space="preserve"> </w:t>
      </w:r>
      <w:r w:rsidRPr="00873410">
        <w:rPr>
          <w:rFonts w:ascii="Times New Roman" w:hAnsi="Times New Roman" w:cs="Times New Roman"/>
          <w:noProof/>
          <w:sz w:val="24"/>
          <w:szCs w:val="24"/>
        </w:rPr>
        <w:t>kinetics</w:t>
      </w:r>
      <w:r w:rsidRPr="00516CCC">
        <w:rPr>
          <w:rFonts w:ascii="Times New Roman" w:hAnsi="Times New Roman" w:cs="Times New Roman"/>
          <w:sz w:val="24"/>
          <w:szCs w:val="24"/>
        </w:rPr>
        <w:t xml:space="preserve"> of carbon formation reactions is needed in order to evaluate the rates of deposition.</w:t>
      </w:r>
    </w:p>
    <w:p w14:paraId="450F6249" w14:textId="77777777"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The model developed in this work is based on the equilibrium approach for determining the conditions at which carbon forms </w:t>
      </w:r>
      <w:r w:rsidRPr="00873410">
        <w:rPr>
          <w:rFonts w:ascii="Times New Roman" w:hAnsi="Times New Roman" w:cs="Times New Roman"/>
          <w:noProof/>
          <w:sz w:val="24"/>
          <w:szCs w:val="24"/>
        </w:rPr>
        <w:t>solid</w:t>
      </w:r>
      <w:r w:rsidRPr="00516CCC">
        <w:rPr>
          <w:rFonts w:ascii="Times New Roman" w:hAnsi="Times New Roman" w:cs="Times New Roman"/>
          <w:sz w:val="24"/>
          <w:szCs w:val="24"/>
        </w:rPr>
        <w:t xml:space="preserve"> deposits, and on </w:t>
      </w:r>
      <w:r w:rsidRPr="00873410">
        <w:rPr>
          <w:rFonts w:ascii="Times New Roman" w:hAnsi="Times New Roman" w:cs="Times New Roman"/>
          <w:noProof/>
          <w:sz w:val="24"/>
          <w:szCs w:val="24"/>
        </w:rPr>
        <w:t>a kinetic</w:t>
      </w:r>
      <w:r w:rsidRPr="00516CCC">
        <w:rPr>
          <w:rFonts w:ascii="Times New Roman" w:hAnsi="Times New Roman" w:cs="Times New Roman"/>
          <w:sz w:val="24"/>
          <w:szCs w:val="24"/>
        </w:rPr>
        <w:t xml:space="preserve"> approach for calculating the rate of carbon deposition within the anode structure when the carbon formation occurs. </w:t>
      </w:r>
    </w:p>
    <w:p w14:paraId="7A3A5C1D" w14:textId="77777777"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p>
    <w:p w14:paraId="2BECBD52" w14:textId="77777777"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A zero-dimensional isothermal model of an SOFC operating </w:t>
      </w:r>
      <w:r w:rsidRPr="00873410">
        <w:rPr>
          <w:rFonts w:ascii="Times New Roman" w:hAnsi="Times New Roman" w:cs="Times New Roman"/>
          <w:noProof/>
          <w:sz w:val="24"/>
          <w:szCs w:val="24"/>
        </w:rPr>
        <w:t>in direct</w:t>
      </w:r>
      <w:r w:rsidRPr="00516CCC">
        <w:rPr>
          <w:rFonts w:ascii="Times New Roman" w:hAnsi="Times New Roman" w:cs="Times New Roman"/>
          <w:sz w:val="24"/>
          <w:szCs w:val="24"/>
        </w:rPr>
        <w:t xml:space="preserve"> internal reforming of methane has been implemented in Comsol Multiphysics in order to show a significant case study for degradation from carbon deposition in Ni-anodes SOFCs. </w:t>
      </w:r>
    </w:p>
    <w:p w14:paraId="3427C523" w14:textId="1018397E"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lastRenderedPageBreak/>
        <w:t>The input variables of the model are cell temperature,</w:t>
      </w:r>
      <w:r w:rsidR="00873410">
        <w:rPr>
          <w:rFonts w:ascii="Times New Roman" w:hAnsi="Times New Roman" w:cs="Times New Roman"/>
          <w:sz w:val="24"/>
          <w:szCs w:val="24"/>
        </w:rPr>
        <w:t xml:space="preserve"> the</w:t>
      </w:r>
      <w:r w:rsidRPr="00516CCC">
        <w:rPr>
          <w:rFonts w:ascii="Times New Roman" w:hAnsi="Times New Roman" w:cs="Times New Roman"/>
          <w:sz w:val="24"/>
          <w:szCs w:val="24"/>
        </w:rPr>
        <w:t xml:space="preserve"> </w:t>
      </w:r>
      <w:r w:rsidRPr="00873410">
        <w:rPr>
          <w:rFonts w:ascii="Times New Roman" w:hAnsi="Times New Roman" w:cs="Times New Roman"/>
          <w:noProof/>
          <w:sz w:val="24"/>
          <w:szCs w:val="24"/>
        </w:rPr>
        <w:t>composition</w:t>
      </w:r>
      <w:r w:rsidRPr="00516CCC">
        <w:rPr>
          <w:rFonts w:ascii="Times New Roman" w:hAnsi="Times New Roman" w:cs="Times New Roman"/>
          <w:sz w:val="24"/>
          <w:szCs w:val="24"/>
        </w:rPr>
        <w:t xml:space="preserve"> of the fuel entering the SOFC, cell </w:t>
      </w:r>
      <w:r w:rsidRPr="00873410">
        <w:rPr>
          <w:rFonts w:ascii="Times New Roman" w:hAnsi="Times New Roman" w:cs="Times New Roman"/>
          <w:noProof/>
          <w:sz w:val="24"/>
          <w:szCs w:val="24"/>
        </w:rPr>
        <w:t>current</w:t>
      </w:r>
      <w:r w:rsidR="00873410">
        <w:rPr>
          <w:rFonts w:ascii="Times New Roman" w:hAnsi="Times New Roman" w:cs="Times New Roman"/>
          <w:noProof/>
          <w:sz w:val="24"/>
          <w:szCs w:val="24"/>
        </w:rPr>
        <w:t>,</w:t>
      </w:r>
      <w:r w:rsidRPr="00516CCC">
        <w:rPr>
          <w:rFonts w:ascii="Times New Roman" w:hAnsi="Times New Roman" w:cs="Times New Roman"/>
          <w:sz w:val="24"/>
          <w:szCs w:val="24"/>
        </w:rPr>
        <w:t xml:space="preserve"> and reactant utilization. The model imposes that the fuel gas mixture is </w:t>
      </w:r>
      <w:r w:rsidRPr="00873410">
        <w:rPr>
          <w:rFonts w:ascii="Times New Roman" w:hAnsi="Times New Roman" w:cs="Times New Roman"/>
          <w:noProof/>
          <w:sz w:val="24"/>
          <w:szCs w:val="24"/>
        </w:rPr>
        <w:t>in</w:t>
      </w:r>
      <w:r w:rsidRPr="00516CCC">
        <w:rPr>
          <w:rFonts w:ascii="Times New Roman" w:hAnsi="Times New Roman" w:cs="Times New Roman"/>
          <w:sz w:val="24"/>
          <w:szCs w:val="24"/>
        </w:rPr>
        <w:t xml:space="preserve"> equilibrium conditions at the inlet and outlet of the anode, and that inside the electrode hydrogen is converted to water by electrochemical oxidation. </w:t>
      </w:r>
      <w:r w:rsidRPr="00873410">
        <w:rPr>
          <w:rFonts w:ascii="Times New Roman" w:hAnsi="Times New Roman" w:cs="Times New Roman"/>
          <w:noProof/>
          <w:sz w:val="24"/>
          <w:szCs w:val="24"/>
        </w:rPr>
        <w:t>The composition of the fuel stream at the</w:t>
      </w:r>
      <w:r w:rsidRPr="00516CCC">
        <w:rPr>
          <w:rFonts w:ascii="Times New Roman" w:hAnsi="Times New Roman" w:cs="Times New Roman"/>
          <w:sz w:val="24"/>
          <w:szCs w:val="24"/>
        </w:rPr>
        <w:t xml:space="preserve"> anode inlet is calculated by imposing the equilibrium for </w:t>
      </w:r>
      <w:r w:rsidRPr="00873410">
        <w:rPr>
          <w:rFonts w:ascii="Times New Roman" w:hAnsi="Times New Roman" w:cs="Times New Roman"/>
          <w:noProof/>
          <w:sz w:val="24"/>
          <w:szCs w:val="24"/>
        </w:rPr>
        <w:t>steam-reforming</w:t>
      </w:r>
      <w:r w:rsidRPr="00516CCC">
        <w:rPr>
          <w:rFonts w:ascii="Times New Roman" w:hAnsi="Times New Roman" w:cs="Times New Roman"/>
          <w:sz w:val="24"/>
          <w:szCs w:val="24"/>
        </w:rPr>
        <w:t xml:space="preserve">, water gas shift, methane cracking and Boudouard reactions, following the approach described in </w:t>
      </w:r>
      <w:r w:rsidR="00AC5451" w:rsidRPr="00AC5451">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"author" : [ { "dropping-particle" : "", "family" : "Colpan", "given" : "C Ozgur", "non-dropping-particle" : "", "parse-names" : false, "suffix" : "" }, { "dropping-particle" : "", "family" : "Dincer", "given" : "Ibrahim", "non-dropping-particle" : "", "parse-names" : false, "suffix" : "" }, { "dropping-particle" : "", "family" : "Hamdullahpur", "given" : "Feridun", "non-dropping-particle" : "", "parse-names" : false, "suffix" : "" } ], "container-title" : "Proc. of the 3rd International Energy, Exergy and Environment Symposium, Evora, Portugal", "id" : "ITEM-1", "issued" : { "date-parts" : [ [ "2007" ] ] }, "title" : "Effect of Recirculation on Carbon Deposition for Direct Internal Reforming Solid Oxide Fuel Cells", "type" : "article-journal" }, "uris" : [ "http://www.mendeley.com/documents/?uuid=afb6804f-972e-4680-b790-010893957fe9", "http://www.mendeley.com/documents/?uuid=16b35de4-a3b9-4c3c-9a96-2f2cc2d3f05a" ] } ], "mendeley" : { "formattedCitation" : "[40]", "plainTextFormattedCitation" : "[40]", "previouslyFormattedCitation" : "[39]" }, "properties" : { "noteIndex" : 0 }, "schema" : "https://github.com/citation-style-language/schema/raw/master/csl-citation.json" }</w:instrText>
      </w:r>
      <w:r w:rsidR="00AC5451" w:rsidRPr="00AC5451">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[40]</w:t>
      </w:r>
      <w:r w:rsidR="00AC5451" w:rsidRPr="00AC5451">
        <w:rPr>
          <w:rFonts w:ascii="Times New Roman" w:hAnsi="Times New Roman" w:cs="Times New Roman"/>
          <w:sz w:val="24"/>
          <w:szCs w:val="24"/>
        </w:rPr>
        <w:fldChar w:fldCharType="end"/>
      </w:r>
      <w:r w:rsidRPr="00AC5451">
        <w:rPr>
          <w:rFonts w:ascii="Times New Roman" w:hAnsi="Times New Roman" w:cs="Times New Roman"/>
          <w:sz w:val="24"/>
          <w:szCs w:val="24"/>
        </w:rPr>
        <w:t>.</w:t>
      </w:r>
      <w:r w:rsidRPr="00516CCC">
        <w:rPr>
          <w:rFonts w:ascii="Times New Roman" w:hAnsi="Times New Roman" w:cs="Times New Roman"/>
          <w:sz w:val="24"/>
          <w:szCs w:val="24"/>
        </w:rPr>
        <w:t xml:space="preserve"> The composition of the inlet equilibrium mixture is then modified by imposing that a fraction of the hydrogen is converted to water by electrochemical oxidation. The amount of hydrogen converted is calculated using the Faraday’s law. </w:t>
      </w:r>
      <w:r w:rsidRPr="00873410">
        <w:rPr>
          <w:rFonts w:ascii="Times New Roman" w:hAnsi="Times New Roman" w:cs="Times New Roman"/>
          <w:noProof/>
          <w:sz w:val="24"/>
          <w:szCs w:val="24"/>
        </w:rPr>
        <w:t>The composition of the fuel stream at the</w:t>
      </w:r>
      <w:r w:rsidRPr="00516CCC">
        <w:rPr>
          <w:rFonts w:ascii="Times New Roman" w:hAnsi="Times New Roman" w:cs="Times New Roman"/>
          <w:sz w:val="24"/>
          <w:szCs w:val="24"/>
        </w:rPr>
        <w:t xml:space="preserve"> outlet of the anode is finally evaluated by imposing the equilibrium for the four chemical reactions previously considered at the inlet. </w:t>
      </w:r>
    </w:p>
    <w:p w14:paraId="74C29B17" w14:textId="4D451778" w:rsidR="00A6464B" w:rsidRPr="00516CCC" w:rsidRDefault="00A6464B" w:rsidP="00516CCC">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On the basis of the calculated fuel compositions, the carbon activities related to methane cracking and </w:t>
      </w:r>
      <w:r w:rsidRPr="00873410">
        <w:rPr>
          <w:rFonts w:ascii="Times New Roman" w:hAnsi="Times New Roman" w:cs="Times New Roman"/>
          <w:noProof/>
          <w:sz w:val="24"/>
          <w:szCs w:val="24"/>
        </w:rPr>
        <w:t>Bouduard</w:t>
      </w:r>
      <w:r w:rsidRPr="00516CCC">
        <w:rPr>
          <w:rFonts w:ascii="Times New Roman" w:hAnsi="Times New Roman" w:cs="Times New Roman"/>
          <w:sz w:val="24"/>
          <w:szCs w:val="24"/>
        </w:rPr>
        <w:t xml:space="preserve"> reactions at cell inlet and outlet are evaluated using the </w:t>
      </w:r>
      <w:r w:rsidRPr="00AC5451">
        <w:rPr>
          <w:rFonts w:ascii="Times New Roman" w:hAnsi="Times New Roman" w:cs="Times New Roman"/>
          <w:sz w:val="24"/>
          <w:szCs w:val="24"/>
        </w:rPr>
        <w:t xml:space="preserve">coefficients defined by Klein et al. </w:t>
      </w:r>
      <w:r w:rsidR="00AC5451" w:rsidRPr="00AC5451">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"10.1016/j.ces.2006.11.034", "ISBN" : "0009-2509", "ISSN" : "00092509", "abstract" : "Natural gas appears to be a fuel of great interest for SOFC systems. The principal component of natural gas is methane, which can be converted into hydrogen by direct or gradual internal reforming (DIR or GIR) within the SOFC anode. However, DIR requires a large amount of steam to produce hydrogen. If the injected mixture contains very small quantities of steam, GIR is then obtained. With GIR, the risk of carbon formation is even greater. This paper proposes a model and simulation, using the CFD-Ace software package, of the behaviour of a tubular SOFC using GIR and a comparison between utilization in DIR and GIR. A thermal study is included in the model and a detailed thermodynamic analysis is carried out to predict the carbon formation boundary for SOFCs fuelled by methane. Thermodynamic equilibrium calculations taking into account Boudouard and methane cracking reactions allowed us to investigate the occurrence of carbon formation. Simulations were used to calculate the distributions of partial pressures for all the gas species (CH4, H2, CO, CO2, H2 O), current densities and potentials in both electronic and ionic phases within the anode part (i.e., gas channel and cermet anode). The simulations indicate that there is no decrease in electrochemical performance if GIR is used rather than DIR. A thermal study appears to confirm that the cooling effect due to the endothermic reforming reaction is eliminated in GIR, but the thermodynamic study indicates that carbon formation can be suspected for xH2 O / xCH4 ratios lower than one. \u00a9 2006 Elsevier Ltd. All rights reserved.", "author" : [ { "dropping-particle" : "", "family" : "Klein", "given" : "J. M.", "non-dropping-particle" : "", "parse-names" : false, "suffix" : "" }, { "dropping-particle" : "", "family" : "Bultel", "given" : "Y.", "non-dropping-particle" : "", "parse-names" : false, "suffix" : "" }, { "dropping-particle" : "", "family" : "Georges", "given" : "S.", "non-dropping-particle" : "", "parse-names" : false, "suffix" : "" }, { "dropping-particle" : "", "family" : "Pons", "given" : "M.", "non-dropping-particle" : "", "parse-names" : false, "suffix" : "" } ], "container-title" : "Chemical Engineering Science", "id" : "ITEM-1", "issue" : "6", "issued" : { "date-parts" : [ [ "2007" ] ] }, "page" : "1636-1649", "title" : "Modeling of a SOFC fuelled by methane: From direct internal reforming to gradual internal reforming", "type" : "article-journal", "volume" : "62" }, "uris" : [ "http://www.mendeley.com/documents/?uuid=169468bb-9ce4-4df2-8626-486ac3ab2cc3", "http://www.mendeley.com/documents/?uuid=3f99404c-ef55-4746-9ea4-01c09da66906" ] } ], "mendeley" : { "formattedCitation" : "[41]", "plainTextFormattedCitation" : "[41]", "previouslyFormattedCitation" : "[40]" }, "properties" : { "noteIndex" : 0 }, "schema" : "https://github.com/citation-style-language/schema/raw/master/csl-citation.json" }</w:instrText>
      </w:r>
      <w:r w:rsidR="00AC5451" w:rsidRPr="00AC5451">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[41]</w:t>
      </w:r>
      <w:r w:rsidR="00AC5451" w:rsidRPr="00AC5451">
        <w:rPr>
          <w:rFonts w:ascii="Times New Roman" w:hAnsi="Times New Roman" w:cs="Times New Roman"/>
          <w:sz w:val="24"/>
          <w:szCs w:val="24"/>
        </w:rPr>
        <w:fldChar w:fldCharType="end"/>
      </w:r>
      <w:r w:rsidRPr="00AC5451">
        <w:rPr>
          <w:rFonts w:ascii="Times New Roman" w:hAnsi="Times New Roman" w:cs="Times New Roman"/>
          <w:sz w:val="24"/>
          <w:szCs w:val="24"/>
        </w:rPr>
        <w:t>, which provide a measure of the distance from equilibrium of the carbon</w:t>
      </w:r>
      <w:r w:rsidRPr="00516CCC">
        <w:rPr>
          <w:rFonts w:ascii="Times New Roman" w:hAnsi="Times New Roman" w:cs="Times New Roman"/>
          <w:sz w:val="24"/>
          <w:szCs w:val="24"/>
        </w:rPr>
        <w:t xml:space="preserve"> deposition reactions: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916"/>
      </w:tblGrid>
      <w:tr w:rsidR="00A6464B" w:rsidRPr="00694420" w14:paraId="7D3CE94C" w14:textId="77777777" w:rsidTr="00694420">
        <w:trPr>
          <w:trHeight w:val="598"/>
        </w:trPr>
        <w:tc>
          <w:tcPr>
            <w:tcW w:w="675" w:type="dxa"/>
            <w:vAlign w:val="center"/>
          </w:tcPr>
          <w:p w14:paraId="68C4B737" w14:textId="77777777" w:rsidR="00A6464B" w:rsidRPr="001840B8" w:rsidRDefault="00A6464B" w:rsidP="00694420">
            <w:pPr>
              <w:spacing w:before="120" w:after="120" w:line="360" w:lineRule="auto"/>
              <w:jc w:val="center"/>
              <w:rPr>
                <w:sz w:val="24"/>
                <w:szCs w:val="24"/>
              </w:rPr>
            </w:pPr>
          </w:p>
        </w:tc>
        <w:tc>
          <w:tcPr>
            <w:tcW w:w="8222" w:type="dxa"/>
            <w:vAlign w:val="center"/>
          </w:tcPr>
          <w:p w14:paraId="5DB5AE8B" w14:textId="77777777" w:rsidR="00A6464B" w:rsidRPr="00BC048B" w:rsidRDefault="00A6464B" w:rsidP="00694420">
            <w:pPr>
              <w:spacing w:before="360" w:after="360" w:line="240" w:lineRule="exact"/>
              <w:jc w:val="center"/>
              <w:rPr>
                <w:rFonts w:ascii="Cambria Math" w:hAnsi="Cambria Math"/>
                <w:i/>
                <w:sz w:val="24"/>
                <w:szCs w:val="24"/>
              </w:rPr>
            </w:pPr>
            <m:oMathPara>
              <m:oMath>
                <m:r>
                  <w:rPr>
                    <w:rFonts w:ascii="Cambria Math" w:hAnsi="Cambria Math"/>
                    <w:sz w:val="24"/>
                    <w:szCs w:val="24"/>
                  </w:rPr>
                  <m:t>α=</m:t>
                </m:r>
                <m:f>
                  <m:fPr>
                    <m:ctrlPr>
                      <w:rPr>
                        <w:rFonts w:ascii="Cambria Math" w:hAnsi="Cambria Math"/>
                        <w:i/>
                        <w:sz w:val="24"/>
                        <w:szCs w:val="24"/>
                      </w:rPr>
                    </m:ctrlPr>
                  </m:fPr>
                  <m:num>
                    <m:r>
                      <w:rPr>
                        <w:rFonts w:ascii="Cambria Math" w:hAnsi="Cambria Math"/>
                        <w:sz w:val="24"/>
                        <w:szCs w:val="24"/>
                      </w:rPr>
                      <m:t xml:space="preserve"> </m:t>
                    </m:r>
                    <m:sSubSup>
                      <m:sSubSupPr>
                        <m:ctrlPr>
                          <w:rPr>
                            <w:rFonts w:ascii="Cambria Math" w:hAnsi="Cambria Math"/>
                            <w:i/>
                            <w:sz w:val="24"/>
                            <w:szCs w:val="24"/>
                          </w:rPr>
                        </m:ctrlPr>
                      </m:sSubSupPr>
                      <m:e>
                        <m:r>
                          <w:rPr>
                            <w:rFonts w:ascii="Cambria Math" w:hAnsi="Cambria Math"/>
                            <w:sz w:val="24"/>
                            <w:szCs w:val="24"/>
                          </w:rPr>
                          <m:t>p</m:t>
                        </m:r>
                      </m:e>
                      <m: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r>
                          <w:rPr>
                            <w:rFonts w:ascii="Cambria Math" w:hAnsi="Cambria Math"/>
                            <w:sz w:val="24"/>
                            <w:szCs w:val="24"/>
                          </w:rPr>
                          <m:t>,eq</m:t>
                        </m:r>
                      </m:sub>
                      <m:sup>
                        <m:r>
                          <w:rPr>
                            <w:rFonts w:ascii="Cambria Math" w:hAnsi="Cambria Math"/>
                            <w:sz w:val="24"/>
                            <w:szCs w:val="24"/>
                          </w:rPr>
                          <m:t>2</m:t>
                        </m:r>
                      </m:sup>
                    </m:sSubSup>
                  </m:num>
                  <m:den>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4</m:t>
                            </m:r>
                          </m:sub>
                        </m:sSub>
                        <m:r>
                          <w:rPr>
                            <w:rFonts w:ascii="Cambria Math" w:hAnsi="Cambria Math"/>
                            <w:sz w:val="24"/>
                            <w:szCs w:val="24"/>
                          </w:rPr>
                          <m:t>,eq</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C</m:t>
                        </m:r>
                      </m:sub>
                    </m:sSub>
                  </m:den>
                </m:f>
              </m:oMath>
            </m:oMathPara>
          </w:p>
        </w:tc>
        <w:tc>
          <w:tcPr>
            <w:tcW w:w="916" w:type="dxa"/>
            <w:vAlign w:val="center"/>
          </w:tcPr>
          <w:p w14:paraId="1DF5E41D" w14:textId="77777777" w:rsidR="00A6464B" w:rsidRPr="00AC5451" w:rsidRDefault="00A6464B" w:rsidP="00D51F75">
            <w:pPr>
              <w:spacing w:before="240" w:after="240" w:line="240" w:lineRule="exact"/>
              <w:jc w:val="center"/>
              <w:rPr>
                <w:sz w:val="24"/>
                <w:szCs w:val="24"/>
              </w:rPr>
            </w:pPr>
            <w:r w:rsidRPr="00AC5451">
              <w:rPr>
                <w:sz w:val="24"/>
                <w:szCs w:val="24"/>
              </w:rPr>
              <w:t>(</w:t>
            </w:r>
            <w:r w:rsidR="00D51F75">
              <w:rPr>
                <w:sz w:val="24"/>
                <w:szCs w:val="24"/>
              </w:rPr>
              <w:t>10</w:t>
            </w:r>
            <w:r w:rsidRPr="00AC5451">
              <w:rPr>
                <w:sz w:val="24"/>
                <w:szCs w:val="24"/>
              </w:rPr>
              <w:t>)</w:t>
            </w:r>
          </w:p>
        </w:tc>
      </w:tr>
      <w:tr w:rsidR="00A6464B" w:rsidRPr="00694420" w14:paraId="397D8BAF" w14:textId="77777777" w:rsidTr="00694420">
        <w:trPr>
          <w:trHeight w:val="598"/>
        </w:trPr>
        <w:tc>
          <w:tcPr>
            <w:tcW w:w="675" w:type="dxa"/>
            <w:vAlign w:val="center"/>
          </w:tcPr>
          <w:p w14:paraId="24CF14BA" w14:textId="77777777" w:rsidR="00A6464B" w:rsidRPr="001840B8" w:rsidRDefault="00A6464B" w:rsidP="00694420">
            <w:pPr>
              <w:spacing w:before="120" w:after="120" w:line="360" w:lineRule="auto"/>
              <w:jc w:val="center"/>
              <w:rPr>
                <w:sz w:val="24"/>
                <w:szCs w:val="24"/>
              </w:rPr>
            </w:pPr>
          </w:p>
        </w:tc>
        <w:tc>
          <w:tcPr>
            <w:tcW w:w="8222" w:type="dxa"/>
            <w:vAlign w:val="center"/>
          </w:tcPr>
          <w:p w14:paraId="375AF0D2" w14:textId="77777777" w:rsidR="00A6464B" w:rsidRPr="000E2EF3" w:rsidRDefault="00A6464B" w:rsidP="00694420">
            <w:pPr>
              <w:spacing w:before="360" w:after="360" w:line="240" w:lineRule="exact"/>
              <w:jc w:val="center"/>
              <w:rPr>
                <w:rFonts w:eastAsia="Calibri"/>
                <w:sz w:val="24"/>
                <w:szCs w:val="24"/>
              </w:rPr>
            </w:pPr>
            <m:oMathPara>
              <m:oMath>
                <m:r>
                  <w:rPr>
                    <w:rFonts w:ascii="Cambria Math" w:hAnsi="Cambria Math"/>
                    <w:sz w:val="24"/>
                    <w:szCs w:val="24"/>
                  </w:rPr>
                  <m:t>β=</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2</m:t>
                            </m:r>
                          </m:sub>
                        </m:sSub>
                        <m:r>
                          <w:rPr>
                            <w:rFonts w:ascii="Cambria Math" w:hAnsi="Cambria Math"/>
                            <w:sz w:val="24"/>
                            <w:szCs w:val="24"/>
                          </w:rPr>
                          <m:t>,eq</m:t>
                        </m:r>
                      </m:sub>
                    </m:sSub>
                  </m:num>
                  <m:den>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sz w:val="24"/>
                            <w:szCs w:val="24"/>
                          </w:rPr>
                          <m:t>CO,eq</m:t>
                        </m:r>
                      </m:sub>
                      <m:sup>
                        <m:r>
                          <w:rPr>
                            <w:rFonts w:ascii="Cambria Math" w:hAnsi="Cambria Math"/>
                            <w:sz w:val="24"/>
                            <w:szCs w:val="24"/>
                          </w:rPr>
                          <m:t>2</m:t>
                        </m:r>
                      </m:sup>
                    </m:sSubSup>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den>
                </m:f>
              </m:oMath>
            </m:oMathPara>
          </w:p>
        </w:tc>
        <w:tc>
          <w:tcPr>
            <w:tcW w:w="916" w:type="dxa"/>
            <w:vAlign w:val="center"/>
          </w:tcPr>
          <w:p w14:paraId="36D58C8B" w14:textId="77777777" w:rsidR="00A6464B" w:rsidRPr="00AC5451" w:rsidRDefault="00A6464B" w:rsidP="00694420">
            <w:pPr>
              <w:spacing w:before="240" w:after="240" w:line="240" w:lineRule="exact"/>
              <w:jc w:val="center"/>
              <w:rPr>
                <w:sz w:val="24"/>
                <w:szCs w:val="24"/>
              </w:rPr>
            </w:pPr>
            <w:r w:rsidRPr="00AC5451">
              <w:rPr>
                <w:sz w:val="24"/>
                <w:szCs w:val="24"/>
              </w:rPr>
              <w:t>(</w:t>
            </w:r>
            <w:r w:rsidR="00D51F75">
              <w:rPr>
                <w:sz w:val="24"/>
                <w:szCs w:val="24"/>
              </w:rPr>
              <w:t>11</w:t>
            </w:r>
            <w:r w:rsidRPr="00AC5451">
              <w:rPr>
                <w:sz w:val="24"/>
                <w:szCs w:val="24"/>
              </w:rPr>
              <w:t>)</w:t>
            </w:r>
          </w:p>
        </w:tc>
      </w:tr>
    </w:tbl>
    <w:p w14:paraId="20649497" w14:textId="77777777" w:rsidR="00A6464B" w:rsidRDefault="00A6464B" w:rsidP="00A6464B">
      <w:pPr>
        <w:autoSpaceDE w:val="0"/>
        <w:autoSpaceDN w:val="0"/>
        <w:adjustRightInd w:val="0"/>
        <w:spacing w:after="0" w:line="240" w:lineRule="auto"/>
        <w:jc w:val="both"/>
        <w:rPr>
          <w:rFonts w:ascii="Arial" w:hAnsi="Arial" w:cs="Arial"/>
          <w:szCs w:val="24"/>
        </w:rPr>
      </w:pPr>
    </w:p>
    <w:p w14:paraId="4DA51A6E" w14:textId="3DA9F87A" w:rsidR="00A6464B" w:rsidRPr="00516CCC" w:rsidRDefault="00A6464B" w:rsidP="00AC5451">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where </w:t>
      </w:r>
      <w:r w:rsidRPr="00516CCC">
        <w:rPr>
          <w:rFonts w:ascii="Times New Roman" w:hAnsi="Times New Roman" w:cs="Times New Roman"/>
          <w:i/>
          <w:sz w:val="24"/>
          <w:szCs w:val="24"/>
        </w:rPr>
        <w:t>K</w:t>
      </w:r>
      <w:r w:rsidRPr="00516CCC">
        <w:rPr>
          <w:rFonts w:ascii="Times New Roman" w:hAnsi="Times New Roman" w:cs="Times New Roman"/>
          <w:i/>
          <w:sz w:val="24"/>
          <w:szCs w:val="24"/>
          <w:vertAlign w:val="subscript"/>
        </w:rPr>
        <w:t>B</w:t>
      </w:r>
      <w:r w:rsidRPr="00516CCC">
        <w:rPr>
          <w:rFonts w:ascii="Times New Roman" w:hAnsi="Times New Roman" w:cs="Times New Roman"/>
          <w:sz w:val="24"/>
          <w:szCs w:val="24"/>
        </w:rPr>
        <w:t xml:space="preserve"> and </w:t>
      </w:r>
      <w:r w:rsidRPr="00516CCC">
        <w:rPr>
          <w:rFonts w:ascii="Times New Roman" w:hAnsi="Times New Roman" w:cs="Times New Roman"/>
          <w:i/>
          <w:sz w:val="24"/>
          <w:szCs w:val="24"/>
        </w:rPr>
        <w:t>K</w:t>
      </w:r>
      <w:r w:rsidRPr="00516CCC">
        <w:rPr>
          <w:rFonts w:ascii="Times New Roman" w:hAnsi="Times New Roman" w:cs="Times New Roman"/>
          <w:i/>
          <w:sz w:val="24"/>
          <w:szCs w:val="24"/>
          <w:vertAlign w:val="subscript"/>
        </w:rPr>
        <w:t>C</w:t>
      </w:r>
      <w:r w:rsidRPr="00516CCC">
        <w:rPr>
          <w:rFonts w:ascii="Times New Roman" w:hAnsi="Times New Roman" w:cs="Times New Roman"/>
          <w:sz w:val="24"/>
          <w:szCs w:val="24"/>
        </w:rPr>
        <w:t xml:space="preserve"> are the equilibrium constants </w:t>
      </w:r>
      <w:r w:rsidRPr="00873410">
        <w:rPr>
          <w:rFonts w:ascii="Times New Roman" w:hAnsi="Times New Roman" w:cs="Times New Roman"/>
          <w:noProof/>
          <w:sz w:val="24"/>
          <w:szCs w:val="24"/>
        </w:rPr>
        <w:t>of</w:t>
      </w:r>
      <w:r w:rsidRPr="00516CCC">
        <w:rPr>
          <w:rFonts w:ascii="Times New Roman" w:hAnsi="Times New Roman" w:cs="Times New Roman"/>
          <w:sz w:val="24"/>
          <w:szCs w:val="24"/>
        </w:rPr>
        <w:t xml:space="preserve"> reactions (</w:t>
      </w:r>
      <w:r w:rsidR="00D51F75">
        <w:rPr>
          <w:rFonts w:ascii="Times New Roman" w:hAnsi="Times New Roman" w:cs="Times New Roman"/>
          <w:sz w:val="24"/>
          <w:szCs w:val="24"/>
        </w:rPr>
        <w:t>6</w:t>
      </w:r>
      <w:r w:rsidRPr="00516CCC">
        <w:rPr>
          <w:rFonts w:ascii="Times New Roman" w:hAnsi="Times New Roman" w:cs="Times New Roman"/>
          <w:sz w:val="24"/>
          <w:szCs w:val="24"/>
        </w:rPr>
        <w:t>) and (</w:t>
      </w:r>
      <w:r w:rsidR="00D51F75">
        <w:rPr>
          <w:rFonts w:ascii="Times New Roman" w:hAnsi="Times New Roman" w:cs="Times New Roman"/>
          <w:sz w:val="24"/>
          <w:szCs w:val="24"/>
        </w:rPr>
        <w:t>7</w:t>
      </w:r>
      <w:r w:rsidRPr="00516CCC">
        <w:rPr>
          <w:rFonts w:ascii="Times New Roman" w:hAnsi="Times New Roman" w:cs="Times New Roman"/>
          <w:sz w:val="24"/>
          <w:szCs w:val="24"/>
        </w:rPr>
        <w:t xml:space="preserve">), and the partial pressures are those evaluated at the equilibrium. When α or β is &lt; 1, the related reaction is not yet at </w:t>
      </w:r>
      <w:r w:rsidRPr="00873410">
        <w:rPr>
          <w:rFonts w:ascii="Times New Roman" w:hAnsi="Times New Roman" w:cs="Times New Roman"/>
          <w:noProof/>
          <w:sz w:val="24"/>
          <w:szCs w:val="24"/>
        </w:rPr>
        <w:t>equilibrium</w:t>
      </w:r>
      <w:r w:rsidRPr="00516CCC">
        <w:rPr>
          <w:rFonts w:ascii="Times New Roman" w:hAnsi="Times New Roman" w:cs="Times New Roman"/>
          <w:sz w:val="24"/>
          <w:szCs w:val="24"/>
        </w:rPr>
        <w:t xml:space="preserve"> and proceeds in the direction that </w:t>
      </w:r>
      <w:r w:rsidRPr="00873410">
        <w:rPr>
          <w:rFonts w:ascii="Times New Roman" w:hAnsi="Times New Roman" w:cs="Times New Roman"/>
          <w:noProof/>
          <w:sz w:val="24"/>
          <w:szCs w:val="24"/>
        </w:rPr>
        <w:t>brings</w:t>
      </w:r>
      <w:r w:rsidRPr="00516CCC">
        <w:rPr>
          <w:rFonts w:ascii="Times New Roman" w:hAnsi="Times New Roman" w:cs="Times New Roman"/>
          <w:sz w:val="24"/>
          <w:szCs w:val="24"/>
        </w:rPr>
        <w:t xml:space="preserve"> the coefficient to 1, thus toward the formation of solid carbon. When both the reactions </w:t>
      </w:r>
      <w:r w:rsidRPr="00873410">
        <w:rPr>
          <w:rFonts w:ascii="Times New Roman" w:hAnsi="Times New Roman" w:cs="Times New Roman"/>
          <w:noProof/>
          <w:sz w:val="24"/>
          <w:szCs w:val="24"/>
        </w:rPr>
        <w:t>take</w:t>
      </w:r>
      <w:r w:rsidRPr="00516CCC">
        <w:rPr>
          <w:rFonts w:ascii="Times New Roman" w:hAnsi="Times New Roman" w:cs="Times New Roman"/>
          <w:sz w:val="24"/>
          <w:szCs w:val="24"/>
        </w:rPr>
        <w:t xml:space="preserve"> place simultaneously – as assumed in the model – the definition of α and β is not sufficient to give a prediction on the formation of carbon, as solid carbon is produced by one reaction and consumed by the other. The combined effect of both reactions is taken into account in the model by a coefficient γ given by the product of α and β </w:t>
      </w:r>
      <w:r w:rsidR="0062233C" w:rsidRPr="0062233C">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"10.1016/j.apenergy.2010.10.045", "ISBN" : "0306-2619", "ISSN" : "03062619", "abstract" : "The development of solid oxide fuel cell (SOFC) systems capable of direct internal reforming (DIR) of methane is being actively pursued. However, a major challenge with current state-of-the-art nickel-based anodes is their propensity to form deteriorous carbon deposits in DIR, unless excess steam is introduced in the fuel. Reduced fuel humidification levels are desirable from the viewpoints of cell performance, reliability and plant economics. This study explores the use of partial recycling of the anode exhaust as a mitigation strategy against carbon deposits at fuel steam-to-carbon ratios less than unity. Using a detailed computational fluid dynamics (CFD) model which couples momentum, heat, mass and charge transport with electrochemical and chemical reactions, the spatial extent of carbon deposition within a SOFC anode is analyzed by accounting for both the cracking and Boudouard reactions, for several fuel humidification and recycling conditions. At temperatures of approximately 1173K and for inlet fuel molar H2O/CH4 ratios between 0.5 and 1, 50% (mass%) fuel recycling is found to be an effective strategy against carbon deposition. For lower recycling levels at the same fuel compositions, or lower fuel humidification levels (regardless of the recycling level), fuel recycling reduces the risk of coking, but does not eliminate it. The analyses presented suggest that recycling of the anodic fuel stream could help extend the operational range of DIR-SOFCs to lower fuel humidification levels than typically considered, with reduced risks of carbon deposits, while reducing system cost and complexity in terms of steam production. For dry or weakly humidified fuels, additional mitigation strategies would be required. ?? 2010 Elsevier Ltd.", "author" : [ { "dropping-particle" : "", "family" : "Eveloy", "given" : "Val\u00e9rie", "non-dropping-particle" : "", "parse-names" : false, "suffix" : "" } ], "container-title" : "Applied Energy", "id" : "ITEM-1", "issued" : { "date-parts" : [ [ "2012" ] ] }, "page" : "107-115", "title" : "Numerical analysis of an internal methane reforming solid oxide fuel cell with fuel recycling", "type" : "article-journal", "volume" : "93" }, "uris" : [ "http://www.mendeley.com/documents/?uuid=c24e2a09-13c1-44bb-a585-373c77086f75", "http://www.mendeley.com/documents/?uuid=888c2aa2-2ba2-4cc0-8773-ec71f70084ea" ] }, { "id" : "ITEM-2", "itemData" : { "DOI" : "10.1016/j.ces.2006.11.034", "ISBN" : "0009-2509", "ISSN" : "00092509", "abstract" : "Natural gas appears to be a fuel of great interest for SOFC systems. The principal component of natural gas is methane, which can be converted into hydrogen by direct or gradual internal reforming (DIR or GIR) within the SOFC anode. However, DIR requires a large amount of steam to produce hydrogen. If the injected mixture contains very small quantities of steam, GIR is then obtained. With GIR, the risk of carbon formation is even greater. This paper proposes a model and simulation, using the CFD-Ace software package, of the behaviour of a tubular SOFC using GIR and a comparison between utilization in DIR and GIR. A thermal study is included in the model and a detailed thermodynamic analysis is carried out to predict the carbon formation boundary for SOFCs fuelled by methane. Thermodynamic equilibrium calculations taking into account Boudouard and methane cracking reactions allowed us to investigate the occurrence of carbon formation. Simulations were used to calculate the distributions of partial pressures for all the gas species (CH4, H2, CO, CO2, H2 O), current densities and potentials in both electronic and ionic phases within the anode part (i.e., gas channel and cermet anode). The simulations indicate that there is no decrease in electrochemical performance if GIR is used rather than DIR. A thermal study appears to confirm that the cooling effect due to the endothermic reforming reaction is eliminated in GIR, but the thermodynamic study indicates that carbon formation can be suspected for xH2 O / xCH4 ratios lower than one. \u00a9 2006 Elsevier Ltd. All rights reserved.", "author" : [ { "dropping-particle" : "", "family" : "Klein", "given" : "J. M.", "non-dropping-particle" : "", "parse-names" : false, "suffix" : "" }, { "dropping-particle" : "", "family" : "Bultel", "given" : "Y.", "non-dropping-particle" : "", "parse-names" : false, "suffix" : "" }, { "dropping-particle" : "", "family" : "Georges", "given" : "S.", "non-dropping-particle" : "", "parse-names" : false, "suffix" : "" }, { "dropping-particle" : "", "family" : "Pons", "given" : "M.", "non-dropping-particle" : "", "parse-names" : false, "suffix" : "" } ], "container-title" : "Chemical Engineering Science", "id" : "ITEM-2", "issue" : "6", "issued" : { "date-parts" : [ [ "2007" ] ] }, "page" : "1636-1649", "title" : "Modeling of a SOFC fuelled by methane: From direct internal reforming to gradual internal reforming", "type" : "article-journal", "volume" : "62" }, "uris" : [ "http://www.mendeley.com/documents/?uuid=3f99404c-ef55-4746-9ea4-01c09da66906", "http://www.mendeley.com/documents/?uuid=169468bb-9ce4-4df2-8626-486ac3ab2cc3" ] } ], "mendeley" : { "formattedCitation" : "[41,42]", "plainTextFormattedCitation" : "[41,42]", "previouslyFormattedCitation" : "[40,41]" }, "properties" : { "noteIndex" : 0 }, "schema" : "https://github.com/citation-style-language/schema/raw/master/csl-citation.json" }</w:instrText>
      </w:r>
      <w:r w:rsidR="0062233C" w:rsidRPr="0062233C">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[41,42]</w:t>
      </w:r>
      <w:r w:rsidR="0062233C" w:rsidRPr="0062233C">
        <w:rPr>
          <w:rFonts w:ascii="Times New Roman" w:hAnsi="Times New Roman" w:cs="Times New Roman"/>
          <w:sz w:val="24"/>
          <w:szCs w:val="24"/>
        </w:rPr>
        <w:fldChar w:fldCharType="end"/>
      </w:r>
      <w:r w:rsidRPr="0062233C">
        <w:rPr>
          <w:rFonts w:ascii="Times New Roman" w:hAnsi="Times New Roman" w:cs="Times New Roman"/>
          <w:sz w:val="24"/>
          <w:szCs w:val="24"/>
        </w:rPr>
        <w:t>:</w:t>
      </w:r>
    </w:p>
    <w:p w14:paraId="51F3C2EE" w14:textId="77777777" w:rsidR="00A6464B" w:rsidRDefault="00A6464B" w:rsidP="00AC5451">
      <w:pPr>
        <w:autoSpaceDE w:val="0"/>
        <w:autoSpaceDN w:val="0"/>
        <w:adjustRightInd w:val="0"/>
        <w:spacing w:after="0" w:line="480" w:lineRule="auto"/>
        <w:jc w:val="both"/>
        <w:rPr>
          <w:rFonts w:ascii="Arial" w:hAnsi="Arial" w:cs="Arial"/>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694420" w14:paraId="07073915" w14:textId="77777777" w:rsidTr="00694420">
        <w:trPr>
          <w:trHeight w:val="598"/>
        </w:trPr>
        <w:tc>
          <w:tcPr>
            <w:tcW w:w="675" w:type="dxa"/>
            <w:vAlign w:val="center"/>
          </w:tcPr>
          <w:p w14:paraId="0F89FD8E" w14:textId="77777777" w:rsidR="00A6464B" w:rsidRPr="001840B8" w:rsidRDefault="00A6464B" w:rsidP="00694420">
            <w:pPr>
              <w:spacing w:before="120" w:after="120" w:line="360" w:lineRule="auto"/>
              <w:jc w:val="center"/>
              <w:rPr>
                <w:sz w:val="24"/>
                <w:szCs w:val="24"/>
              </w:rPr>
            </w:pPr>
          </w:p>
        </w:tc>
        <w:tc>
          <w:tcPr>
            <w:tcW w:w="8222" w:type="dxa"/>
            <w:vAlign w:val="center"/>
          </w:tcPr>
          <w:p w14:paraId="3BD0E2F0" w14:textId="77777777" w:rsidR="00A6464B" w:rsidRPr="000E2EF3" w:rsidRDefault="00A6464B" w:rsidP="00694420">
            <w:pPr>
              <w:spacing w:before="240" w:after="240" w:line="240" w:lineRule="exact"/>
              <w:jc w:val="center"/>
              <w:rPr>
                <w:rFonts w:eastAsia="Calibri"/>
                <w:sz w:val="24"/>
                <w:szCs w:val="24"/>
              </w:rPr>
            </w:pPr>
            <m:oMathPara>
              <m:oMath>
                <m:r>
                  <w:rPr>
                    <w:rFonts w:ascii="Cambria Math" w:hAnsi="Cambria Math"/>
                    <w:sz w:val="24"/>
                    <w:szCs w:val="24"/>
                  </w:rPr>
                  <m:t>γ=α×β</m:t>
                </m:r>
              </m:oMath>
            </m:oMathPara>
          </w:p>
        </w:tc>
        <w:tc>
          <w:tcPr>
            <w:tcW w:w="881" w:type="dxa"/>
            <w:vAlign w:val="center"/>
          </w:tcPr>
          <w:p w14:paraId="579EED6C" w14:textId="77777777" w:rsidR="00A6464B" w:rsidRPr="00AC5451" w:rsidRDefault="00A6464B" w:rsidP="00694420">
            <w:pPr>
              <w:spacing w:before="240" w:after="240" w:line="240" w:lineRule="exact"/>
              <w:jc w:val="center"/>
              <w:rPr>
                <w:sz w:val="24"/>
                <w:szCs w:val="24"/>
              </w:rPr>
            </w:pPr>
            <w:r w:rsidRPr="00AC5451">
              <w:rPr>
                <w:sz w:val="24"/>
                <w:szCs w:val="24"/>
              </w:rPr>
              <w:t>(</w:t>
            </w:r>
            <w:r w:rsidR="00D51F75">
              <w:rPr>
                <w:sz w:val="24"/>
                <w:szCs w:val="24"/>
              </w:rPr>
              <w:t>12</w:t>
            </w:r>
            <w:r w:rsidRPr="00AC5451">
              <w:rPr>
                <w:sz w:val="24"/>
                <w:szCs w:val="24"/>
              </w:rPr>
              <w:t>)</w:t>
            </w:r>
          </w:p>
        </w:tc>
      </w:tr>
    </w:tbl>
    <w:p w14:paraId="3B257CDF" w14:textId="77777777" w:rsidR="00A6464B" w:rsidRDefault="00A6464B" w:rsidP="00A6464B">
      <w:pPr>
        <w:autoSpaceDE w:val="0"/>
        <w:autoSpaceDN w:val="0"/>
        <w:adjustRightInd w:val="0"/>
        <w:spacing w:after="0" w:line="240" w:lineRule="auto"/>
        <w:jc w:val="both"/>
        <w:rPr>
          <w:rFonts w:ascii="Arial" w:hAnsi="Arial" w:cs="Arial"/>
          <w:szCs w:val="24"/>
        </w:rPr>
      </w:pPr>
    </w:p>
    <w:p w14:paraId="2834513A" w14:textId="77777777" w:rsidR="00A6464B" w:rsidRPr="00516CCC" w:rsidRDefault="00A6464B" w:rsidP="00662193">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When γ is &lt; 1, the formation of solid carbon is thermodynamically favored, and carbon deposition occurs. </w:t>
      </w:r>
    </w:p>
    <w:p w14:paraId="7A1CEC38" w14:textId="6F37D2BD" w:rsidR="00A6464B" w:rsidRPr="00516CCC" w:rsidRDefault="00A6464B" w:rsidP="00662193">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It is worth noting that </w:t>
      </w:r>
      <w:r w:rsidRPr="00873410">
        <w:rPr>
          <w:rFonts w:ascii="Times New Roman" w:hAnsi="Times New Roman" w:cs="Times New Roman"/>
          <w:noProof/>
          <w:sz w:val="24"/>
          <w:szCs w:val="24"/>
        </w:rPr>
        <w:t>in the calculation of the equilibrium constants</w:t>
      </w:r>
      <w:r w:rsidRPr="00516CCC">
        <w:rPr>
          <w:rFonts w:ascii="Times New Roman" w:hAnsi="Times New Roman" w:cs="Times New Roman"/>
          <w:sz w:val="24"/>
          <w:szCs w:val="24"/>
        </w:rPr>
        <w:t xml:space="preserve"> </w:t>
      </w:r>
      <w:r w:rsidRPr="00516CCC">
        <w:rPr>
          <w:rFonts w:ascii="Times New Roman" w:hAnsi="Times New Roman" w:cs="Times New Roman"/>
          <w:i/>
          <w:sz w:val="24"/>
          <w:szCs w:val="24"/>
        </w:rPr>
        <w:t>K</w:t>
      </w:r>
      <w:r w:rsidRPr="00516CCC">
        <w:rPr>
          <w:rFonts w:ascii="Times New Roman" w:hAnsi="Times New Roman" w:cs="Times New Roman"/>
          <w:i/>
          <w:sz w:val="24"/>
          <w:szCs w:val="24"/>
          <w:vertAlign w:val="subscript"/>
        </w:rPr>
        <w:t>B</w:t>
      </w:r>
      <w:r w:rsidRPr="00516CCC">
        <w:rPr>
          <w:rFonts w:ascii="Times New Roman" w:hAnsi="Times New Roman" w:cs="Times New Roman"/>
          <w:sz w:val="24"/>
          <w:szCs w:val="24"/>
        </w:rPr>
        <w:t xml:space="preserve"> and </w:t>
      </w:r>
      <w:r w:rsidRPr="00516CCC">
        <w:rPr>
          <w:rFonts w:ascii="Times New Roman" w:hAnsi="Times New Roman" w:cs="Times New Roman"/>
          <w:i/>
          <w:sz w:val="24"/>
          <w:szCs w:val="24"/>
        </w:rPr>
        <w:t>K</w:t>
      </w:r>
      <w:r w:rsidRPr="00516CCC">
        <w:rPr>
          <w:rFonts w:ascii="Times New Roman" w:hAnsi="Times New Roman" w:cs="Times New Roman"/>
          <w:i/>
          <w:sz w:val="24"/>
          <w:szCs w:val="24"/>
          <w:vertAlign w:val="subscript"/>
        </w:rPr>
        <w:t>C</w:t>
      </w:r>
      <w:r w:rsidRPr="00516CCC">
        <w:rPr>
          <w:rFonts w:ascii="Times New Roman" w:hAnsi="Times New Roman" w:cs="Times New Roman"/>
          <w:sz w:val="24"/>
          <w:szCs w:val="24"/>
        </w:rPr>
        <w:t xml:space="preserve">, solid carbon has been considered as graphitic, as in the most of the literature. Very few studies have taken into account different forms of carbon; </w:t>
      </w:r>
      <w:r w:rsidRPr="00873410">
        <w:rPr>
          <w:rFonts w:ascii="Times New Roman" w:hAnsi="Times New Roman" w:cs="Times New Roman"/>
          <w:noProof/>
          <w:sz w:val="24"/>
          <w:szCs w:val="24"/>
        </w:rPr>
        <w:t>for example</w:t>
      </w:r>
      <w:r w:rsidR="00873410">
        <w:rPr>
          <w:rFonts w:ascii="Times New Roman" w:hAnsi="Times New Roman" w:cs="Times New Roman"/>
          <w:noProof/>
          <w:sz w:val="24"/>
          <w:szCs w:val="24"/>
        </w:rPr>
        <w:t>,</w:t>
      </w:r>
      <w:r w:rsidRPr="00516CCC">
        <w:rPr>
          <w:rFonts w:ascii="Times New Roman" w:hAnsi="Times New Roman" w:cs="Times New Roman"/>
          <w:sz w:val="24"/>
          <w:szCs w:val="24"/>
        </w:rPr>
        <w:t xml:space="preserve"> the </w:t>
      </w:r>
      <w:r w:rsidRPr="00662193">
        <w:rPr>
          <w:rFonts w:ascii="Times New Roman" w:hAnsi="Times New Roman" w:cs="Times New Roman"/>
          <w:sz w:val="24"/>
          <w:szCs w:val="24"/>
        </w:rPr>
        <w:t xml:space="preserve">work of </w:t>
      </w:r>
      <w:r w:rsidRPr="00873410">
        <w:rPr>
          <w:rFonts w:ascii="Times New Roman" w:hAnsi="Times New Roman" w:cs="Times New Roman"/>
          <w:noProof/>
          <w:sz w:val="24"/>
          <w:szCs w:val="24"/>
        </w:rPr>
        <w:t>Cimenti</w:t>
      </w:r>
      <w:r w:rsidRPr="00662193">
        <w:rPr>
          <w:rFonts w:ascii="Times New Roman" w:hAnsi="Times New Roman" w:cs="Times New Roman"/>
          <w:sz w:val="24"/>
          <w:szCs w:val="24"/>
        </w:rPr>
        <w:t xml:space="preserve"> and Hill </w:t>
      </w:r>
      <w:r w:rsidR="00662193" w:rsidRPr="00662193">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"10.1016/j.jpowsour.2008.10.043", "ISBN" : "0378-7753", "ISSN" : "03787753", "abstract" : "There is increasing interest in developing solid oxide fuel cells (SOFC) for portable applications. For these devices it would be convenient to directly use a liquid fuel such as methanol and ethanol rather than hydrogen. The direct utilization of alcohol fuels in SOFC involves several processes, including the deposition of carbon, which can lead to irreversible deactivation of the fuel cell. Several publications have addressed the thermodynamic analysis of the reforming of methanol (MeOH) and ethanol (EtOH) in SOFC, but none have considered the direct utilization of these fuels. The equilibrium compositions, the carbon deposition boundaries, and the electromotive forces for the direct utilization and partial oxidation of methanol and ethanol in SOFC as a function of the fuel utilization are obtained in this study. In addition, the minimum amounts of H2O, and CO2 for direct and indirect reforming with MeOH and EtOH to avoid carbon formation are calculated. ?? 2008 Elsevier B.V. All rights reserved.", "author" : [ { "dropping-particle" : "", "family" : "Cimenti", "given" : "M.", "non-dropping-particle" : "", "parse-names" : false, "suffix" : "" }, { "dropping-particle" : "", "family" : "Hill", "given" : "J. M.", "non-dropping-particle" : "", "parse-names" : false, "suffix" : "" } ], "container-title" : "Journal of Power Sources", "id" : "ITEM-1", "issue" : "2", "issued" : { "date-parts" : [ [ "2009" ] ] }, "page" : "377-384", "title" : "Thermodynamic analysis of solid oxide fuel cells operated with methanol and ethanol under direct utilization, steam reforming, dry reforming or partial oxidation conditions", "type" : "article-journal", "volume" : "186" }, "uris" : [ "http://www.mendeley.com/documents/?uuid=1b4dfa2f-be78-4ed0-b7eb-22ee277a9d32", "http://www.mendeley.com/documents/?uuid=8b031aa9-4f53-4a89-848d-ee5766d4f70b" ] } ], "mendeley" : { "formattedCitation" : "[43]", "plainTextFormattedCitation" : "[43]", "previouslyFormattedCitation" : "[42]" }, "properties" : { "noteIndex" : 0 }, "schema" : "https://github.com/citation-style-language/schema/raw/master/csl-citation.json" }</w:instrText>
      </w:r>
      <w:r w:rsidR="00662193" w:rsidRPr="00662193">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[43]</w:t>
      </w:r>
      <w:r w:rsidR="00662193" w:rsidRPr="00662193">
        <w:rPr>
          <w:rFonts w:ascii="Times New Roman" w:hAnsi="Times New Roman" w:cs="Times New Roman"/>
          <w:sz w:val="24"/>
          <w:szCs w:val="24"/>
        </w:rPr>
        <w:fldChar w:fldCharType="end"/>
      </w:r>
      <w:r w:rsidRPr="00516CCC">
        <w:rPr>
          <w:rFonts w:ascii="Times New Roman" w:hAnsi="Times New Roman" w:cs="Times New Roman"/>
          <w:sz w:val="24"/>
          <w:szCs w:val="24"/>
        </w:rPr>
        <w:t xml:space="preserve"> included amorphous carbon in addition to graphite. In general, the thermodynamic properties of carbon depend on the form in which it is deposited (i.e., graphite, amorphous, filament); thus, a detailed model should also consider the different types of carbon. </w:t>
      </w:r>
      <w:r w:rsidRPr="00662193">
        <w:rPr>
          <w:rFonts w:ascii="Times New Roman" w:hAnsi="Times New Roman" w:cs="Times New Roman"/>
          <w:sz w:val="24"/>
          <w:szCs w:val="24"/>
        </w:rPr>
        <w:t xml:space="preserve">The study of Lee et al. </w:t>
      </w:r>
      <w:r w:rsidR="00662193" w:rsidRPr="00662193">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"10.1149/2.051302jes", "ISBN" : "0013-4651", "ISSN" : "0013-4651, 1945-7111", "abstract" : "Previous thermodynamic analyses of carbon formation in {SOFCs} assumed that graphite could be used to represent the properties of carbon formed in the anode. It is generally observed, however, that catalytically grown carbon nanofibers ({CNF)} are more likely to form in the {SOFC} anode with nickel catalysts. The energetic and entropic properties of {CNF} are different from those of graphite. We compare equilibrium results based on thermochemical properties for graphite, to new results based on a previously reported value of an empirically determined Gibbs free energy for carbon fibers grown on a nickel support (with fitted values of {H{\\textdegree}CNF} = 54.46 {kJ/mol} and {S{\\textdegree}CNF} = 68.90 {J/mol/K} for a nickel crystal size of 5.4 nm). There is little difference in predictions of carbon formation under open-circuit conditions between the two carbon types for methane mixtures, with graphite predicted to form at lower temperatures than {CNF.} There is a much bigger difference in predictions for methanol mixtures, especially at low steam-carbon ratios. The differences for propane are even more pronounced, and the improved predictions assuming {CNF} are in closer agreement with past observations. We show a strong dependence of {CNF} formation and {\\textquotedblleft}coking threshold{\\textquotedblright} on nickel crystallite size, supporting previous reports that the nickel particle size is a dominating parameter for controlling filament growth. If both carbon types are included in the calculations, only the thermodynamically favored form (i.e., the type having the lowest formation energy) exists. Predicted Nernst potentials are more-or-less independent of the carbon type and in agreement with measured open-circuit voltages.", "author" : [ { "dropping-particle" : "", "family" : "Lee", "given" : "Won Yong", "non-dropping-particle" : "", "parse-names" : false, "suffix" : "" }, { "dropping-particle" : "", "family" : "Hanna", "given" : "Jeff", "non-dropping-particle" : "", "parse-names" : false, "suffix" : "" }, { "dropping-particle" : "", "family" : "Ghoniem", "given" : "Ahmed F", "non-dropping-particle" : "", "parse-names" : false, "suffix" : "" } ], "container-title" : "Journal of The Electrochemical Society", "id" : "ITEM-1", "issue" : "2", "issued" : { "date-parts" : [ [ "2013" ] ] }, "page" : "F94{\\textendash}F105", "title" : "On the Predictions of Carbon Deposition on the Nickel Anode of a {SOFC} and Its Impact on Open-Circuit Conditions", "type" : "article-journal", "volume" : "160" }, "uris" : [ "http://www.mendeley.com/documents/?uuid=5fe38ff5-aad7-4632-895c-246adb06b9f6", "http://www.mendeley.com/documents/?uuid=d5628117-78c5-420b-b9e1-2bcfc26a6a0c" ] } ], "mendeley" : { "formattedCitation" : "[44]", "plainTextFormattedCitation" : "[44]", "previouslyFormattedCitation" : "[43]" }, "properties" : { "noteIndex" : 0 }, "schema" : "https://github.com/citation-style-language/schema/raw/master/csl-citation.json" }</w:instrText>
      </w:r>
      <w:r w:rsidR="00662193" w:rsidRPr="00662193">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[44]</w:t>
      </w:r>
      <w:r w:rsidR="00662193" w:rsidRPr="00662193">
        <w:rPr>
          <w:rFonts w:ascii="Times New Roman" w:hAnsi="Times New Roman" w:cs="Times New Roman"/>
          <w:sz w:val="24"/>
          <w:szCs w:val="24"/>
        </w:rPr>
        <w:fldChar w:fldCharType="end"/>
      </w:r>
      <w:r w:rsidRPr="00516CCC">
        <w:rPr>
          <w:rFonts w:ascii="Times New Roman" w:hAnsi="Times New Roman" w:cs="Times New Roman"/>
          <w:sz w:val="24"/>
          <w:szCs w:val="24"/>
        </w:rPr>
        <w:t xml:space="preserve"> has shown that using either the properties of graphite or those of catalytically grown carbon fibers for the evaluation of the carbon activity of methane mixtures leads to minimal differences in carbon formation predictions, while in the case of higher hydrocarbons mixtures (e.g. methanol and propane) leads to greater prediction discrepancies. Therefore, the use of graphite thermodynamic properties when evaluating the carbon formation at equilibrium from internal reforming of methane can be considered an acceptable assumption.</w:t>
      </w:r>
    </w:p>
    <w:p w14:paraId="429F0B7E" w14:textId="77777777" w:rsidR="00A6464B" w:rsidRPr="00516CCC" w:rsidRDefault="00A6464B" w:rsidP="00662193">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4"/>
        </w:rPr>
        <w:t xml:space="preserve">Once the possibility of carbon formation at cell inlet/outlet has been evaluated using the γ coefficient, it is necessary to </w:t>
      </w:r>
      <w:r w:rsidRPr="00873410">
        <w:rPr>
          <w:rFonts w:ascii="Times New Roman" w:hAnsi="Times New Roman" w:cs="Times New Roman"/>
          <w:noProof/>
          <w:sz w:val="24"/>
          <w:szCs w:val="24"/>
        </w:rPr>
        <w:t>evaluate</w:t>
      </w:r>
      <w:r w:rsidRPr="00516CCC">
        <w:rPr>
          <w:rFonts w:ascii="Times New Roman" w:hAnsi="Times New Roman" w:cs="Times New Roman"/>
          <w:sz w:val="24"/>
          <w:szCs w:val="24"/>
        </w:rPr>
        <w:t xml:space="preserve"> the rate at which carbon deposits. In the model, </w:t>
      </w:r>
      <w:r w:rsidR="00662193">
        <w:rPr>
          <w:rFonts w:ascii="Times New Roman" w:hAnsi="Times New Roman" w:cs="Times New Roman"/>
          <w:sz w:val="24"/>
          <w:szCs w:val="24"/>
        </w:rPr>
        <w:t>a</w:t>
      </w:r>
      <w:r w:rsidRPr="00516CCC">
        <w:rPr>
          <w:rFonts w:ascii="Times New Roman" w:hAnsi="Times New Roman" w:cs="Times New Roman"/>
          <w:sz w:val="24"/>
          <w:szCs w:val="24"/>
        </w:rPr>
        <w:t xml:space="preserve"> global kinetic approach has been applied, which defines a global carbon deposition rate as:</w:t>
      </w:r>
    </w:p>
    <w:p w14:paraId="6A88B105" w14:textId="77777777" w:rsidR="00A6464B" w:rsidRDefault="00A6464B" w:rsidP="00A6464B">
      <w:pPr>
        <w:autoSpaceDE w:val="0"/>
        <w:autoSpaceDN w:val="0"/>
        <w:adjustRightInd w:val="0"/>
        <w:spacing w:after="0" w:line="240" w:lineRule="auto"/>
        <w:jc w:val="both"/>
        <w:rPr>
          <w:rFonts w:ascii="Arial" w:hAnsi="Arial" w:cs="Arial"/>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222"/>
        <w:gridCol w:w="881"/>
      </w:tblGrid>
      <w:tr w:rsidR="00A6464B" w:rsidRPr="00F6353A" w14:paraId="26BE24A5" w14:textId="77777777" w:rsidTr="00694420">
        <w:trPr>
          <w:trHeight w:val="598"/>
        </w:trPr>
        <w:tc>
          <w:tcPr>
            <w:tcW w:w="675" w:type="dxa"/>
            <w:vAlign w:val="center"/>
          </w:tcPr>
          <w:p w14:paraId="18FBFB43" w14:textId="77777777" w:rsidR="00A6464B" w:rsidRPr="001840B8" w:rsidRDefault="00A6464B" w:rsidP="00694420">
            <w:pPr>
              <w:spacing w:before="120" w:after="120" w:line="360" w:lineRule="auto"/>
              <w:jc w:val="center"/>
              <w:rPr>
                <w:sz w:val="24"/>
                <w:szCs w:val="24"/>
              </w:rPr>
            </w:pPr>
          </w:p>
        </w:tc>
        <w:tc>
          <w:tcPr>
            <w:tcW w:w="8222" w:type="dxa"/>
            <w:vAlign w:val="center"/>
          </w:tcPr>
          <w:p w14:paraId="15E30924" w14:textId="77777777" w:rsidR="00A6464B" w:rsidRPr="000E2EF3" w:rsidRDefault="009442A0" w:rsidP="00694420">
            <w:pPr>
              <w:spacing w:before="360" w:after="360" w:line="240" w:lineRule="exact"/>
              <w:jc w:val="center"/>
              <w:rPr>
                <w:rFonts w:eastAsia="Calibri"/>
                <w:sz w:val="24"/>
                <w:szCs w:val="24"/>
              </w:rPr>
            </w:pPr>
            <m:oMathPara>
              <m:oMath>
                <m:f>
                  <m:fPr>
                    <m:ctrlPr>
                      <w:rPr>
                        <w:rFonts w:ascii="Cambria Math" w:eastAsiaTheme="minorEastAsia" w:hAnsi="Cambria Math"/>
                        <w:i/>
                        <w:sz w:val="24"/>
                        <w:szCs w:val="24"/>
                      </w:rPr>
                    </m:ctrlPr>
                  </m:fPr>
                  <m:num>
                    <m:r>
                      <w:rPr>
                        <w:rFonts w:ascii="Cambria Math" w:hAnsi="Cambria Math"/>
                        <w:sz w:val="24"/>
                        <w:szCs w:val="24"/>
                      </w:rPr>
                      <m:t>d</m:t>
                    </m:r>
                    <m:sSub>
                      <m:sSubPr>
                        <m:ctrlPr>
                          <w:rPr>
                            <w:rFonts w:ascii="Cambria Math" w:eastAsiaTheme="minorEastAsia" w:hAnsi="Cambria Math"/>
                            <w:i/>
                            <w:sz w:val="24"/>
                            <w:szCs w:val="24"/>
                          </w:rPr>
                        </m:ctrlPr>
                      </m:sSubPr>
                      <m:e>
                        <m:acc>
                          <m:accPr>
                            <m:chr m:val="̅"/>
                            <m:ctrlPr>
                              <w:rPr>
                                <w:rFonts w:ascii="Cambria Math" w:eastAsiaTheme="minorEastAsia" w:hAnsi="Cambria Math"/>
                                <w:i/>
                                <w:sz w:val="24"/>
                                <w:szCs w:val="24"/>
                              </w:rPr>
                            </m:ctrlPr>
                          </m:accPr>
                          <m:e>
                            <m:r>
                              <w:rPr>
                                <w:rFonts w:ascii="Cambria Math" w:hAnsi="Cambria Math"/>
                                <w:sz w:val="24"/>
                                <w:szCs w:val="24"/>
                              </w:rPr>
                              <m:t>c</m:t>
                            </m:r>
                          </m:e>
                        </m:acc>
                      </m:e>
                      <m:sub>
                        <m:r>
                          <w:rPr>
                            <w:rFonts w:ascii="Cambria Math" w:hAnsi="Cambria Math"/>
                            <w:sz w:val="24"/>
                            <w:szCs w:val="24"/>
                          </w:rPr>
                          <m:t>c</m:t>
                        </m:r>
                      </m:sub>
                    </m:sSub>
                  </m:num>
                  <m:den>
                    <m:r>
                      <w:rPr>
                        <w:rFonts w:ascii="Cambria Math" w:hAnsi="Cambria Math"/>
                        <w:sz w:val="24"/>
                        <w:szCs w:val="24"/>
                      </w:rPr>
                      <m:t>dt</m:t>
                    </m:r>
                  </m:den>
                </m:f>
                <m:r>
                  <w:rPr>
                    <w:rFonts w:ascii="Cambria Math" w:hAnsi="Cambria Math"/>
                    <w:sz w:val="24"/>
                    <w:szCs w:val="24"/>
                  </w:rPr>
                  <m:t>=a×</m:t>
                </m:r>
                <m:nary>
                  <m:naryPr>
                    <m:chr m:val="∑"/>
                    <m:limLoc m:val="undOvr"/>
                    <m:supHide m:val="1"/>
                    <m:ctrlPr>
                      <w:rPr>
                        <w:rFonts w:ascii="Cambria Math" w:eastAsiaTheme="minorEastAsia" w:hAnsi="Cambria Math"/>
                        <w:i/>
                        <w:sz w:val="24"/>
                        <w:szCs w:val="24"/>
                      </w:rPr>
                    </m:ctrlPr>
                  </m:naryPr>
                  <m:sub>
                    <m:r>
                      <w:rPr>
                        <w:rFonts w:ascii="Cambria Math" w:hAnsi="Cambria Math"/>
                        <w:sz w:val="24"/>
                        <w:szCs w:val="24"/>
                      </w:rPr>
                      <m:t>i</m:t>
                    </m:r>
                  </m:sub>
                  <m:sup/>
                  <m:e>
                    <m:sSub>
                      <m:sSubPr>
                        <m:ctrlPr>
                          <w:rPr>
                            <w:rFonts w:ascii="Cambria Math" w:eastAsiaTheme="minorEastAsia" w:hAnsi="Cambria Math"/>
                            <w:i/>
                            <w:sz w:val="24"/>
                            <w:szCs w:val="24"/>
                          </w:rPr>
                        </m:ctrlPr>
                      </m:sSubPr>
                      <m:e>
                        <m:r>
                          <w:rPr>
                            <w:rFonts w:ascii="Cambria Math" w:hAnsi="Cambria Math"/>
                            <w:sz w:val="24"/>
                            <w:szCs w:val="24"/>
                          </w:rPr>
                          <m:t>r</m:t>
                        </m:r>
                      </m:e>
                      <m:sub>
                        <m:r>
                          <w:rPr>
                            <w:rFonts w:ascii="Cambria Math" w:hAnsi="Cambria Math"/>
                            <w:sz w:val="24"/>
                            <w:szCs w:val="24"/>
                          </w:rPr>
                          <m:t>CD,i</m:t>
                        </m:r>
                      </m:sub>
                    </m:sSub>
                  </m:e>
                </m:nary>
              </m:oMath>
            </m:oMathPara>
          </w:p>
        </w:tc>
        <w:tc>
          <w:tcPr>
            <w:tcW w:w="881" w:type="dxa"/>
            <w:vAlign w:val="center"/>
          </w:tcPr>
          <w:p w14:paraId="41E26EB6" w14:textId="77777777" w:rsidR="00A6464B" w:rsidRPr="00757253" w:rsidRDefault="00A6464B" w:rsidP="00D51F75">
            <w:pPr>
              <w:spacing w:before="240" w:after="240" w:line="240" w:lineRule="exact"/>
              <w:jc w:val="center"/>
              <w:rPr>
                <w:sz w:val="24"/>
                <w:szCs w:val="24"/>
              </w:rPr>
            </w:pPr>
            <w:r w:rsidRPr="00D51F75">
              <w:rPr>
                <w:sz w:val="24"/>
                <w:szCs w:val="24"/>
              </w:rPr>
              <w:t>(</w:t>
            </w:r>
            <w:r w:rsidR="00D51F75" w:rsidRPr="00D51F75">
              <w:rPr>
                <w:sz w:val="24"/>
                <w:szCs w:val="24"/>
              </w:rPr>
              <w:t>13</w:t>
            </w:r>
            <w:r w:rsidRPr="00D51F75">
              <w:rPr>
                <w:sz w:val="24"/>
                <w:szCs w:val="24"/>
              </w:rPr>
              <w:t>)</w:t>
            </w:r>
          </w:p>
        </w:tc>
      </w:tr>
    </w:tbl>
    <w:p w14:paraId="67909053" w14:textId="77777777" w:rsidR="00A6464B" w:rsidRDefault="00A6464B" w:rsidP="00A6464B">
      <w:pPr>
        <w:autoSpaceDE w:val="0"/>
        <w:autoSpaceDN w:val="0"/>
        <w:adjustRightInd w:val="0"/>
        <w:spacing w:after="0" w:line="240" w:lineRule="auto"/>
        <w:jc w:val="both"/>
        <w:rPr>
          <w:rFonts w:ascii="Arial" w:hAnsi="Arial" w:cs="Arial"/>
          <w:szCs w:val="24"/>
        </w:rPr>
      </w:pPr>
    </w:p>
    <w:p w14:paraId="2FFDBDCF" w14:textId="6077733A" w:rsidR="00A6464B" w:rsidRPr="00662193" w:rsidRDefault="00A6464B" w:rsidP="00662193">
      <w:pPr>
        <w:autoSpaceDE w:val="0"/>
        <w:autoSpaceDN w:val="0"/>
        <w:adjustRightInd w:val="0"/>
        <w:spacing w:after="0" w:line="480" w:lineRule="auto"/>
        <w:jc w:val="both"/>
        <w:rPr>
          <w:rFonts w:ascii="Times New Roman" w:hAnsi="Times New Roman" w:cs="Times New Roman"/>
          <w:sz w:val="24"/>
          <w:szCs w:val="24"/>
        </w:rPr>
      </w:pPr>
      <w:r w:rsidRPr="00662193">
        <w:rPr>
          <w:rFonts w:ascii="Times New Roman" w:hAnsi="Times New Roman" w:cs="Times New Roman"/>
          <w:sz w:val="24"/>
          <w:szCs w:val="24"/>
        </w:rPr>
        <w:t xml:space="preserve">where </w:t>
      </w:r>
      <m:oMath>
        <m:sSub>
          <m:sSubPr>
            <m:ctrlPr>
              <w:rPr>
                <w:rFonts w:ascii="Cambria Math" w:hAnsi="Times New Roman" w:cs="Times New Roman"/>
                <w:i/>
                <w:sz w:val="24"/>
                <w:szCs w:val="24"/>
                <w:lang w:eastAsia="it-IT"/>
              </w:rPr>
            </m:ctrlPr>
          </m:sSubPr>
          <m:e>
            <m:acc>
              <m:accPr>
                <m:chr m:val="̅"/>
                <m:ctrlPr>
                  <w:rPr>
                    <w:rFonts w:ascii="Cambria Math" w:hAnsi="Times New Roman" w:cs="Times New Roman"/>
                    <w:i/>
                    <w:sz w:val="24"/>
                    <w:szCs w:val="24"/>
                    <w:lang w:eastAsia="it-IT"/>
                  </w:rPr>
                </m:ctrlPr>
              </m:accPr>
              <m:e>
                <m:r>
                  <w:rPr>
                    <w:rFonts w:ascii="Cambria Math" w:hAnsi="Cambria Math" w:cs="Times New Roman"/>
                    <w:sz w:val="24"/>
                    <w:szCs w:val="24"/>
                  </w:rPr>
                  <m:t>c</m:t>
                </m:r>
              </m:e>
            </m:acc>
          </m:e>
          <m:sub>
            <m:r>
              <w:rPr>
                <w:rFonts w:ascii="Cambria Math" w:hAnsi="Cambria Math" w:cs="Times New Roman"/>
                <w:sz w:val="24"/>
                <w:szCs w:val="24"/>
              </w:rPr>
              <m:t>c</m:t>
            </m:r>
          </m:sub>
        </m:sSub>
      </m:oMath>
      <w:r w:rsidRPr="00662193">
        <w:rPr>
          <w:rFonts w:ascii="Times New Roman" w:hAnsi="Times New Roman" w:cs="Times New Roman"/>
          <w:sz w:val="24"/>
          <w:szCs w:val="24"/>
        </w:rPr>
        <w:t xml:space="preserve"> is the molar concentration of the deposited carbon (mol m</w:t>
      </w:r>
      <w:r w:rsidRPr="00662193">
        <w:rPr>
          <w:rFonts w:ascii="Times New Roman" w:hAnsi="Times New Roman" w:cs="Times New Roman"/>
          <w:sz w:val="24"/>
          <w:szCs w:val="24"/>
          <w:vertAlign w:val="superscript"/>
        </w:rPr>
        <w:t>-3</w:t>
      </w:r>
      <w:r w:rsidRPr="00662193">
        <w:rPr>
          <w:rFonts w:ascii="Times New Roman" w:hAnsi="Times New Roman" w:cs="Times New Roman"/>
          <w:sz w:val="24"/>
          <w:szCs w:val="24"/>
        </w:rPr>
        <w:t xml:space="preserve"> s</w:t>
      </w:r>
      <w:r w:rsidRPr="00662193">
        <w:rPr>
          <w:rFonts w:ascii="Times New Roman" w:hAnsi="Times New Roman" w:cs="Times New Roman"/>
          <w:sz w:val="24"/>
          <w:szCs w:val="24"/>
          <w:vertAlign w:val="superscript"/>
        </w:rPr>
        <w:t>-1</w:t>
      </w:r>
      <w:r w:rsidRPr="00662193">
        <w:rPr>
          <w:rFonts w:ascii="Times New Roman" w:hAnsi="Times New Roman" w:cs="Times New Roman"/>
          <w:sz w:val="24"/>
          <w:szCs w:val="24"/>
        </w:rPr>
        <w:t xml:space="preserve">), </w:t>
      </w:r>
      <w:r w:rsidRPr="00662193">
        <w:rPr>
          <w:rFonts w:ascii="Times New Roman" w:hAnsi="Times New Roman" w:cs="Times New Roman"/>
          <w:i/>
          <w:sz w:val="24"/>
          <w:szCs w:val="24"/>
        </w:rPr>
        <w:t>a</w:t>
      </w:r>
      <w:r w:rsidRPr="00662193">
        <w:rPr>
          <w:rFonts w:ascii="Times New Roman" w:hAnsi="Times New Roman" w:cs="Times New Roman"/>
          <w:sz w:val="24"/>
          <w:szCs w:val="24"/>
        </w:rPr>
        <w:t xml:space="preserve"> represents the electro-catalytic activity of Nickel (i.e., value between 0 and 1; 1 if no carbon is deposited and the catalyst is fully active, 0 if the catalyst is inactive because completely covered by carbon) and </w:t>
      </w:r>
      <m:oMath>
        <m:sSub>
          <m:sSubPr>
            <m:ctrlPr>
              <w:rPr>
                <w:rFonts w:ascii="Cambria Math" w:hAnsi="Times New Roman" w:cs="Times New Roman"/>
                <w:i/>
                <w:sz w:val="24"/>
                <w:szCs w:val="24"/>
                <w:lang w:eastAsia="it-IT"/>
              </w:rPr>
            </m:ctrlPr>
          </m:sSubPr>
          <m:e>
            <m:r>
              <w:rPr>
                <w:rFonts w:ascii="Cambria Math" w:hAnsi="Cambria Math" w:cs="Times New Roman"/>
                <w:sz w:val="24"/>
                <w:szCs w:val="24"/>
              </w:rPr>
              <m:t>r</m:t>
            </m:r>
          </m:e>
          <m:sub>
            <m:r>
              <w:rPr>
                <w:rFonts w:ascii="Cambria Math" w:hAnsi="Cambria Math" w:cs="Times New Roman"/>
                <w:sz w:val="24"/>
                <w:szCs w:val="24"/>
              </w:rPr>
              <m:t>CD</m:t>
            </m:r>
            <m:r>
              <w:rPr>
                <w:rFonts w:ascii="Cambria Math" w:hAnsi="Times New Roman" w:cs="Times New Roman"/>
                <w:sz w:val="24"/>
                <w:szCs w:val="24"/>
              </w:rPr>
              <m:t>,</m:t>
            </m:r>
            <m:r>
              <w:rPr>
                <w:rFonts w:ascii="Cambria Math" w:hAnsi="Cambria Math" w:cs="Times New Roman"/>
                <w:sz w:val="24"/>
                <w:szCs w:val="24"/>
              </w:rPr>
              <m:t>i</m:t>
            </m:r>
          </m:sub>
        </m:sSub>
      </m:oMath>
      <w:r w:rsidRPr="00662193">
        <w:rPr>
          <w:rFonts w:ascii="Times New Roman" w:hAnsi="Times New Roman" w:cs="Times New Roman"/>
          <w:sz w:val="24"/>
          <w:szCs w:val="24"/>
        </w:rPr>
        <w:t xml:space="preserve"> (mol m</w:t>
      </w:r>
      <w:r w:rsidRPr="00662193">
        <w:rPr>
          <w:rFonts w:ascii="Times New Roman" w:hAnsi="Times New Roman" w:cs="Times New Roman"/>
          <w:sz w:val="24"/>
          <w:szCs w:val="24"/>
          <w:vertAlign w:val="superscript"/>
        </w:rPr>
        <w:t>-3</w:t>
      </w:r>
      <w:r w:rsidRPr="00662193">
        <w:rPr>
          <w:rFonts w:ascii="Times New Roman" w:hAnsi="Times New Roman" w:cs="Times New Roman"/>
          <w:sz w:val="24"/>
          <w:szCs w:val="24"/>
        </w:rPr>
        <w:t xml:space="preserve"> </w:t>
      </w:r>
      <w:r w:rsidRPr="00662193">
        <w:rPr>
          <w:rFonts w:ascii="Times New Roman" w:hAnsi="Times New Roman" w:cs="Times New Roman"/>
          <w:sz w:val="24"/>
          <w:szCs w:val="24"/>
        </w:rPr>
        <w:lastRenderedPageBreak/>
        <w:t>s</w:t>
      </w:r>
      <w:r w:rsidRPr="00662193">
        <w:rPr>
          <w:rFonts w:ascii="Times New Roman" w:hAnsi="Times New Roman" w:cs="Times New Roman"/>
          <w:sz w:val="24"/>
          <w:szCs w:val="24"/>
          <w:vertAlign w:val="superscript"/>
        </w:rPr>
        <w:t>-1</w:t>
      </w:r>
      <w:r w:rsidRPr="00662193">
        <w:rPr>
          <w:rFonts w:ascii="Times New Roman" w:hAnsi="Times New Roman" w:cs="Times New Roman"/>
          <w:sz w:val="24"/>
          <w:szCs w:val="24"/>
        </w:rPr>
        <w:t xml:space="preserve">) is the rate of carbon formation of the i-th reaction considered (i.e., methane cracking or Boudouard reaction). In the model, the carbon formation rate of the methane cracking reaction is taken from the work of Zavarkuhin and Kuvshinov </w:t>
      </w:r>
      <w:r w:rsidR="00662193" w:rsidRPr="00662193">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"10.1016/j.apcata.2004.05.044", "ISSN" : "0926860X", "abstract" : "A mathematical model is suggested for the process of formation of nanofibrous carbon from the mixture of methane and hydrogen over a high-loaded nickel catalyst (90wt.% Ni\u2013Al2O3) to describe the observed process kinetics involving the catalyst deactivation. The experimental kinetic data obtained at hydrogen volume fraction of 0\u201340%, 490\u2013590\u00b0C and atmospheric pressure are analyzed to suggest the formula for calculation of the maximal rate of the carbon formation and the equation of the catalyst deactivation. The suggested kinetic model relates to the mechanism when the cleavage of the first hydrogen atom from a methane molecule adsorbed on the catalyst surface is the rate-limiting stage. The model is appropriate for the qualitative and quantitative description of the process under consideration. The calculations in terms of the model are exemplified with synthesis of nanofibrous carbon in an isothermal perfect-mixing reactor at a constant methane consumption. The calculated results agree well with the experimental data.", "author" : [ { "dropping-particle" : "", "family" : "Zavarukhin", "given" : "Sergei G.", "non-dropping-particle" : "", "parse-names" : false, "suffix" : "" }, { "dropping-particle" : "", "family" : "Kuvshinov", "given" : "Gennady G.", "non-dropping-particle" : "", "parse-names" : false, "suffix" : "" } ], "container-title" : "Applied Catalysis A: General", "id" : "ITEM-1", "issue" : "1-2", "issued" : { "date-parts" : [ [ "2004", "9" ] ] }, "page" : "219-227", "title" : "The kinetic model of formation of nanofibrous carbon from CH4\u2013H2 mixture over a high-loaded nickel catalyst with consideration for the catalyst deactivation", "type" : "article-journal", "volume" : "272" }, "uris" : [ "http://www.mendeley.com/documents/?uuid=d93f9884-a175-4d9f-8f50-0da98b7d286a" ] } ], "mendeley" : { "formattedCitation" : "[45]", "plainTextFormattedCitation" : "[45]", "previouslyFormattedCitation" : "[44]" }, "properties" : { "noteIndex" : 0 }, "schema" : "https://github.com/citation-style-language/schema/raw/master/csl-citation.json" }</w:instrText>
      </w:r>
      <w:r w:rsidR="00662193" w:rsidRPr="00662193">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[45]</w:t>
      </w:r>
      <w:r w:rsidR="00662193" w:rsidRPr="00662193">
        <w:rPr>
          <w:rFonts w:ascii="Times New Roman" w:hAnsi="Times New Roman" w:cs="Times New Roman"/>
          <w:sz w:val="24"/>
          <w:szCs w:val="24"/>
        </w:rPr>
        <w:fldChar w:fldCharType="end"/>
      </w:r>
      <w:r w:rsidR="00662193" w:rsidRPr="00662193">
        <w:rPr>
          <w:rFonts w:ascii="Times New Roman" w:hAnsi="Times New Roman" w:cs="Times New Roman"/>
          <w:sz w:val="24"/>
          <w:szCs w:val="24"/>
        </w:rPr>
        <w:t>,</w:t>
      </w:r>
      <w:r w:rsidRPr="00662193">
        <w:rPr>
          <w:rFonts w:ascii="Times New Roman" w:hAnsi="Times New Roman" w:cs="Times New Roman"/>
          <w:sz w:val="24"/>
          <w:szCs w:val="24"/>
        </w:rPr>
        <w:t xml:space="preserve"> while the rate of Boudouard reactions is derived from Snoeck et al. </w:t>
      </w:r>
      <w:r w:rsidR="00662193" w:rsidRPr="00662193">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"10.1016/S0140-6701(03)81702-2", "ISSN" : "01406701", "abstract" : "A rigorous kinetic model was derived for the formation on a nickel catalyst of filamentous carbon by the Boudouard reaction and for the gasification of filamentous carbon by carbon dioxide, by hydrogen, and by steam. The experimental study was performed in an electrobalance unit. Carbon formation and gasification experiments were performed at temperatures ranging from 773 to 848 K. The partial pressures of the various components were chosen in the ranges encountered in industrial steam reformers. The influence of the carbon formation reaction on the subsequent gasification process was also investigated. The mode of experimentation ensured that the rates of growth or gasification of the carbon filaments were always based on the same number of carbon filaments. The same reaction mechanism was derived from the study both of methane cracking and the Boudouard reaction and of the reverse reactions, gasification by hydrogen and carbon dioxide. Using the results of the parameter estimation, energy diagrams were constructed for the Boudouard reaction and for gasification by carbon dioxide and by hydrogen. A rigorous kinetic model was derived for the formation on a nickel catalyst of filamentous carbon by the Boudouard reaction and for the gasification of filamentous carbon by carbon dioxide, by hydrogen, and by steam. The experimental study was performed in an electrobalance unit. Carbon formation and gasification experiments were performed at temperatures ranging from 773 to 848 K. The partial pressures of the various components were chosen in the ranges encountered in industrial steam reformers. The influence of the carbon formation reaction on the subsequent gasification process was also investigated. The mode of experimentation ensured that the rates of growth or gasification of the carbon filaments were always based on the same number of carbon filaments. The same reaction mechanism was derived from the study both of methane cracking and the Boudouard reaction and of the reverse reactions, gasification by hydrogen and carbon dioxide. Using the results of the parameter estimation, energy diagrams were constructed for the Boudouard reaction and for gasification by carbon dioxide and by hydrogen.", "author" : [ { "dropping-particle" : "", "family" : "Snoeck", "given" : "J", "non-dropping-particle" : "", "parse-names" : false, "suffix" : "" }, { "dropping-particle" : "", "family" : "Froment", "given" : "G F", "non-dropping-particle" : "", "parse-names" : false, "suffix" : "" } ], "container-title" : "Industrial &amp; Engineering Chemistry Research", "id" : "ITEM-1", "issued" : { "date-parts" : [ [ "2002" ] ] }, "page" : "4252-4265", "title" : "Steam/CO2 reforming of methane. Carbon filament formation by the Boudouard reaction and gasification by CO2, by H2, and by steam: kinetic study", "type" : "article-journal", "volume" : "41" }, "uris" : [ "http://www.mendeley.com/documents/?uuid=345ef938-0102-4fe5-8f4f-7db6b9495ddf", "http://www.mendeley.com/documents/?uuid=4c5d9dc0-0b76-49da-8737-f2d574784539" ] } ], "mendeley" : { "formattedCitation" : "[46]", "plainTextFormattedCitation" : "[46]", "previouslyFormattedCitation" : "[45]" }, "properties" : { "noteIndex" : 0 }, "schema" : "https://github.com/citation-style-language/schema/raw/master/csl-citation.json" }</w:instrText>
      </w:r>
      <w:r w:rsidR="00662193" w:rsidRPr="00662193">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[46]</w:t>
      </w:r>
      <w:r w:rsidR="00662193" w:rsidRPr="00662193">
        <w:rPr>
          <w:rFonts w:ascii="Times New Roman" w:hAnsi="Times New Roman" w:cs="Times New Roman"/>
          <w:sz w:val="24"/>
          <w:szCs w:val="24"/>
        </w:rPr>
        <w:fldChar w:fldCharType="end"/>
      </w:r>
      <w:r w:rsidR="00662193" w:rsidRPr="00662193">
        <w:rPr>
          <w:rFonts w:ascii="Times New Roman" w:hAnsi="Times New Roman" w:cs="Times New Roman"/>
          <w:sz w:val="24"/>
          <w:szCs w:val="24"/>
        </w:rPr>
        <w:t xml:space="preserve">. </w:t>
      </w:r>
      <w:r w:rsidRPr="00662193">
        <w:rPr>
          <w:rFonts w:ascii="Times New Roman" w:hAnsi="Times New Roman" w:cs="Times New Roman"/>
          <w:sz w:val="24"/>
          <w:szCs w:val="24"/>
        </w:rPr>
        <w:t xml:space="preserve">The normalized parameter </w:t>
      </w:r>
      <w:r w:rsidRPr="00662193">
        <w:rPr>
          <w:rFonts w:ascii="Times New Roman" w:hAnsi="Times New Roman" w:cs="Times New Roman"/>
          <w:i/>
          <w:sz w:val="24"/>
          <w:szCs w:val="24"/>
        </w:rPr>
        <w:t>a</w:t>
      </w:r>
      <w:r w:rsidR="00D51F75">
        <w:rPr>
          <w:rFonts w:ascii="Times New Roman" w:hAnsi="Times New Roman" w:cs="Times New Roman"/>
          <w:i/>
          <w:sz w:val="24"/>
          <w:szCs w:val="24"/>
        </w:rPr>
        <w:t xml:space="preserve"> </w:t>
      </w:r>
      <w:r w:rsidR="00D51F75">
        <w:rPr>
          <w:rFonts w:ascii="Times New Roman" w:hAnsi="Times New Roman" w:cs="Times New Roman"/>
          <w:sz w:val="24"/>
          <w:szCs w:val="24"/>
        </w:rPr>
        <w:t>in</w:t>
      </w:r>
      <w:r w:rsidRPr="00662193">
        <w:rPr>
          <w:rFonts w:ascii="Times New Roman" w:hAnsi="Times New Roman" w:cs="Times New Roman"/>
          <w:sz w:val="24"/>
          <w:szCs w:val="24"/>
        </w:rPr>
        <w:t xml:space="preserve"> equation </w:t>
      </w:r>
      <w:r w:rsidR="00D51F75">
        <w:rPr>
          <w:rFonts w:ascii="Times New Roman" w:hAnsi="Times New Roman" w:cs="Times New Roman"/>
          <w:sz w:val="24"/>
          <w:szCs w:val="24"/>
        </w:rPr>
        <w:t>(13)</w:t>
      </w:r>
      <w:r w:rsidRPr="00662193">
        <w:rPr>
          <w:rFonts w:ascii="Times New Roman" w:hAnsi="Times New Roman" w:cs="Times New Roman"/>
          <w:sz w:val="24"/>
          <w:szCs w:val="24"/>
        </w:rPr>
        <w:t xml:space="preserve"> is assumed to be directly proportional to the Nickel surface free from carbon coverage in the TPB of the cell. When carbon deposition occurs</w:t>
      </w:r>
      <w:r w:rsidR="00D51F75">
        <w:rPr>
          <w:rFonts w:ascii="Times New Roman" w:hAnsi="Times New Roman" w:cs="Times New Roman"/>
          <w:sz w:val="24"/>
          <w:szCs w:val="24"/>
        </w:rPr>
        <w:t xml:space="preserve">, </w:t>
      </w:r>
      <w:r w:rsidRPr="00662193">
        <w:rPr>
          <w:rFonts w:ascii="Times New Roman" w:hAnsi="Times New Roman" w:cs="Times New Roman"/>
          <w:i/>
          <w:sz w:val="24"/>
          <w:szCs w:val="24"/>
        </w:rPr>
        <w:t xml:space="preserve">a </w:t>
      </w:r>
      <w:r w:rsidRPr="00662193">
        <w:rPr>
          <w:rFonts w:ascii="Times New Roman" w:hAnsi="Times New Roman" w:cs="Times New Roman"/>
          <w:sz w:val="24"/>
          <w:szCs w:val="24"/>
        </w:rPr>
        <w:t>parameter becomes lower than unity and both the electrochemical and chemical reactions – which are catalyzed by Nickel – decrease their rates due to the reduction of the active surface within SOFC electrode. Also the carbon formation reactions are catalyzed by Nickel, thus their rates decrease with the reduction of the available Nickel surface, and consequently the growth rate of the deposited carbon progressively diminishes with time. In the model, the rate of deactivation of the Nickel surface depends on the carbon deposition rate and concentration of deposited carbon following the relation given by Zavarukhin and Kuvshinov</w:t>
      </w:r>
      <w:r w:rsidR="00662193" w:rsidRPr="00662193">
        <w:rPr>
          <w:rFonts w:ascii="Times New Roman" w:hAnsi="Times New Roman" w:cs="Times New Roman"/>
          <w:sz w:val="24"/>
          <w:szCs w:val="24"/>
        </w:rPr>
        <w:t xml:space="preserve"> </w:t>
      </w:r>
      <w:r w:rsidR="00662193" w:rsidRPr="00662193">
        <w:rPr>
          <w:rFonts w:ascii="Times New Roman" w:hAnsi="Times New Roman" w:cs="Times New Roman"/>
          <w:sz w:val="24"/>
          <w:szCs w:val="24"/>
        </w:rPr>
        <w:fldChar w:fldCharType="begin" w:fldLock="1"/>
      </w:r>
      <w:r w:rsidR="001C1C39">
        <w:rPr>
          <w:rFonts w:ascii="Times New Roman" w:hAnsi="Times New Roman" w:cs="Times New Roman"/>
          <w:sz w:val="24"/>
          <w:szCs w:val="24"/>
        </w:rPr>
        <w:instrText>ADDIN CSL_CITATION { "citationItems" : [ { "id" : "ITEM-1", "itemData" : { "DOI" : "10.1016/j.apcata.2004.05.044", "ISSN" : "0926860X", "abstract" : "A mathematical model is suggested for the process of formation of nanofibrous carbon from the mixture of methane and hydrogen over a high-loaded nickel catalyst (90wt.% Ni\u2013Al2O3) to describe the observed process kinetics involving the catalyst deactivation. The experimental kinetic data obtained at hydrogen volume fraction of 0\u201340%, 490\u2013590\u00b0C and atmospheric pressure are analyzed to suggest the formula for calculation of the maximal rate of the carbon formation and the equation of the catalyst deactivation. The suggested kinetic model relates to the mechanism when the cleavage of the first hydrogen atom from a methane molecule adsorbed on the catalyst surface is the rate-limiting stage. The model is appropriate for the qualitative and quantitative description of the process under consideration. The calculations in terms of the model are exemplified with synthesis of nanofibrous carbon in an isothermal perfect-mixing reactor at a constant methane consumption. The calculated results agree well with the experimental data.", "author" : [ { "dropping-particle" : "", "family" : "Zavarukhin", "given" : "Sergei G.", "non-dropping-particle" : "", "parse-names" : false, "suffix" : "" }, { "dropping-particle" : "", "family" : "Kuvshinov", "given" : "Gennady G.", "non-dropping-particle" : "", "parse-names" : false, "suffix" : "" } ], "container-title" : "Applied Catalysis A: General", "id" : "ITEM-1", "issue" : "1-2", "issued" : { "date-parts" : [ [ "2004", "9" ] ] }, "page" : "219-227", "title" : "The kinetic model of formation of nanofibrous carbon from CH4\u2013H2 mixture over a high-loaded nickel catalyst with consideration for the catalyst deactivation", "type" : "article-journal", "volume" : "272" }, "uris" : [ "http://www.mendeley.com/documents/?uuid=d93f9884-a175-4d9f-8f50-0da98b7d286a" ] } ], "mendeley" : { "formattedCitation" : "[45]", "plainTextFormattedCitation" : "[45]", "previouslyFormattedCitation" : "[44]" }, "properties" : { "noteIndex" : 0 }, "schema" : "https://github.com/citation-style-language/schema/raw/master/csl-citation.json" }</w:instrText>
      </w:r>
      <w:r w:rsidR="00662193" w:rsidRPr="00662193">
        <w:rPr>
          <w:rFonts w:ascii="Times New Roman" w:hAnsi="Times New Roman" w:cs="Times New Roman"/>
          <w:sz w:val="24"/>
          <w:szCs w:val="24"/>
        </w:rPr>
        <w:fldChar w:fldCharType="separate"/>
      </w:r>
      <w:r w:rsidR="001C1C39" w:rsidRPr="001C1C39">
        <w:rPr>
          <w:rFonts w:ascii="Times New Roman" w:hAnsi="Times New Roman" w:cs="Times New Roman"/>
          <w:noProof/>
          <w:sz w:val="24"/>
          <w:szCs w:val="24"/>
        </w:rPr>
        <w:t>[45]</w:t>
      </w:r>
      <w:r w:rsidR="00662193" w:rsidRPr="00662193">
        <w:rPr>
          <w:rFonts w:ascii="Times New Roman" w:hAnsi="Times New Roman" w:cs="Times New Roman"/>
          <w:sz w:val="24"/>
          <w:szCs w:val="24"/>
        </w:rPr>
        <w:fldChar w:fldCharType="end"/>
      </w:r>
      <w:r w:rsidRPr="00662193">
        <w:rPr>
          <w:rFonts w:ascii="Times New Roman" w:hAnsi="Times New Roman" w:cs="Times New Roman"/>
          <w:sz w:val="24"/>
          <w:szCs w:val="24"/>
        </w:rPr>
        <w:t>:</w:t>
      </w:r>
    </w:p>
    <w:p w14:paraId="34677921" w14:textId="77777777" w:rsidR="00A6464B" w:rsidRDefault="00A6464B" w:rsidP="00A6464B">
      <w:pPr>
        <w:autoSpaceDE w:val="0"/>
        <w:autoSpaceDN w:val="0"/>
        <w:adjustRightInd w:val="0"/>
        <w:spacing w:after="0" w:line="240" w:lineRule="auto"/>
        <w:jc w:val="both"/>
        <w:rPr>
          <w:rFonts w:ascii="Arial" w:hAnsi="Arial" w:cs="Arial"/>
          <w:szCs w:val="24"/>
        </w:rPr>
      </w:pPr>
    </w:p>
    <w:tbl>
      <w:tblPr>
        <w:tblStyle w:val="Grigliatabella"/>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504"/>
        <w:gridCol w:w="881"/>
      </w:tblGrid>
      <w:tr w:rsidR="00A6464B" w:rsidRPr="00694420" w14:paraId="5FCF05E5" w14:textId="77777777" w:rsidTr="00694420">
        <w:trPr>
          <w:trHeight w:val="1020"/>
        </w:trPr>
        <w:tc>
          <w:tcPr>
            <w:tcW w:w="675" w:type="dxa"/>
            <w:vAlign w:val="center"/>
          </w:tcPr>
          <w:p w14:paraId="009EB30B" w14:textId="77777777" w:rsidR="00A6464B" w:rsidRPr="001840B8" w:rsidRDefault="00A6464B" w:rsidP="00694420">
            <w:pPr>
              <w:spacing w:before="120" w:after="120" w:line="360" w:lineRule="auto"/>
              <w:jc w:val="center"/>
              <w:rPr>
                <w:sz w:val="24"/>
                <w:szCs w:val="24"/>
              </w:rPr>
            </w:pPr>
          </w:p>
        </w:tc>
        <w:tc>
          <w:tcPr>
            <w:tcW w:w="8504" w:type="dxa"/>
            <w:vAlign w:val="center"/>
          </w:tcPr>
          <w:p w14:paraId="63476E7B" w14:textId="77777777" w:rsidR="00A6464B" w:rsidRPr="000E2EF3" w:rsidRDefault="009442A0" w:rsidP="00694420">
            <w:pPr>
              <w:jc w:val="center"/>
              <w:rPr>
                <w:rFonts w:eastAsia="Calibri"/>
                <w:sz w:val="24"/>
                <w:szCs w:val="24"/>
              </w:rPr>
            </w:pPr>
            <m:oMathPara>
              <m:oMath>
                <m:f>
                  <m:fPr>
                    <m:ctrlPr>
                      <w:rPr>
                        <w:rFonts w:ascii="Cambria Math" w:hAnsi="Cambria Math"/>
                        <w:i/>
                        <w:sz w:val="24"/>
                        <w:szCs w:val="16"/>
                        <w:lang w:eastAsia="en-US"/>
                      </w:rPr>
                    </m:ctrlPr>
                  </m:fPr>
                  <m:num>
                    <m:r>
                      <w:rPr>
                        <w:rFonts w:ascii="Cambria Math" w:hAnsi="Cambria Math"/>
                        <w:sz w:val="24"/>
                      </w:rPr>
                      <m:t>da</m:t>
                    </m:r>
                  </m:num>
                  <m:den>
                    <m:r>
                      <w:rPr>
                        <w:rFonts w:ascii="Cambria Math" w:hAnsi="Cambria Math"/>
                        <w:sz w:val="24"/>
                      </w:rPr>
                      <m:t>dt</m:t>
                    </m:r>
                  </m:den>
                </m:f>
                <m:r>
                  <w:rPr>
                    <w:rFonts w:ascii="Cambria Math" w:hAnsi="Cambria Math"/>
                    <w:sz w:val="24"/>
                    <w:szCs w:val="24"/>
                  </w:rPr>
                  <m:t>=-</m:t>
                </m:r>
                <m:sSub>
                  <m:sSubPr>
                    <m:ctrlPr>
                      <w:rPr>
                        <w:rFonts w:ascii="Cambria Math" w:eastAsiaTheme="minorEastAsia" w:hAnsi="Cambria Math"/>
                        <w:i/>
                        <w:sz w:val="24"/>
                        <w:szCs w:val="24"/>
                      </w:rPr>
                    </m:ctrlPr>
                  </m:sSubPr>
                  <m:e>
                    <m:r>
                      <w:rPr>
                        <w:rFonts w:ascii="Cambria Math" w:hAnsi="Cambria Math"/>
                        <w:sz w:val="24"/>
                        <w:szCs w:val="24"/>
                      </w:rPr>
                      <m:t>k</m:t>
                    </m:r>
                  </m:e>
                  <m:sub>
                    <m:r>
                      <w:rPr>
                        <w:rFonts w:ascii="Cambria Math" w:hAnsi="Cambria Math"/>
                        <w:sz w:val="24"/>
                        <w:szCs w:val="24"/>
                      </w:rPr>
                      <m:t>a</m:t>
                    </m:r>
                  </m:sub>
                </m:sSub>
                <m:sSup>
                  <m:sSupPr>
                    <m:ctrlPr>
                      <w:rPr>
                        <w:rFonts w:ascii="Cambria Math" w:eastAsiaTheme="minorEastAsia" w:hAnsi="Cambria Math"/>
                        <w:i/>
                        <w:sz w:val="24"/>
                        <w:szCs w:val="24"/>
                      </w:rPr>
                    </m:ctrlPr>
                  </m:sSupPr>
                  <m:e>
                    <m:d>
                      <m:dPr>
                        <m:ctrlPr>
                          <w:rPr>
                            <w:rFonts w:ascii="Cambria Math" w:eastAsiaTheme="minorEastAsia" w:hAnsi="Cambria Math"/>
                            <w:i/>
                            <w:sz w:val="24"/>
                            <w:szCs w:val="24"/>
                          </w:rPr>
                        </m:ctrlPr>
                      </m:dPr>
                      <m:e>
                        <m:f>
                          <m:fPr>
                            <m:ctrlPr>
                              <w:rPr>
                                <w:rFonts w:ascii="Cambria Math" w:eastAsiaTheme="minorEastAsia" w:hAnsi="Cambria Math"/>
                                <w:i/>
                                <w:sz w:val="24"/>
                                <w:szCs w:val="24"/>
                              </w:rPr>
                            </m:ctrlPr>
                          </m:fPr>
                          <m:num>
                            <m:r>
                              <w:rPr>
                                <w:rFonts w:ascii="Cambria Math" w:hAnsi="Cambria Math"/>
                                <w:sz w:val="24"/>
                                <w:szCs w:val="24"/>
                              </w:rPr>
                              <m:t>d</m:t>
                            </m:r>
                            <m:sSub>
                              <m:sSubPr>
                                <m:ctrlPr>
                                  <w:rPr>
                                    <w:rFonts w:ascii="Cambria Math" w:eastAsiaTheme="minorEastAsia" w:hAnsi="Cambria Math"/>
                                    <w:i/>
                                    <w:sz w:val="24"/>
                                    <w:szCs w:val="24"/>
                                  </w:rPr>
                                </m:ctrlPr>
                              </m:sSubPr>
                              <m:e>
                                <m:acc>
                                  <m:accPr>
                                    <m:chr m:val="̅"/>
                                    <m:ctrlPr>
                                      <w:rPr>
                                        <w:rFonts w:ascii="Cambria Math" w:eastAsiaTheme="minorEastAsia" w:hAnsi="Cambria Math"/>
                                        <w:i/>
                                        <w:sz w:val="24"/>
                                        <w:szCs w:val="24"/>
                                      </w:rPr>
                                    </m:ctrlPr>
                                  </m:accPr>
                                  <m:e>
                                    <m:r>
                                      <w:rPr>
                                        <w:rFonts w:ascii="Cambria Math" w:hAnsi="Cambria Math"/>
                                        <w:sz w:val="24"/>
                                        <w:szCs w:val="24"/>
                                      </w:rPr>
                                      <m:t>c</m:t>
                                    </m:r>
                                  </m:e>
                                </m:acc>
                              </m:e>
                              <m:sub>
                                <m:r>
                                  <w:rPr>
                                    <w:rFonts w:ascii="Cambria Math" w:hAnsi="Cambria Math"/>
                                    <w:sz w:val="24"/>
                                    <w:szCs w:val="24"/>
                                  </w:rPr>
                                  <m:t>c</m:t>
                                </m:r>
                              </m:sub>
                            </m:sSub>
                          </m:num>
                          <m:den>
                            <m:r>
                              <w:rPr>
                                <w:rFonts w:ascii="Cambria Math" w:hAnsi="Cambria Math"/>
                                <w:sz w:val="24"/>
                                <w:szCs w:val="24"/>
                              </w:rPr>
                              <m:t>dt</m:t>
                            </m:r>
                          </m:den>
                        </m:f>
                      </m:e>
                    </m:d>
                  </m:e>
                  <m:sup>
                    <m:r>
                      <w:rPr>
                        <w:rFonts w:ascii="Cambria Math" w:hAnsi="Cambria Math"/>
                        <w:sz w:val="24"/>
                        <w:szCs w:val="24"/>
                      </w:rPr>
                      <m:t>2</m:t>
                    </m:r>
                  </m:sup>
                </m:sSup>
                <m:r>
                  <w:rPr>
                    <w:rFonts w:ascii="Cambria Math" w:hAnsi="Cambria Math"/>
                    <w:sz w:val="24"/>
                    <w:szCs w:val="24"/>
                  </w:rPr>
                  <m:t>×</m:t>
                </m:r>
                <m:sSub>
                  <m:sSubPr>
                    <m:ctrlPr>
                      <w:rPr>
                        <w:rFonts w:ascii="Cambria Math" w:eastAsiaTheme="minorEastAsia" w:hAnsi="Cambria Math"/>
                        <w:i/>
                        <w:sz w:val="24"/>
                        <w:szCs w:val="24"/>
                      </w:rPr>
                    </m:ctrlPr>
                  </m:sSubPr>
                  <m:e>
                    <m:acc>
                      <m:accPr>
                        <m:chr m:val="̅"/>
                        <m:ctrlPr>
                          <w:rPr>
                            <w:rFonts w:ascii="Cambria Math" w:eastAsiaTheme="minorEastAsia" w:hAnsi="Cambria Math"/>
                            <w:i/>
                            <w:sz w:val="24"/>
                            <w:szCs w:val="24"/>
                          </w:rPr>
                        </m:ctrlPr>
                      </m:accPr>
                      <m:e>
                        <m:r>
                          <w:rPr>
                            <w:rFonts w:ascii="Cambria Math" w:hAnsi="Cambria Math"/>
                            <w:sz w:val="24"/>
                            <w:szCs w:val="24"/>
                          </w:rPr>
                          <m:t>c</m:t>
                        </m:r>
                      </m:e>
                    </m:acc>
                  </m:e>
                  <m:sub>
                    <m:r>
                      <w:rPr>
                        <w:rFonts w:ascii="Cambria Math" w:hAnsi="Cambria Math"/>
                        <w:sz w:val="24"/>
                        <w:szCs w:val="24"/>
                      </w:rPr>
                      <m:t>c</m:t>
                    </m:r>
                  </m:sub>
                </m:sSub>
                <m:r>
                  <w:rPr>
                    <w:rFonts w:ascii="Cambria Math" w:hAnsi="Cambria Math"/>
                    <w:sz w:val="24"/>
                    <w:szCs w:val="24"/>
                  </w:rPr>
                  <m:t>×a</m:t>
                </m:r>
              </m:oMath>
            </m:oMathPara>
          </w:p>
        </w:tc>
        <w:tc>
          <w:tcPr>
            <w:tcW w:w="881" w:type="dxa"/>
            <w:vAlign w:val="center"/>
          </w:tcPr>
          <w:p w14:paraId="46665B72" w14:textId="77777777" w:rsidR="00A6464B" w:rsidRPr="00CE523B" w:rsidRDefault="00D51F75" w:rsidP="00694420">
            <w:pPr>
              <w:spacing w:before="240" w:after="240" w:line="240" w:lineRule="exact"/>
              <w:jc w:val="center"/>
              <w:rPr>
                <w:sz w:val="24"/>
                <w:szCs w:val="24"/>
              </w:rPr>
            </w:pPr>
            <w:r>
              <w:rPr>
                <w:sz w:val="24"/>
                <w:szCs w:val="24"/>
              </w:rPr>
              <w:t>(14)</w:t>
            </w:r>
          </w:p>
        </w:tc>
      </w:tr>
    </w:tbl>
    <w:p w14:paraId="24220819" w14:textId="77777777" w:rsidR="00A6464B" w:rsidRPr="00CE523B" w:rsidRDefault="00A6464B" w:rsidP="00A6464B">
      <w:pPr>
        <w:autoSpaceDE w:val="0"/>
        <w:autoSpaceDN w:val="0"/>
        <w:adjustRightInd w:val="0"/>
        <w:spacing w:after="0" w:line="240" w:lineRule="auto"/>
        <w:jc w:val="both"/>
        <w:rPr>
          <w:rFonts w:ascii="Arial" w:hAnsi="Arial" w:cs="Arial"/>
          <w:sz w:val="20"/>
          <w:szCs w:val="24"/>
        </w:rPr>
      </w:pPr>
    </w:p>
    <w:p w14:paraId="489D5BC2" w14:textId="77777777" w:rsidR="00662193" w:rsidRDefault="00A6464B" w:rsidP="00662193">
      <w:pPr>
        <w:autoSpaceDE w:val="0"/>
        <w:autoSpaceDN w:val="0"/>
        <w:adjustRightInd w:val="0"/>
        <w:spacing w:line="480" w:lineRule="auto"/>
        <w:jc w:val="both"/>
        <w:rPr>
          <w:rFonts w:ascii="Times New Roman" w:hAnsi="Times New Roman" w:cs="Times New Roman"/>
          <w:sz w:val="24"/>
        </w:rPr>
      </w:pPr>
      <w:r w:rsidRPr="00516CCC">
        <w:rPr>
          <w:rFonts w:ascii="Times New Roman" w:hAnsi="Times New Roman" w:cs="Times New Roman"/>
          <w:sz w:val="24"/>
        </w:rPr>
        <w:t xml:space="preserve">where </w:t>
      </w:r>
      <w:r w:rsidRPr="00516CCC">
        <w:rPr>
          <w:rFonts w:ascii="Times New Roman" w:hAnsi="Times New Roman" w:cs="Times New Roman"/>
          <w:i/>
          <w:sz w:val="24"/>
        </w:rPr>
        <w:t>k</w:t>
      </w:r>
      <w:r w:rsidRPr="00516CCC">
        <w:rPr>
          <w:rFonts w:ascii="Times New Roman" w:hAnsi="Times New Roman" w:cs="Times New Roman"/>
          <w:i/>
          <w:sz w:val="24"/>
          <w:vertAlign w:val="subscript"/>
        </w:rPr>
        <w:t>a</w:t>
      </w:r>
      <w:r w:rsidRPr="00516CCC">
        <w:rPr>
          <w:rFonts w:ascii="Times New Roman" w:hAnsi="Times New Roman" w:cs="Times New Roman"/>
          <w:i/>
          <w:sz w:val="24"/>
        </w:rPr>
        <w:t xml:space="preserve"> </w:t>
      </w:r>
      <w:r w:rsidRPr="00516CCC">
        <w:rPr>
          <w:rFonts w:ascii="Times New Roman" w:hAnsi="Times New Roman" w:cs="Times New Roman"/>
          <w:sz w:val="24"/>
        </w:rPr>
        <w:t xml:space="preserve">is an attenuation constant experimentally determined. </w:t>
      </w:r>
    </w:p>
    <w:p w14:paraId="57D5EF8D" w14:textId="09EABB60" w:rsidR="00A6464B" w:rsidRPr="00516CCC" w:rsidRDefault="00A6464B" w:rsidP="00662193">
      <w:pPr>
        <w:autoSpaceDE w:val="0"/>
        <w:autoSpaceDN w:val="0"/>
        <w:adjustRightInd w:val="0"/>
        <w:spacing w:after="0" w:line="480" w:lineRule="auto"/>
        <w:jc w:val="both"/>
        <w:rPr>
          <w:rFonts w:ascii="Times New Roman" w:hAnsi="Times New Roman" w:cs="Times New Roman"/>
          <w:sz w:val="24"/>
        </w:rPr>
      </w:pPr>
      <w:r w:rsidRPr="00516CCC">
        <w:rPr>
          <w:rFonts w:ascii="Times New Roman" w:hAnsi="Times New Roman" w:cs="Times New Roman"/>
          <w:sz w:val="24"/>
        </w:rPr>
        <w:t>The cell polarization is calculated based on the electrochemical fuel cell mathematical model presented in our previous work</w:t>
      </w:r>
      <w:r w:rsidR="00662193">
        <w:rPr>
          <w:rFonts w:ascii="Times New Roman" w:hAnsi="Times New Roman" w:cs="Times New Roman"/>
          <w:sz w:val="24"/>
        </w:rPr>
        <w:t xml:space="preserve"> </w:t>
      </w:r>
      <w:r w:rsidR="00662193">
        <w:rPr>
          <w:rFonts w:ascii="Times New Roman" w:hAnsi="Times New Roman" w:cs="Times New Roman"/>
          <w:sz w:val="24"/>
        </w:rPr>
        <w:fldChar w:fldCharType="begin" w:fldLock="1"/>
      </w:r>
      <w:r w:rsidR="001C1C39">
        <w:rPr>
          <w:rFonts w:ascii="Times New Roman" w:hAnsi="Times New Roman" w:cs="Times New Roman"/>
          <w:sz w:val="24"/>
        </w:rPr>
        <w:instrText>ADDIN CSL_CITATION { "citationItems" : [ { "id" : "ITEM-1", "itemData" : { "DOI" : "10.1016/j.cej.2015.03.096", "ISSN" : "13858947", "abstract" : "A combined experimental and modeling study on reversible solid oxide cells (SOCs) is presented. Two commercial Ni/YSZ supported planar SOCs with the air electrode made by either LSM/YSZ or LSCF were characterized. The operation with H2/H2O and CO/CO2 gas mixtures was investigated by measuring current\u2013voltage (i\u2013V) curves and impedance spectra. An integrated thermo-electrochemical model for the simulation of i\u2013V characteristics of the reversible SOC is developed and calibrated on the experimental data. The model describes the electrochemical processes and mass transport of gaseous species at the electrodes and simulates the heat transfer within electrodes and electrolyte in the presence of distributed heat sinks/sources produced by electrochemical reactions and polarization overpotentials. Activation parameters of the electrodes evaluated from the model calibration are discussed and their physical consistency is verified with the support of the published literature. Activation parameters show a significantly higher activity for the LSCF electrode compared to the LSM/YSZ electrode in both fuel cell and electrolysis mode and higher activation resistances for the fuel electrode are observed in the operation with CO/CO2 mixtures, due to the faster kinetics of H2/H2O reactions. The proposed model is validated on current\u2013voltage curves of the commercial cells tested with H2/H2O mixtures, and the simulated evolutions of overpotentials and temperature within the cell are briefly discussed.", "author" : [ { "dropping-particle" : "", "family" : "Ferrero", "given" : "Domenico", "non-dropping-particle" : "", "parse-names" : false, "suffix" : "" }, { "dropping-particle" : "", "family" : "Lanzini", "given" : "Andrea", "non-dropping-particle" : "", "parse-names" : false, "suffix" : "" }, { "dropping-particle" : "", "family" : "Leone", "given" : "Pierluigi", "non-dropping-particle" : "", "parse-names" : false, "suffix" : "" }, { "dropping-particle" : "", "family" : "Santarelli", "given" : "Massimo", "non-dropping-particle" : "", "parse-names" : false, "suffix" : "" } ], "container-title" : "Chemical Engineering Journal", "id" : "ITEM-1", "issued" : { "date-parts" : [ [ "2015", "8" ] ] }, "page" : "143-155", "title" : "Reversible operation of solid oxide cells under electrolysis and fuel cell modes: Experimental study and model validation", "type" : "article-journal", "volume" : "274" }, "uris" : [ "http://www.mendeley.com/documents/?uuid=50b19359-18f1-4c71-a192-03dbd8cc4878" ] } ], "mendeley" : { "formattedCitation" : "[47]", "plainTextFormattedCitation" : "[47]", "previouslyFormattedCitation" : "[46]" }, "properties" : { "noteIndex" : 0 }, "schema" : "https://github.com/citation-style-language/schema/raw/master/csl-citation.json" }</w:instrText>
      </w:r>
      <w:r w:rsidR="00662193">
        <w:rPr>
          <w:rFonts w:ascii="Times New Roman" w:hAnsi="Times New Roman" w:cs="Times New Roman"/>
          <w:sz w:val="24"/>
        </w:rPr>
        <w:fldChar w:fldCharType="separate"/>
      </w:r>
      <w:r w:rsidR="001C1C39" w:rsidRPr="001C1C39">
        <w:rPr>
          <w:rFonts w:ascii="Times New Roman" w:hAnsi="Times New Roman" w:cs="Times New Roman"/>
          <w:noProof/>
          <w:sz w:val="24"/>
        </w:rPr>
        <w:t>[47]</w:t>
      </w:r>
      <w:r w:rsidR="00662193">
        <w:rPr>
          <w:rFonts w:ascii="Times New Roman" w:hAnsi="Times New Roman" w:cs="Times New Roman"/>
          <w:sz w:val="24"/>
        </w:rPr>
        <w:fldChar w:fldCharType="end"/>
      </w:r>
      <w:r w:rsidRPr="00516CCC">
        <w:rPr>
          <w:rFonts w:ascii="Times New Roman" w:hAnsi="Times New Roman" w:cs="Times New Roman"/>
          <w:sz w:val="24"/>
        </w:rPr>
        <w:t xml:space="preserve">, in which isothermal cell operation is assumed, mean values for the partial pressure of each species are used by averaging the inlet ad outlet compositions previously calculated and the diffusive effects are neglected.  In the polarization model, the linear dependence of the anode exchange current density on the </w:t>
      </w:r>
      <w:r w:rsidRPr="00873410">
        <w:rPr>
          <w:rFonts w:ascii="Times New Roman" w:hAnsi="Times New Roman" w:cs="Times New Roman"/>
          <w:noProof/>
          <w:sz w:val="24"/>
        </w:rPr>
        <w:t>electro-catalytic</w:t>
      </w:r>
      <w:r w:rsidRPr="00516CCC">
        <w:rPr>
          <w:rFonts w:ascii="Times New Roman" w:hAnsi="Times New Roman" w:cs="Times New Roman"/>
          <w:sz w:val="24"/>
        </w:rPr>
        <w:t xml:space="preserve"> activity of Nickel has been assumed:</w:t>
      </w:r>
    </w:p>
    <w:p w14:paraId="4553D867" w14:textId="77777777" w:rsidR="00A6464B" w:rsidRDefault="00A6464B" w:rsidP="00A6464B">
      <w:pPr>
        <w:autoSpaceDE w:val="0"/>
        <w:autoSpaceDN w:val="0"/>
        <w:adjustRightInd w:val="0"/>
        <w:spacing w:after="0" w:line="240" w:lineRule="auto"/>
        <w:jc w:val="both"/>
        <w:rPr>
          <w:rFonts w:ascii="Arial" w:hAnsi="Arial" w:cs="Arial"/>
        </w:rPr>
      </w:pPr>
    </w:p>
    <w:tbl>
      <w:tblPr>
        <w:tblStyle w:val="Grigliatabella"/>
        <w:tblW w:w="49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
        <w:gridCol w:w="8897"/>
        <w:gridCol w:w="616"/>
      </w:tblGrid>
      <w:tr w:rsidR="00A6464B" w:rsidRPr="00D5417D" w14:paraId="4E5C12AE" w14:textId="77777777" w:rsidTr="00694420">
        <w:trPr>
          <w:trHeight w:val="598"/>
        </w:trPr>
        <w:tc>
          <w:tcPr>
            <w:tcW w:w="133" w:type="pct"/>
            <w:vAlign w:val="center"/>
          </w:tcPr>
          <w:p w14:paraId="3CA1BBA3" w14:textId="77777777" w:rsidR="00A6464B" w:rsidRPr="0092058C" w:rsidRDefault="00A6464B" w:rsidP="00694420">
            <w:pPr>
              <w:spacing w:before="240" w:after="240" w:line="240" w:lineRule="exact"/>
              <w:jc w:val="center"/>
              <w:rPr>
                <w:sz w:val="24"/>
                <w:szCs w:val="24"/>
              </w:rPr>
            </w:pPr>
          </w:p>
        </w:tc>
        <w:tc>
          <w:tcPr>
            <w:tcW w:w="4576" w:type="pct"/>
            <w:vAlign w:val="center"/>
          </w:tcPr>
          <w:p w14:paraId="23A83C5A" w14:textId="77777777" w:rsidR="00A6464B" w:rsidRDefault="009442A0" w:rsidP="00694420">
            <w:pPr>
              <w:spacing w:before="240" w:after="240" w:line="240" w:lineRule="exact"/>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o,anode</m:t>
                    </m:r>
                  </m:sub>
                </m:sSub>
                <m:r>
                  <w:rPr>
                    <w:rFonts w:ascii="Cambria Math" w:hAnsi="Cambria Math"/>
                    <w:sz w:val="24"/>
                    <w:szCs w:val="24"/>
                  </w:rPr>
                  <m:t>= a×</m:t>
                </m:r>
                <m:d>
                  <m:dPr>
                    <m:begChr m:val="["/>
                    <m:endChr m:val="]"/>
                    <m:ctrlPr>
                      <w:rPr>
                        <w:rFonts w:ascii="Cambria Math" w:eastAsiaTheme="minorHAnsi" w:hAnsi="Cambria Math" w:cstheme="minorBidi"/>
                        <w:i/>
                        <w:sz w:val="24"/>
                        <w:szCs w:val="24"/>
                        <w:lang w:eastAsia="en-US"/>
                      </w:rPr>
                    </m:ctrlPr>
                  </m:dPr>
                  <m:e>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anode</m:t>
                        </m:r>
                      </m:sub>
                    </m:sSub>
                    <m:sSub>
                      <m:sSubPr>
                        <m:ctrlPr>
                          <w:rPr>
                            <w:rFonts w:ascii="Cambria Math" w:hAnsi="Cambria Math"/>
                            <w:i/>
                            <w:sz w:val="24"/>
                            <w:szCs w:val="24"/>
                          </w:rPr>
                        </m:ctrlPr>
                      </m:sSubPr>
                      <m:e>
                        <m:acc>
                          <m:accPr>
                            <m:chr m:val="̅"/>
                            <m:ctrlPr>
                              <w:rPr>
                                <w:rFonts w:ascii="Cambria Math" w:eastAsiaTheme="minorHAnsi" w:hAnsi="Cambria Math" w:cstheme="minorBidi"/>
                                <w:i/>
                                <w:sz w:val="24"/>
                                <w:szCs w:val="24"/>
                                <w:lang w:eastAsia="en-US"/>
                              </w:rPr>
                            </m:ctrlPr>
                          </m:accPr>
                          <m:e>
                            <m:r>
                              <w:rPr>
                                <w:rFonts w:ascii="Cambria Math" w:hAnsi="Cambria Math"/>
                                <w:sz w:val="24"/>
                                <w:szCs w:val="24"/>
                              </w:rPr>
                              <m:t>y</m:t>
                            </m:r>
                          </m:e>
                        </m:acc>
                      </m:e>
                      <m: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sub>
                    </m:sSub>
                    <m:sSub>
                      <m:sSubPr>
                        <m:ctrlPr>
                          <w:rPr>
                            <w:rFonts w:ascii="Cambria Math" w:hAnsi="Cambria Math"/>
                            <w:i/>
                            <w:sz w:val="24"/>
                            <w:szCs w:val="24"/>
                          </w:rPr>
                        </m:ctrlPr>
                      </m:sSubPr>
                      <m:e>
                        <m:acc>
                          <m:accPr>
                            <m:chr m:val="̅"/>
                            <m:ctrlPr>
                              <w:rPr>
                                <w:rFonts w:ascii="Cambria Math" w:eastAsiaTheme="minorHAnsi" w:hAnsi="Cambria Math" w:cstheme="minorBidi"/>
                                <w:i/>
                                <w:sz w:val="24"/>
                                <w:szCs w:val="24"/>
                                <w:lang w:eastAsia="en-US"/>
                              </w:rPr>
                            </m:ctrlPr>
                          </m:accPr>
                          <m:e>
                            <m:r>
                              <w:rPr>
                                <w:rFonts w:ascii="Cambria Math" w:hAnsi="Cambria Math"/>
                                <w:sz w:val="24"/>
                                <w:szCs w:val="24"/>
                              </w:rPr>
                              <m:t>y</m:t>
                            </m:r>
                          </m:e>
                        </m:acc>
                      </m:e>
                      <m: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r>
                          <w:rPr>
                            <w:rFonts w:ascii="Cambria Math" w:hAnsi="Cambria Math"/>
                            <w:sz w:val="24"/>
                            <w:szCs w:val="24"/>
                          </w:rPr>
                          <m:t>O</m:t>
                        </m:r>
                      </m:sub>
                    </m:sSub>
                    <m:r>
                      <w:rPr>
                        <w:rFonts w:ascii="Cambria Math" w:hAnsi="Cambria Math"/>
                        <w:sz w:val="24"/>
                        <w:szCs w:val="24"/>
                      </w:rPr>
                      <m:t>exp</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act,an</m:t>
                                </m:r>
                              </m:sub>
                            </m:sSub>
                          </m:num>
                          <m:den>
                            <m:r>
                              <w:rPr>
                                <w:rFonts w:ascii="Cambria Math" w:hAnsi="Cambria Math"/>
                                <w:sz w:val="24"/>
                                <w:szCs w:val="24"/>
                              </w:rPr>
                              <m:t>RT</m:t>
                            </m:r>
                          </m:den>
                        </m:f>
                      </m:e>
                    </m:d>
                  </m:e>
                </m:d>
              </m:oMath>
            </m:oMathPara>
          </w:p>
        </w:tc>
        <w:tc>
          <w:tcPr>
            <w:tcW w:w="291" w:type="pct"/>
            <w:vAlign w:val="center"/>
          </w:tcPr>
          <w:p w14:paraId="081FFDE6" w14:textId="77777777" w:rsidR="00A6464B" w:rsidRDefault="00D51F75" w:rsidP="00694420">
            <w:pPr>
              <w:spacing w:before="240" w:after="240" w:line="240" w:lineRule="exact"/>
              <w:jc w:val="center"/>
              <w:rPr>
                <w:sz w:val="24"/>
                <w:szCs w:val="24"/>
              </w:rPr>
            </w:pPr>
            <w:r>
              <w:rPr>
                <w:sz w:val="24"/>
                <w:szCs w:val="24"/>
              </w:rPr>
              <w:t>(15)</w:t>
            </w:r>
          </w:p>
        </w:tc>
      </w:tr>
    </w:tbl>
    <w:p w14:paraId="3D458AE8" w14:textId="77777777" w:rsidR="00A6464B" w:rsidRDefault="00A6464B" w:rsidP="00A6464B">
      <w:pPr>
        <w:autoSpaceDE w:val="0"/>
        <w:autoSpaceDN w:val="0"/>
        <w:adjustRightInd w:val="0"/>
        <w:spacing w:after="0" w:line="240" w:lineRule="auto"/>
        <w:jc w:val="both"/>
        <w:rPr>
          <w:rFonts w:ascii="Arial" w:hAnsi="Arial" w:cs="Arial"/>
        </w:rPr>
      </w:pPr>
    </w:p>
    <w:p w14:paraId="2FEEBD20" w14:textId="365A2303" w:rsidR="00A6464B" w:rsidRPr="00662193" w:rsidRDefault="00A6464B" w:rsidP="00662193">
      <w:pPr>
        <w:tabs>
          <w:tab w:val="left" w:pos="0"/>
        </w:tabs>
        <w:autoSpaceDE w:val="0"/>
        <w:autoSpaceDN w:val="0"/>
        <w:adjustRightInd w:val="0"/>
        <w:spacing w:after="0" w:line="360" w:lineRule="auto"/>
        <w:jc w:val="both"/>
        <w:rPr>
          <w:rFonts w:ascii="Times New Roman" w:hAnsi="Times New Roman" w:cs="Times New Roman"/>
          <w:sz w:val="24"/>
        </w:rPr>
      </w:pPr>
      <w:r w:rsidRPr="00516CCC">
        <w:rPr>
          <w:rFonts w:ascii="Times New Roman" w:hAnsi="Times New Roman" w:cs="Times New Roman"/>
          <w:sz w:val="24"/>
        </w:rPr>
        <w:t>The activation overpotential of the hydrogen electrochemical oxidation is</w:t>
      </w:r>
      <w:r w:rsidR="00873410">
        <w:rPr>
          <w:rFonts w:ascii="Times New Roman" w:hAnsi="Times New Roman" w:cs="Times New Roman"/>
          <w:sz w:val="24"/>
        </w:rPr>
        <w:t xml:space="preserve"> a</w:t>
      </w:r>
      <w:r w:rsidRPr="00516CCC">
        <w:rPr>
          <w:rFonts w:ascii="Times New Roman" w:hAnsi="Times New Roman" w:cs="Times New Roman"/>
          <w:sz w:val="24"/>
        </w:rPr>
        <w:t xml:space="preserve"> </w:t>
      </w:r>
      <w:r w:rsidRPr="00873410">
        <w:rPr>
          <w:rFonts w:ascii="Times New Roman" w:hAnsi="Times New Roman" w:cs="Times New Roman"/>
          <w:noProof/>
          <w:sz w:val="24"/>
        </w:rPr>
        <w:t>function</w:t>
      </w:r>
      <w:r w:rsidRPr="00516CCC">
        <w:rPr>
          <w:rFonts w:ascii="Times New Roman" w:hAnsi="Times New Roman" w:cs="Times New Roman"/>
          <w:sz w:val="24"/>
        </w:rPr>
        <w:t xml:space="preserve"> of the exchange current density of the anode (see equation </w:t>
      </w:r>
      <w:r w:rsidR="00D51F75">
        <w:rPr>
          <w:rFonts w:ascii="Times New Roman" w:hAnsi="Times New Roman" w:cs="Times New Roman"/>
          <w:sz w:val="24"/>
        </w:rPr>
        <w:t>16</w:t>
      </w:r>
      <w:r w:rsidRPr="00516CCC">
        <w:rPr>
          <w:rFonts w:ascii="Times New Roman" w:hAnsi="Times New Roman" w:cs="Times New Roman"/>
          <w:sz w:val="24"/>
        </w:rPr>
        <w:t xml:space="preserve">). Thus, when carbon accumulates within the </w:t>
      </w:r>
      <w:r w:rsidRPr="00516CCC">
        <w:rPr>
          <w:rFonts w:ascii="Times New Roman" w:hAnsi="Times New Roman" w:cs="Times New Roman"/>
          <w:sz w:val="24"/>
        </w:rPr>
        <w:lastRenderedPageBreak/>
        <w:t xml:space="preserve">electrode, the activation overpotential progressively increases due to the reduction of the </w:t>
      </w:r>
      <w:r w:rsidRPr="00873410">
        <w:rPr>
          <w:rFonts w:ascii="Times New Roman" w:hAnsi="Times New Roman" w:cs="Times New Roman"/>
          <w:noProof/>
          <w:sz w:val="24"/>
        </w:rPr>
        <w:t>electro-catalytic</w:t>
      </w:r>
      <w:r w:rsidRPr="00516CCC">
        <w:rPr>
          <w:rFonts w:ascii="Times New Roman" w:hAnsi="Times New Roman" w:cs="Times New Roman"/>
          <w:sz w:val="24"/>
        </w:rPr>
        <w:t xml:space="preserve"> activity of Nickel, and consequently the cell voltage decreases.</w:t>
      </w:r>
    </w:p>
    <w:tbl>
      <w:tblPr>
        <w:tblStyle w:val="Grigliatabella"/>
        <w:tblW w:w="49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
        <w:gridCol w:w="8897"/>
        <w:gridCol w:w="616"/>
      </w:tblGrid>
      <w:tr w:rsidR="00A6464B" w14:paraId="43CCDA31" w14:textId="77777777" w:rsidTr="00694420">
        <w:trPr>
          <w:trHeight w:val="598"/>
        </w:trPr>
        <w:tc>
          <w:tcPr>
            <w:tcW w:w="133" w:type="pct"/>
            <w:vAlign w:val="center"/>
          </w:tcPr>
          <w:p w14:paraId="74DA3C1B" w14:textId="77777777" w:rsidR="00A6464B" w:rsidRPr="0092058C" w:rsidRDefault="00A6464B" w:rsidP="00694420">
            <w:pPr>
              <w:spacing w:before="240" w:after="240" w:line="240" w:lineRule="exact"/>
              <w:jc w:val="center"/>
              <w:rPr>
                <w:sz w:val="24"/>
                <w:szCs w:val="24"/>
              </w:rPr>
            </w:pPr>
          </w:p>
        </w:tc>
        <w:tc>
          <w:tcPr>
            <w:tcW w:w="4576" w:type="pct"/>
            <w:vAlign w:val="center"/>
          </w:tcPr>
          <w:p w14:paraId="7340BC96" w14:textId="77777777" w:rsidR="00A6464B" w:rsidRPr="00A16242" w:rsidRDefault="009442A0" w:rsidP="00694420">
            <w:pPr>
              <w:spacing w:before="240" w:after="240" w:line="240" w:lineRule="exact"/>
              <w:jc w:val="center"/>
              <w:rPr>
                <w:rFonts w:eastAsia="Calibri"/>
                <w:sz w:val="24"/>
                <w:szCs w:val="24"/>
              </w:rPr>
            </w:pPr>
            <m:oMathPara>
              <m:oMath>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act</m:t>
                    </m:r>
                    <m:r>
                      <w:rPr>
                        <w:rFonts w:ascii="Cambria Math"/>
                        <w:sz w:val="24"/>
                        <w:szCs w:val="24"/>
                      </w:rPr>
                      <m:t>,</m:t>
                    </m:r>
                    <m:r>
                      <w:rPr>
                        <w:rFonts w:ascii="Cambria Math" w:hAnsi="Cambria Math"/>
                        <w:sz w:val="24"/>
                        <w:szCs w:val="24"/>
                      </w:rPr>
                      <m:t>anode</m:t>
                    </m:r>
                  </m:sub>
                </m:sSub>
                <m:r>
                  <w:rPr>
                    <w:rFonts w:ascii="Cambria Math"/>
                    <w:sz w:val="24"/>
                    <w:szCs w:val="24"/>
                  </w:rPr>
                  <m:t>=</m:t>
                </m:r>
                <m:f>
                  <m:fPr>
                    <m:ctrlPr>
                      <w:rPr>
                        <w:rFonts w:ascii="Cambria Math" w:hAnsi="Cambria Math"/>
                        <w:i/>
                        <w:sz w:val="24"/>
                        <w:szCs w:val="24"/>
                      </w:rPr>
                    </m:ctrlPr>
                  </m:fPr>
                  <m:num>
                    <m:r>
                      <w:rPr>
                        <w:rFonts w:ascii="Cambria Math" w:hAnsi="Cambria Math"/>
                        <w:sz w:val="24"/>
                        <w:szCs w:val="24"/>
                      </w:rPr>
                      <m:t>RT</m:t>
                    </m:r>
                  </m:num>
                  <m:den>
                    <m:sSub>
                      <m:sSubPr>
                        <m:ctrlPr>
                          <w:rPr>
                            <w:rFonts w:ascii="Cambria Math" w:hAnsi="Cambria Math"/>
                            <w:i/>
                            <w:sz w:val="24"/>
                            <w:szCs w:val="24"/>
                          </w:rPr>
                        </m:ctrlPr>
                      </m:sSubPr>
                      <m:e>
                        <m:r>
                          <w:rPr>
                            <w:rFonts w:ascii="Cambria Math" w:hAnsi="Cambria Math"/>
                            <w:sz w:val="24"/>
                            <w:szCs w:val="24"/>
                          </w:rPr>
                          <m:t>α</m:t>
                        </m:r>
                      </m:e>
                      <m:sub>
                        <m:r>
                          <w:rPr>
                            <w:rFonts w:ascii="Cambria Math"/>
                            <w:sz w:val="24"/>
                            <w:szCs w:val="24"/>
                          </w:rPr>
                          <m:t>anode</m:t>
                        </m:r>
                      </m:sub>
                    </m:sSub>
                    <m:r>
                      <w:rPr>
                        <w:rFonts w:ascii="Cambria Math" w:hAnsi="Cambria Math"/>
                        <w:sz w:val="24"/>
                        <w:szCs w:val="24"/>
                      </w:rPr>
                      <m:t>F</m:t>
                    </m:r>
                  </m:den>
                </m:f>
                <m:sSup>
                  <m:sSupPr>
                    <m:ctrlPr>
                      <w:rPr>
                        <w:rFonts w:ascii="Cambria Math" w:hAnsi="Cambria Math"/>
                        <w:i/>
                        <w:sz w:val="24"/>
                        <w:szCs w:val="24"/>
                      </w:rPr>
                    </m:ctrlPr>
                  </m:sSupPr>
                  <m:e>
                    <m:r>
                      <w:rPr>
                        <w:rFonts w:ascii="Cambria Math" w:hAnsi="Cambria Math"/>
                        <w:sz w:val="24"/>
                        <w:szCs w:val="24"/>
                      </w:rPr>
                      <m:t>sinh</m:t>
                    </m:r>
                  </m:e>
                  <m:sup>
                    <m:r>
                      <w:rPr>
                        <w:rFonts w:ascii="Cambria Math" w:hAnsi="Cambria Math"/>
                        <w:sz w:val="24"/>
                        <w:szCs w:val="24"/>
                      </w:rPr>
                      <m:t>-</m:t>
                    </m:r>
                    <m:r>
                      <w:rPr>
                        <w:rFonts w:ascii="Cambria Math"/>
                        <w:sz w:val="24"/>
                        <w:szCs w:val="24"/>
                      </w:rPr>
                      <m:t>1</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i</m:t>
                        </m:r>
                      </m:num>
                      <m:den>
                        <m:r>
                          <w:rPr>
                            <w:rFonts w:ascii="Cambria Math"/>
                            <w:sz w:val="24"/>
                            <w:szCs w:val="24"/>
                          </w:rPr>
                          <m:t>2</m:t>
                        </m:r>
                        <m:sSub>
                          <m:sSubPr>
                            <m:ctrlPr>
                              <w:rPr>
                                <w:rFonts w:ascii="Cambria Math" w:hAnsi="Cambria Math"/>
                                <w:i/>
                                <w:sz w:val="24"/>
                                <w:szCs w:val="24"/>
                              </w:rPr>
                            </m:ctrlPr>
                          </m:sSubPr>
                          <m:e>
                            <m:r>
                              <w:rPr>
                                <w:rFonts w:ascii="Cambria Math" w:hAnsi="Cambria Math"/>
                                <w:sz w:val="24"/>
                                <w:szCs w:val="24"/>
                              </w:rPr>
                              <m:t>i</m:t>
                            </m:r>
                          </m:e>
                          <m:sub>
                            <m:r>
                              <w:rPr>
                                <w:rFonts w:ascii="Cambria Math"/>
                                <w:sz w:val="24"/>
                                <w:szCs w:val="24"/>
                              </w:rPr>
                              <m:t>0,anode</m:t>
                            </m:r>
                          </m:sub>
                        </m:sSub>
                      </m:den>
                    </m:f>
                  </m:e>
                </m:d>
              </m:oMath>
            </m:oMathPara>
          </w:p>
        </w:tc>
        <w:tc>
          <w:tcPr>
            <w:tcW w:w="291" w:type="pct"/>
            <w:vAlign w:val="center"/>
          </w:tcPr>
          <w:p w14:paraId="158FAC2C" w14:textId="77777777" w:rsidR="00A6464B" w:rsidRDefault="00D51F75" w:rsidP="00694420">
            <w:pPr>
              <w:spacing w:before="240" w:after="240" w:line="240" w:lineRule="exact"/>
              <w:jc w:val="center"/>
              <w:rPr>
                <w:sz w:val="24"/>
                <w:szCs w:val="24"/>
              </w:rPr>
            </w:pPr>
            <w:r>
              <w:rPr>
                <w:sz w:val="24"/>
                <w:szCs w:val="24"/>
              </w:rPr>
              <w:t>(16)</w:t>
            </w:r>
          </w:p>
        </w:tc>
      </w:tr>
    </w:tbl>
    <w:p w14:paraId="24DB6B36" w14:textId="77777777" w:rsidR="00A6464B" w:rsidRDefault="00A6464B" w:rsidP="00A6464B">
      <w:pPr>
        <w:autoSpaceDE w:val="0"/>
        <w:autoSpaceDN w:val="0"/>
        <w:adjustRightInd w:val="0"/>
        <w:spacing w:after="0" w:line="240" w:lineRule="auto"/>
        <w:jc w:val="both"/>
        <w:rPr>
          <w:rFonts w:ascii="Arial" w:hAnsi="Arial" w:cs="Arial"/>
        </w:rPr>
      </w:pPr>
    </w:p>
    <w:p w14:paraId="10ACAF31" w14:textId="7C52CEC2" w:rsidR="00A6464B" w:rsidRPr="00516CCC" w:rsidRDefault="00A6464B" w:rsidP="00662193">
      <w:pPr>
        <w:autoSpaceDE w:val="0"/>
        <w:autoSpaceDN w:val="0"/>
        <w:adjustRightInd w:val="0"/>
        <w:spacing w:line="480" w:lineRule="auto"/>
        <w:jc w:val="both"/>
        <w:rPr>
          <w:rFonts w:ascii="Times New Roman" w:hAnsi="Times New Roman" w:cs="Times New Roman"/>
          <w:sz w:val="24"/>
        </w:rPr>
      </w:pPr>
      <w:r w:rsidRPr="00516CCC">
        <w:rPr>
          <w:rFonts w:ascii="Times New Roman" w:hAnsi="Times New Roman" w:cs="Times New Roman"/>
          <w:sz w:val="24"/>
        </w:rPr>
        <w:t>In this way, the model is able to evaluate the evolution of the cell voltage w</w:t>
      </w:r>
      <w:r w:rsidR="00873410">
        <w:rPr>
          <w:rFonts w:ascii="Times New Roman" w:hAnsi="Times New Roman" w:cs="Times New Roman"/>
          <w:sz w:val="24"/>
        </w:rPr>
        <w:t>ith time when carbon deposition</w:t>
      </w:r>
      <w:r w:rsidRPr="00516CCC">
        <w:rPr>
          <w:rFonts w:ascii="Times New Roman" w:hAnsi="Times New Roman" w:cs="Times New Roman"/>
          <w:sz w:val="24"/>
        </w:rPr>
        <w:t xml:space="preserve"> </w:t>
      </w:r>
      <w:r w:rsidRPr="00873410">
        <w:rPr>
          <w:rFonts w:ascii="Times New Roman" w:hAnsi="Times New Roman" w:cs="Times New Roman"/>
          <w:noProof/>
          <w:sz w:val="24"/>
        </w:rPr>
        <w:t>occur</w:t>
      </w:r>
      <w:r w:rsidR="00873410">
        <w:rPr>
          <w:rFonts w:ascii="Times New Roman" w:hAnsi="Times New Roman" w:cs="Times New Roman"/>
          <w:noProof/>
          <w:sz w:val="24"/>
        </w:rPr>
        <w:t>s</w:t>
      </w:r>
      <w:r w:rsidRPr="00516CCC">
        <w:rPr>
          <w:rFonts w:ascii="Times New Roman" w:hAnsi="Times New Roman" w:cs="Times New Roman"/>
          <w:sz w:val="24"/>
        </w:rPr>
        <w:t xml:space="preserve">. From the trend of the cell </w:t>
      </w:r>
      <w:r w:rsidRPr="00873410">
        <w:rPr>
          <w:rFonts w:ascii="Times New Roman" w:hAnsi="Times New Roman" w:cs="Times New Roman"/>
          <w:noProof/>
          <w:sz w:val="24"/>
        </w:rPr>
        <w:t>voltage</w:t>
      </w:r>
      <w:r w:rsidR="00873410">
        <w:rPr>
          <w:rFonts w:ascii="Times New Roman" w:hAnsi="Times New Roman" w:cs="Times New Roman"/>
          <w:noProof/>
          <w:sz w:val="24"/>
        </w:rPr>
        <w:t>,</w:t>
      </w:r>
      <w:r w:rsidRPr="00516CCC">
        <w:rPr>
          <w:rFonts w:ascii="Times New Roman" w:hAnsi="Times New Roman" w:cs="Times New Roman"/>
          <w:sz w:val="24"/>
        </w:rPr>
        <w:t xml:space="preserve"> it is possible to extrapolate the intrinsic degradation rate (see </w:t>
      </w:r>
      <w:r w:rsidR="00D51F75">
        <w:rPr>
          <w:rFonts w:ascii="Times New Roman" w:hAnsi="Times New Roman" w:cs="Times New Roman"/>
          <w:sz w:val="24"/>
        </w:rPr>
        <w:t>E</w:t>
      </w:r>
      <w:r w:rsidRPr="00516CCC">
        <w:rPr>
          <w:rFonts w:ascii="Times New Roman" w:hAnsi="Times New Roman" w:cs="Times New Roman"/>
          <w:sz w:val="24"/>
        </w:rPr>
        <w:t xml:space="preserve">quation </w:t>
      </w:r>
      <w:r w:rsidR="00D51F75">
        <w:rPr>
          <w:rFonts w:ascii="Times New Roman" w:hAnsi="Times New Roman" w:cs="Times New Roman"/>
          <w:sz w:val="24"/>
        </w:rPr>
        <w:t>4</w:t>
      </w:r>
      <w:r w:rsidRPr="00516CCC">
        <w:rPr>
          <w:rFonts w:ascii="Times New Roman" w:hAnsi="Times New Roman" w:cs="Times New Roman"/>
          <w:sz w:val="24"/>
        </w:rPr>
        <w:t xml:space="preserve">) of the SOFC and relate it </w:t>
      </w:r>
      <w:r w:rsidR="00873410">
        <w:rPr>
          <w:rFonts w:ascii="Times New Roman" w:hAnsi="Times New Roman" w:cs="Times New Roman"/>
          <w:noProof/>
          <w:sz w:val="24"/>
        </w:rPr>
        <w:t>to</w:t>
      </w:r>
      <w:r w:rsidRPr="00516CCC">
        <w:rPr>
          <w:rFonts w:ascii="Times New Roman" w:hAnsi="Times New Roman" w:cs="Times New Roman"/>
          <w:sz w:val="24"/>
        </w:rPr>
        <w:t xml:space="preserve"> the imposed conditions of temperature, inlet composition and reactant utilization. </w:t>
      </w:r>
    </w:p>
    <w:p w14:paraId="4BC9A399" w14:textId="2994089E" w:rsidR="00A6464B" w:rsidRPr="00516CCC" w:rsidRDefault="00A6464B" w:rsidP="00662193">
      <w:pPr>
        <w:autoSpaceDE w:val="0"/>
        <w:autoSpaceDN w:val="0"/>
        <w:adjustRightInd w:val="0"/>
        <w:spacing w:line="480" w:lineRule="auto"/>
        <w:jc w:val="both"/>
        <w:rPr>
          <w:rFonts w:ascii="Times New Roman" w:hAnsi="Times New Roman" w:cs="Times New Roman"/>
          <w:sz w:val="24"/>
        </w:rPr>
      </w:pPr>
      <w:r w:rsidRPr="00873410">
        <w:rPr>
          <w:rFonts w:ascii="Times New Roman" w:hAnsi="Times New Roman" w:cs="Times New Roman"/>
          <w:noProof/>
          <w:sz w:val="24"/>
        </w:rPr>
        <w:t>The model is applied to a case study of</w:t>
      </w:r>
      <w:r w:rsidRPr="00516CCC">
        <w:rPr>
          <w:rFonts w:ascii="Times New Roman" w:hAnsi="Times New Roman" w:cs="Times New Roman"/>
          <w:sz w:val="24"/>
        </w:rPr>
        <w:t xml:space="preserve"> carbon deposition in an SOFC operating in internal reforming conditions. Simulations were run for </w:t>
      </w:r>
      <w:r w:rsidRPr="00873410">
        <w:rPr>
          <w:rFonts w:ascii="Times New Roman" w:hAnsi="Times New Roman" w:cs="Times New Roman"/>
          <w:noProof/>
          <w:sz w:val="24"/>
        </w:rPr>
        <w:t>a</w:t>
      </w:r>
      <w:r w:rsidR="00873410">
        <w:rPr>
          <w:rFonts w:ascii="Times New Roman" w:hAnsi="Times New Roman" w:cs="Times New Roman"/>
          <w:noProof/>
          <w:sz w:val="24"/>
        </w:rPr>
        <w:t>n</w:t>
      </w:r>
      <w:r w:rsidRPr="00873410">
        <w:rPr>
          <w:rFonts w:ascii="Times New Roman" w:hAnsi="Times New Roman" w:cs="Times New Roman"/>
          <w:noProof/>
          <w:sz w:val="24"/>
        </w:rPr>
        <w:t xml:space="preserve"> H</w:t>
      </w:r>
      <w:r w:rsidRPr="00873410">
        <w:rPr>
          <w:rFonts w:ascii="Times New Roman" w:hAnsi="Times New Roman" w:cs="Times New Roman"/>
          <w:noProof/>
          <w:sz w:val="24"/>
          <w:vertAlign w:val="subscript"/>
        </w:rPr>
        <w:t>2</w:t>
      </w:r>
      <w:r w:rsidRPr="00873410">
        <w:rPr>
          <w:rFonts w:ascii="Times New Roman" w:hAnsi="Times New Roman" w:cs="Times New Roman"/>
          <w:noProof/>
          <w:sz w:val="24"/>
        </w:rPr>
        <w:t>/H</w:t>
      </w:r>
      <w:r w:rsidRPr="00873410">
        <w:rPr>
          <w:rFonts w:ascii="Times New Roman" w:hAnsi="Times New Roman" w:cs="Times New Roman"/>
          <w:noProof/>
          <w:sz w:val="24"/>
          <w:vertAlign w:val="subscript"/>
        </w:rPr>
        <w:t>2</w:t>
      </w:r>
      <w:r w:rsidRPr="00873410">
        <w:rPr>
          <w:rFonts w:ascii="Times New Roman" w:hAnsi="Times New Roman" w:cs="Times New Roman"/>
          <w:noProof/>
          <w:sz w:val="24"/>
        </w:rPr>
        <w:t>O/CH</w:t>
      </w:r>
      <w:r w:rsidRPr="00873410">
        <w:rPr>
          <w:rFonts w:ascii="Times New Roman" w:hAnsi="Times New Roman" w:cs="Times New Roman"/>
          <w:noProof/>
          <w:sz w:val="24"/>
          <w:vertAlign w:val="subscript"/>
        </w:rPr>
        <w:t>4</w:t>
      </w:r>
      <w:r w:rsidRPr="00516CCC">
        <w:rPr>
          <w:rFonts w:ascii="Times New Roman" w:hAnsi="Times New Roman" w:cs="Times New Roman"/>
          <w:sz w:val="24"/>
        </w:rPr>
        <w:t xml:space="preserve"> mixture feeding the anode of the cell with a steam-to-carbon ratio fixed to 1 and variable CH</w:t>
      </w:r>
      <w:r w:rsidRPr="00516CCC">
        <w:rPr>
          <w:rFonts w:ascii="Times New Roman" w:hAnsi="Times New Roman" w:cs="Times New Roman"/>
          <w:sz w:val="24"/>
          <w:vertAlign w:val="subscript"/>
        </w:rPr>
        <w:t>4</w:t>
      </w:r>
      <w:r w:rsidRPr="00516CCC">
        <w:rPr>
          <w:rFonts w:ascii="Times New Roman" w:hAnsi="Times New Roman" w:cs="Times New Roman"/>
          <w:sz w:val="24"/>
        </w:rPr>
        <w:t xml:space="preserve"> concentration. The cell (100 cm</w:t>
      </w:r>
      <w:r w:rsidRPr="00516CCC">
        <w:rPr>
          <w:rFonts w:ascii="Times New Roman" w:hAnsi="Times New Roman" w:cs="Times New Roman"/>
          <w:sz w:val="24"/>
          <w:vertAlign w:val="superscript"/>
        </w:rPr>
        <w:t>2</w:t>
      </w:r>
      <w:r w:rsidRPr="00516CCC">
        <w:rPr>
          <w:rFonts w:ascii="Times New Roman" w:hAnsi="Times New Roman" w:cs="Times New Roman"/>
          <w:sz w:val="24"/>
        </w:rPr>
        <w:t>) is assumed to operate at 750 °C with fixed current density (0.2 A cm</w:t>
      </w:r>
      <w:r w:rsidRPr="00516CCC">
        <w:rPr>
          <w:rFonts w:ascii="Times New Roman" w:hAnsi="Times New Roman" w:cs="Times New Roman"/>
          <w:sz w:val="24"/>
          <w:vertAlign w:val="superscript"/>
        </w:rPr>
        <w:t>-2</w:t>
      </w:r>
      <w:r w:rsidRPr="00516CCC">
        <w:rPr>
          <w:rFonts w:ascii="Times New Roman" w:hAnsi="Times New Roman" w:cs="Times New Roman"/>
          <w:sz w:val="24"/>
        </w:rPr>
        <w:t xml:space="preserve">) and fuel utilization (70%). No recirculation is </w:t>
      </w:r>
      <w:r w:rsidRPr="00873410">
        <w:rPr>
          <w:rFonts w:ascii="Times New Roman" w:hAnsi="Times New Roman" w:cs="Times New Roman"/>
          <w:noProof/>
          <w:sz w:val="24"/>
        </w:rPr>
        <w:t>performed</w:t>
      </w:r>
      <w:r w:rsidR="00873410">
        <w:rPr>
          <w:rFonts w:ascii="Times New Roman" w:hAnsi="Times New Roman" w:cs="Times New Roman"/>
          <w:noProof/>
          <w:sz w:val="24"/>
        </w:rPr>
        <w:t>,</w:t>
      </w:r>
      <w:r w:rsidRPr="00516CCC">
        <w:rPr>
          <w:rFonts w:ascii="Times New Roman" w:hAnsi="Times New Roman" w:cs="Times New Roman"/>
          <w:sz w:val="24"/>
        </w:rPr>
        <w:t xml:space="preserve"> and</w:t>
      </w:r>
      <w:r w:rsidR="00873410">
        <w:rPr>
          <w:rFonts w:ascii="Times New Roman" w:hAnsi="Times New Roman" w:cs="Times New Roman"/>
          <w:sz w:val="24"/>
        </w:rPr>
        <w:t xml:space="preserve"> the</w:t>
      </w:r>
      <w:r w:rsidRPr="00516CCC">
        <w:rPr>
          <w:rFonts w:ascii="Times New Roman" w:hAnsi="Times New Roman" w:cs="Times New Roman"/>
          <w:sz w:val="24"/>
        </w:rPr>
        <w:t xml:space="preserve"> </w:t>
      </w:r>
      <w:r w:rsidRPr="00873410">
        <w:rPr>
          <w:rFonts w:ascii="Times New Roman" w:hAnsi="Times New Roman" w:cs="Times New Roman"/>
          <w:noProof/>
          <w:sz w:val="24"/>
        </w:rPr>
        <w:t>air</w:t>
      </w:r>
      <w:r w:rsidRPr="00516CCC">
        <w:rPr>
          <w:rFonts w:ascii="Times New Roman" w:hAnsi="Times New Roman" w:cs="Times New Roman"/>
          <w:sz w:val="24"/>
        </w:rPr>
        <w:t xml:space="preserve"> is assumed to be the oxidant on the cathode side.</w:t>
      </w:r>
    </w:p>
    <w:p w14:paraId="1195F249" w14:textId="77777777" w:rsidR="00A6464B" w:rsidRPr="00516CCC" w:rsidRDefault="00A6464B" w:rsidP="00662193">
      <w:pPr>
        <w:autoSpaceDE w:val="0"/>
        <w:autoSpaceDN w:val="0"/>
        <w:adjustRightInd w:val="0"/>
        <w:spacing w:line="480" w:lineRule="auto"/>
        <w:jc w:val="both"/>
        <w:rPr>
          <w:rFonts w:ascii="Times New Roman" w:hAnsi="Times New Roman" w:cs="Times New Roman"/>
          <w:sz w:val="24"/>
        </w:rPr>
      </w:pPr>
      <w:r w:rsidRPr="00516CCC">
        <w:rPr>
          <w:rFonts w:ascii="Times New Roman" w:hAnsi="Times New Roman" w:cs="Times New Roman"/>
          <w:sz w:val="24"/>
        </w:rPr>
        <w:t>It is worth noting that such a low steam-to-carbon ratio has been considered in order to investigate conditions in which the carbon deposition is thermodynamically favored; however, this is clearly not a realistic operating condition. Water plays a fundamental role in reducing the risk of carbon formation. In fact, steam reacts with CH</w:t>
      </w:r>
      <w:r w:rsidRPr="00516CCC">
        <w:rPr>
          <w:rFonts w:ascii="Times New Roman" w:hAnsi="Times New Roman" w:cs="Times New Roman"/>
          <w:sz w:val="24"/>
          <w:vertAlign w:val="subscript"/>
        </w:rPr>
        <w:t>4</w:t>
      </w:r>
      <w:r w:rsidRPr="00516CCC">
        <w:rPr>
          <w:rFonts w:ascii="Times New Roman" w:hAnsi="Times New Roman" w:cs="Times New Roman"/>
          <w:sz w:val="24"/>
        </w:rPr>
        <w:t xml:space="preserve"> in the steam methane reforming (SMR) reducing the methane concentration and consequently the rate of methane cracking. Moreover, H</w:t>
      </w:r>
      <w:r w:rsidRPr="00516CCC">
        <w:rPr>
          <w:rFonts w:ascii="Times New Roman" w:hAnsi="Times New Roman" w:cs="Times New Roman"/>
          <w:sz w:val="24"/>
          <w:vertAlign w:val="subscript"/>
        </w:rPr>
        <w:t>2</w:t>
      </w:r>
      <w:r w:rsidRPr="00516CCC">
        <w:rPr>
          <w:rFonts w:ascii="Times New Roman" w:hAnsi="Times New Roman" w:cs="Times New Roman"/>
          <w:sz w:val="24"/>
        </w:rPr>
        <w:t xml:space="preserve">O takes part </w:t>
      </w:r>
      <w:r w:rsidRPr="00873410">
        <w:rPr>
          <w:rFonts w:ascii="Times New Roman" w:hAnsi="Times New Roman" w:cs="Times New Roman"/>
          <w:noProof/>
          <w:sz w:val="24"/>
        </w:rPr>
        <w:t>into</w:t>
      </w:r>
      <w:r w:rsidRPr="00516CCC">
        <w:rPr>
          <w:rFonts w:ascii="Times New Roman" w:hAnsi="Times New Roman" w:cs="Times New Roman"/>
          <w:sz w:val="24"/>
        </w:rPr>
        <w:t xml:space="preserve"> the water gas shift reaction, which reduces the CO concentration of the mixture, and thus the rate of Boudouard reaction. The most critical conditions for carbon deposition are reached at cell inlet, where there is the minimum water concentration, while </w:t>
      </w:r>
      <w:r w:rsidRPr="00873410">
        <w:rPr>
          <w:rFonts w:ascii="Times New Roman" w:hAnsi="Times New Roman" w:cs="Times New Roman"/>
          <w:noProof/>
          <w:sz w:val="24"/>
        </w:rPr>
        <w:t>at the anode outlet</w:t>
      </w:r>
      <w:r w:rsidRPr="00516CCC">
        <w:rPr>
          <w:rFonts w:ascii="Times New Roman" w:hAnsi="Times New Roman" w:cs="Times New Roman"/>
          <w:sz w:val="24"/>
        </w:rPr>
        <w:t xml:space="preserve"> the water fraction is higher due to the electrochemical conversion of H</w:t>
      </w:r>
      <w:r w:rsidRPr="00516CCC">
        <w:rPr>
          <w:rFonts w:ascii="Times New Roman" w:hAnsi="Times New Roman" w:cs="Times New Roman"/>
          <w:sz w:val="24"/>
          <w:vertAlign w:val="subscript"/>
        </w:rPr>
        <w:t>2</w:t>
      </w:r>
      <w:r w:rsidRPr="00516CCC">
        <w:rPr>
          <w:rFonts w:ascii="Times New Roman" w:hAnsi="Times New Roman" w:cs="Times New Roman"/>
          <w:sz w:val="24"/>
        </w:rPr>
        <w:t xml:space="preserve"> to H</w:t>
      </w:r>
      <w:r w:rsidRPr="00516CCC">
        <w:rPr>
          <w:rFonts w:ascii="Times New Roman" w:hAnsi="Times New Roman" w:cs="Times New Roman"/>
          <w:sz w:val="24"/>
          <w:vertAlign w:val="subscript"/>
        </w:rPr>
        <w:t>2</w:t>
      </w:r>
      <w:r w:rsidRPr="00516CCC">
        <w:rPr>
          <w:rFonts w:ascii="Times New Roman" w:hAnsi="Times New Roman" w:cs="Times New Roman"/>
          <w:sz w:val="24"/>
        </w:rPr>
        <w:t xml:space="preserve">O. Simulations confirm that </w:t>
      </w:r>
      <w:r w:rsidRPr="00516CCC">
        <w:rPr>
          <w:rFonts w:ascii="Times New Roman" w:hAnsi="Times New Roman" w:cs="Times New Roman"/>
          <w:sz w:val="24"/>
          <w:szCs w:val="24"/>
        </w:rPr>
        <w:t>γ is &lt; 1</w:t>
      </w:r>
      <w:r w:rsidRPr="00516CCC">
        <w:rPr>
          <w:rFonts w:ascii="Times New Roman" w:hAnsi="Times New Roman" w:cs="Times New Roman"/>
          <w:sz w:val="24"/>
        </w:rPr>
        <w:t xml:space="preserve"> at cell inlet in the investigated conditions, and it assumed that carbon starts depositing from the anode inlet and progressively covers the surface of the electrode moving toward the cell outlet. Only detailed multi-dimensional models would allow overcoming this assumption and identifying the points of the electrode locally affected by carbon formation. </w:t>
      </w:r>
    </w:p>
    <w:p w14:paraId="1D2B07C6" w14:textId="36FC8C46" w:rsidR="00A6464B" w:rsidRDefault="00A6464B" w:rsidP="006C1229">
      <w:pPr>
        <w:autoSpaceDE w:val="0"/>
        <w:autoSpaceDN w:val="0"/>
        <w:adjustRightInd w:val="0"/>
        <w:spacing w:after="0" w:line="480" w:lineRule="auto"/>
        <w:jc w:val="both"/>
        <w:rPr>
          <w:rFonts w:ascii="Times New Roman" w:hAnsi="Times New Roman" w:cs="Times New Roman"/>
          <w:sz w:val="24"/>
        </w:rPr>
      </w:pPr>
      <w:r w:rsidRPr="00516CCC">
        <w:rPr>
          <w:rFonts w:ascii="Times New Roman" w:hAnsi="Times New Roman" w:cs="Times New Roman"/>
          <w:sz w:val="24"/>
        </w:rPr>
        <w:lastRenderedPageBreak/>
        <w:t>The intrinsic degradation rates obtained from simulations at different C/H ratios are shown in Fig. 3. The degradation is correlated with the C/H ratio of the inlet mixture and decreases with time, as the catalyst deactivation rate progressively diminishes with the increase of deposited carbon. The rate of degradation is maximum at the initial time and reaches values higher than 0.5 Ω cm</w:t>
      </w:r>
      <w:r w:rsidRPr="00516CCC">
        <w:rPr>
          <w:rFonts w:ascii="Times New Roman" w:hAnsi="Times New Roman" w:cs="Times New Roman"/>
          <w:sz w:val="24"/>
          <w:vertAlign w:val="superscript"/>
        </w:rPr>
        <w:t>2</w:t>
      </w:r>
      <w:r w:rsidRPr="00516CCC">
        <w:rPr>
          <w:rFonts w:ascii="Times New Roman" w:hAnsi="Times New Roman" w:cs="Times New Roman"/>
          <w:sz w:val="24"/>
        </w:rPr>
        <w:t xml:space="preserve"> h</w:t>
      </w:r>
      <w:r w:rsidRPr="00516CCC">
        <w:rPr>
          <w:rFonts w:ascii="Times New Roman" w:hAnsi="Times New Roman" w:cs="Times New Roman"/>
          <w:sz w:val="24"/>
          <w:vertAlign w:val="superscript"/>
        </w:rPr>
        <w:t>-1</w:t>
      </w:r>
      <w:r w:rsidRPr="00516CCC">
        <w:rPr>
          <w:rFonts w:ascii="Times New Roman" w:hAnsi="Times New Roman" w:cs="Times New Roman"/>
          <w:sz w:val="24"/>
        </w:rPr>
        <w:t xml:space="preserve"> for C/H ratios </w:t>
      </w:r>
      <w:r w:rsidRPr="00873410">
        <w:rPr>
          <w:rFonts w:ascii="Times New Roman" w:hAnsi="Times New Roman" w:cs="Times New Roman"/>
          <w:noProof/>
          <w:sz w:val="24"/>
        </w:rPr>
        <w:t>higher</w:t>
      </w:r>
      <w:r w:rsidRPr="00516CCC">
        <w:rPr>
          <w:rFonts w:ascii="Times New Roman" w:hAnsi="Times New Roman" w:cs="Times New Roman"/>
          <w:sz w:val="24"/>
        </w:rPr>
        <w:t xml:space="preserve"> than 0.13. Higher C/H ratios induce faster degradation mainly due to methane cracking reaction, which is favored for </w:t>
      </w:r>
      <w:r w:rsidRPr="00873410">
        <w:rPr>
          <w:rFonts w:ascii="Times New Roman" w:hAnsi="Times New Roman" w:cs="Times New Roman"/>
          <w:noProof/>
          <w:sz w:val="24"/>
        </w:rPr>
        <w:t>high concentrations</w:t>
      </w:r>
      <w:r w:rsidRPr="00516CCC">
        <w:rPr>
          <w:rFonts w:ascii="Times New Roman" w:hAnsi="Times New Roman" w:cs="Times New Roman"/>
          <w:sz w:val="24"/>
        </w:rPr>
        <w:t xml:space="preserve"> of CH</w:t>
      </w:r>
      <w:r w:rsidRPr="00516CCC">
        <w:rPr>
          <w:rFonts w:ascii="Times New Roman" w:hAnsi="Times New Roman" w:cs="Times New Roman"/>
          <w:sz w:val="24"/>
          <w:vertAlign w:val="subscript"/>
        </w:rPr>
        <w:t>4</w:t>
      </w:r>
      <w:r w:rsidRPr="00516CCC">
        <w:rPr>
          <w:rFonts w:ascii="Times New Roman" w:hAnsi="Times New Roman" w:cs="Times New Roman"/>
          <w:sz w:val="24"/>
        </w:rPr>
        <w:t xml:space="preserve"> and low </w:t>
      </w:r>
      <w:r w:rsidRPr="00873410">
        <w:rPr>
          <w:rFonts w:ascii="Times New Roman" w:hAnsi="Times New Roman" w:cs="Times New Roman"/>
          <w:noProof/>
          <w:sz w:val="24"/>
        </w:rPr>
        <w:t>concentrations</w:t>
      </w:r>
      <w:r w:rsidRPr="00516CCC">
        <w:rPr>
          <w:rFonts w:ascii="Times New Roman" w:hAnsi="Times New Roman" w:cs="Times New Roman"/>
          <w:sz w:val="24"/>
        </w:rPr>
        <w:t xml:space="preserve"> of H</w:t>
      </w:r>
      <w:r w:rsidRPr="00516CCC">
        <w:rPr>
          <w:rFonts w:ascii="Times New Roman" w:hAnsi="Times New Roman" w:cs="Times New Roman"/>
          <w:sz w:val="24"/>
          <w:vertAlign w:val="subscript"/>
        </w:rPr>
        <w:t>2</w:t>
      </w:r>
      <w:r w:rsidRPr="00516CCC">
        <w:rPr>
          <w:rFonts w:ascii="Times New Roman" w:hAnsi="Times New Roman" w:cs="Times New Roman"/>
          <w:sz w:val="24"/>
        </w:rPr>
        <w:t xml:space="preserve"> (i.e.,</w:t>
      </w:r>
      <w:r w:rsidR="00873410">
        <w:rPr>
          <w:rFonts w:ascii="Times New Roman" w:hAnsi="Times New Roman" w:cs="Times New Roman"/>
          <w:sz w:val="24"/>
        </w:rPr>
        <w:t xml:space="preserve"> the</w:t>
      </w:r>
      <w:r w:rsidRPr="00516CCC">
        <w:rPr>
          <w:rFonts w:ascii="Times New Roman" w:hAnsi="Times New Roman" w:cs="Times New Roman"/>
          <w:sz w:val="24"/>
        </w:rPr>
        <w:t xml:space="preserve"> </w:t>
      </w:r>
      <w:r w:rsidRPr="00873410">
        <w:rPr>
          <w:rFonts w:ascii="Times New Roman" w:hAnsi="Times New Roman" w:cs="Times New Roman"/>
          <w:noProof/>
          <w:sz w:val="24"/>
        </w:rPr>
        <w:t>high</w:t>
      </w:r>
      <w:r w:rsidRPr="00516CCC">
        <w:rPr>
          <w:rFonts w:ascii="Times New Roman" w:hAnsi="Times New Roman" w:cs="Times New Roman"/>
          <w:sz w:val="24"/>
        </w:rPr>
        <w:t xml:space="preserve"> partial pressure of reactant and low of the product). </w:t>
      </w:r>
    </w:p>
    <w:p w14:paraId="16D5F2BA" w14:textId="3B37D63E" w:rsidR="00A6464B" w:rsidRPr="00473F70" w:rsidRDefault="00473F70" w:rsidP="00473F70">
      <w:pPr>
        <w:pStyle w:val="EFCFText"/>
        <w:spacing w:line="480" w:lineRule="auto"/>
        <w:jc w:val="center"/>
        <w:rPr>
          <w:rFonts w:ascii="Times New Roman" w:hAnsi="Times New Roman" w:cs="Times New Roman"/>
        </w:rPr>
      </w:pPr>
      <w:r>
        <w:rPr>
          <w:rFonts w:ascii="Times New Roman" w:hAnsi="Times New Roman" w:cs="Times New Roman"/>
        </w:rPr>
        <w:t>Figure 3</w:t>
      </w:r>
    </w:p>
    <w:p w14:paraId="28CD7B1A" w14:textId="77777777" w:rsidR="00A6464B" w:rsidRPr="00662193" w:rsidRDefault="00A6464B" w:rsidP="00662193">
      <w:pPr>
        <w:autoSpaceDE w:val="0"/>
        <w:autoSpaceDN w:val="0"/>
        <w:adjustRightInd w:val="0"/>
        <w:spacing w:line="480" w:lineRule="auto"/>
        <w:jc w:val="both"/>
        <w:rPr>
          <w:rFonts w:ascii="Times New Roman" w:hAnsi="Times New Roman" w:cs="Times New Roman"/>
          <w:sz w:val="24"/>
          <w:szCs w:val="24"/>
        </w:rPr>
      </w:pPr>
      <w:r w:rsidRPr="00662193">
        <w:rPr>
          <w:rFonts w:ascii="Times New Roman" w:hAnsi="Times New Roman" w:cs="Times New Roman"/>
          <w:sz w:val="24"/>
          <w:szCs w:val="24"/>
        </w:rPr>
        <w:t>A mixture with a C/H ratio of 0.16 induces an initial degradation of 0.6 Ω cm</w:t>
      </w:r>
      <w:r w:rsidRPr="00662193">
        <w:rPr>
          <w:rFonts w:ascii="Times New Roman" w:hAnsi="Times New Roman" w:cs="Times New Roman"/>
          <w:sz w:val="24"/>
          <w:szCs w:val="24"/>
          <w:vertAlign w:val="superscript"/>
        </w:rPr>
        <w:t>2</w:t>
      </w:r>
      <w:r w:rsidRPr="00662193">
        <w:rPr>
          <w:rFonts w:ascii="Times New Roman" w:hAnsi="Times New Roman" w:cs="Times New Roman"/>
          <w:sz w:val="24"/>
          <w:szCs w:val="24"/>
        </w:rPr>
        <w:t xml:space="preserve"> h</w:t>
      </w:r>
      <w:r w:rsidRPr="00662193">
        <w:rPr>
          <w:rFonts w:ascii="Times New Roman" w:hAnsi="Times New Roman" w:cs="Times New Roman"/>
          <w:sz w:val="24"/>
          <w:szCs w:val="24"/>
          <w:vertAlign w:val="superscript"/>
        </w:rPr>
        <w:t>-1</w:t>
      </w:r>
      <w:r w:rsidRPr="00662193">
        <w:rPr>
          <w:rFonts w:ascii="Times New Roman" w:hAnsi="Times New Roman" w:cs="Times New Roman"/>
          <w:sz w:val="24"/>
          <w:szCs w:val="24"/>
        </w:rPr>
        <w:t>, which corresponds to a voltage drop of 120 mV/h for a cell operating at 0.2 A/cm</w:t>
      </w:r>
      <w:r w:rsidRPr="00662193">
        <w:rPr>
          <w:rFonts w:ascii="Times New Roman" w:hAnsi="Times New Roman" w:cs="Times New Roman"/>
          <w:sz w:val="24"/>
          <w:szCs w:val="24"/>
          <w:vertAlign w:val="superscript"/>
        </w:rPr>
        <w:t>2</w:t>
      </w:r>
      <w:r w:rsidRPr="00662193">
        <w:rPr>
          <w:rFonts w:ascii="Times New Roman" w:hAnsi="Times New Roman" w:cs="Times New Roman"/>
          <w:sz w:val="24"/>
          <w:szCs w:val="24"/>
        </w:rPr>
        <w:t>, while for a C/H ratio near to 0.1 the degradation rate is 10 times lower (voltage drop ~ 10 mV/h).</w:t>
      </w:r>
    </w:p>
    <w:p w14:paraId="6DF84A64" w14:textId="263B1D48" w:rsidR="00A6464B" w:rsidRDefault="00A6464B" w:rsidP="00662193">
      <w:pPr>
        <w:pStyle w:val="Default"/>
        <w:spacing w:after="240" w:line="480" w:lineRule="auto"/>
        <w:jc w:val="both"/>
        <w:rPr>
          <w:rFonts w:ascii="Times New Roman" w:hAnsi="Times New Roman" w:cs="Times New Roman"/>
        </w:rPr>
      </w:pPr>
      <w:r w:rsidRPr="00662193">
        <w:rPr>
          <w:rFonts w:ascii="Times New Roman" w:hAnsi="Times New Roman" w:cs="Times New Roman"/>
        </w:rPr>
        <w:t xml:space="preserve">Figure 4 shows the time evolution of the </w:t>
      </w:r>
      <w:r w:rsidRPr="00873410">
        <w:rPr>
          <w:rFonts w:ascii="Times New Roman" w:hAnsi="Times New Roman" w:cs="Times New Roman"/>
          <w:noProof/>
        </w:rPr>
        <w:t>intrinsic</w:t>
      </w:r>
      <w:r w:rsidRPr="00662193">
        <w:rPr>
          <w:rFonts w:ascii="Times New Roman" w:hAnsi="Times New Roman" w:cs="Times New Roman"/>
        </w:rPr>
        <w:t xml:space="preserve"> degradation rate at different C/H ratios. </w:t>
      </w:r>
      <w:r w:rsidRPr="00873410">
        <w:rPr>
          <w:rFonts w:ascii="Times New Roman" w:hAnsi="Times New Roman" w:cs="Times New Roman"/>
          <w:noProof/>
        </w:rPr>
        <w:t>Also</w:t>
      </w:r>
      <w:r w:rsidR="00873410">
        <w:rPr>
          <w:rFonts w:ascii="Times New Roman" w:hAnsi="Times New Roman" w:cs="Times New Roman"/>
          <w:noProof/>
        </w:rPr>
        <w:t>,</w:t>
      </w:r>
      <w:r w:rsidRPr="00662193">
        <w:rPr>
          <w:rFonts w:ascii="Times New Roman" w:hAnsi="Times New Roman" w:cs="Times New Roman"/>
        </w:rPr>
        <w:t xml:space="preserve"> this </w:t>
      </w:r>
      <w:r w:rsidRPr="00873410">
        <w:rPr>
          <w:rFonts w:ascii="Times New Roman" w:hAnsi="Times New Roman" w:cs="Times New Roman"/>
          <w:noProof/>
        </w:rPr>
        <w:t>figure</w:t>
      </w:r>
      <w:r w:rsidRPr="00662193">
        <w:rPr>
          <w:rFonts w:ascii="Times New Roman" w:hAnsi="Times New Roman" w:cs="Times New Roman"/>
        </w:rPr>
        <w:t xml:space="preserve"> shows the faster degradation rates for higher C/H mixtures. </w:t>
      </w:r>
    </w:p>
    <w:p w14:paraId="6822ED3A" w14:textId="211C8421" w:rsidR="00473F70" w:rsidRPr="00662193" w:rsidRDefault="00473F70" w:rsidP="00473F70">
      <w:pPr>
        <w:pStyle w:val="EFCFText"/>
        <w:spacing w:line="480" w:lineRule="auto"/>
        <w:jc w:val="center"/>
        <w:rPr>
          <w:rFonts w:ascii="Times New Roman" w:hAnsi="Times New Roman" w:cs="Times New Roman"/>
        </w:rPr>
      </w:pPr>
      <w:r>
        <w:rPr>
          <w:rFonts w:ascii="Times New Roman" w:hAnsi="Times New Roman" w:cs="Times New Roman"/>
        </w:rPr>
        <w:t>Figure 4</w:t>
      </w:r>
    </w:p>
    <w:p w14:paraId="694AD623" w14:textId="77777777" w:rsidR="00A6464B" w:rsidRPr="00516CCC" w:rsidRDefault="00A6464B" w:rsidP="00662193">
      <w:pPr>
        <w:pStyle w:val="Default"/>
        <w:spacing w:line="480" w:lineRule="auto"/>
        <w:jc w:val="both"/>
        <w:rPr>
          <w:rFonts w:ascii="Times New Roman" w:hAnsi="Times New Roman" w:cs="Times New Roman"/>
        </w:rPr>
      </w:pPr>
      <w:r w:rsidRPr="00662193">
        <w:rPr>
          <w:rFonts w:ascii="Times New Roman" w:hAnsi="Times New Roman" w:cs="Times New Roman"/>
        </w:rPr>
        <w:t xml:space="preserve">The </w:t>
      </w:r>
      <w:r w:rsidRPr="00873410">
        <w:rPr>
          <w:rFonts w:ascii="Times New Roman" w:hAnsi="Times New Roman" w:cs="Times New Roman"/>
          <w:noProof/>
        </w:rPr>
        <w:t>intrinsic</w:t>
      </w:r>
      <w:r w:rsidRPr="00662193">
        <w:rPr>
          <w:rFonts w:ascii="Times New Roman" w:hAnsi="Times New Roman" w:cs="Times New Roman"/>
        </w:rPr>
        <w:t xml:space="preserve"> degradation trends depicted in Figure 4 can be described by a family of power curves with equation </w:t>
      </w:r>
      <m:oMath>
        <m:r>
          <w:rPr>
            <w:rFonts w:ascii="Cambria Math" w:hAnsi="Cambria Math" w:cs="Times New Roman"/>
            <w:lang w:eastAsia="it-IT"/>
          </w:rPr>
          <m:t>y</m:t>
        </m:r>
        <m:r>
          <w:rPr>
            <w:rFonts w:ascii="Cambria Math" w:hAnsi="Times New Roman" w:cs="Times New Roman"/>
          </w:rPr>
          <m:t>=</m:t>
        </m:r>
        <m:r>
          <w:rPr>
            <w:rFonts w:ascii="Cambria Math" w:hAnsi="Cambria Math" w:cs="Times New Roman"/>
          </w:rPr>
          <m:t>m</m:t>
        </m:r>
        <m:sSup>
          <m:sSupPr>
            <m:ctrlPr>
              <w:rPr>
                <w:rFonts w:ascii="Cambria Math" w:hAnsi="Times New Roman" w:cs="Times New Roman"/>
                <w:i/>
                <w:color w:val="auto"/>
              </w:rPr>
            </m:ctrlPr>
          </m:sSupPr>
          <m:e>
            <m:r>
              <w:rPr>
                <w:rFonts w:ascii="Cambria Math" w:hAnsi="Times New Roman" w:cs="Times New Roman"/>
              </w:rPr>
              <m:t xml:space="preserve"> </m:t>
            </m:r>
            <m:r>
              <w:rPr>
                <w:rFonts w:ascii="Cambria Math" w:hAnsi="Cambria Math" w:cs="Times New Roman"/>
              </w:rPr>
              <m:t>x</m:t>
            </m:r>
          </m:e>
          <m:sup>
            <m:r>
              <w:rPr>
                <w:rFonts w:ascii="Times New Roman" w:hAnsi="Times New Roman" w:cs="Times New Roman"/>
              </w:rPr>
              <m:t>-</m:t>
            </m:r>
            <m:r>
              <w:rPr>
                <w:rFonts w:ascii="Cambria Math" w:hAnsi="Cambria Math" w:cs="Times New Roman"/>
              </w:rPr>
              <m:t>n</m:t>
            </m:r>
          </m:sup>
        </m:sSup>
      </m:oMath>
      <w:r w:rsidRPr="00662193">
        <w:rPr>
          <w:rFonts w:ascii="Times New Roman" w:hAnsi="Times New Roman" w:cs="Times New Roman"/>
        </w:rPr>
        <w:t xml:space="preserve">, where the coefficients </w:t>
      </w:r>
      <w:r w:rsidRPr="00662193">
        <w:rPr>
          <w:rFonts w:ascii="Times New Roman" w:hAnsi="Times New Roman" w:cs="Times New Roman"/>
          <w:i/>
        </w:rPr>
        <w:t>m</w:t>
      </w:r>
      <w:r w:rsidRPr="00662193">
        <w:rPr>
          <w:rFonts w:ascii="Times New Roman" w:hAnsi="Times New Roman" w:cs="Times New Roman"/>
        </w:rPr>
        <w:t xml:space="preserve"> and </w:t>
      </w:r>
      <w:r w:rsidRPr="00662193">
        <w:rPr>
          <w:rFonts w:ascii="Times New Roman" w:hAnsi="Times New Roman" w:cs="Times New Roman"/>
          <w:i/>
        </w:rPr>
        <w:t>n</w:t>
      </w:r>
      <w:r w:rsidRPr="00662193">
        <w:rPr>
          <w:rFonts w:ascii="Times New Roman" w:hAnsi="Times New Roman" w:cs="Times New Roman"/>
        </w:rPr>
        <w:t xml:space="preserve"> can be related to the C/H ratio by fitting the power law to the simulated curves. From the fitting it is possible to identify the equation of the intrinsic degradation: </w:t>
      </w:r>
      <w:r w:rsidRPr="00516CCC">
        <w:rPr>
          <w:rFonts w:ascii="Times New Roman" w:hAnsi="Times New Roman" w:cs="Times New Roman"/>
        </w:rPr>
        <w:t xml:space="preserve">  </w:t>
      </w:r>
    </w:p>
    <w:p w14:paraId="7705E7A2" w14:textId="77777777" w:rsidR="00A6464B" w:rsidRDefault="00A6464B" w:rsidP="00A6464B">
      <w:pPr>
        <w:pStyle w:val="Default"/>
        <w:jc w:val="both"/>
        <w:rPr>
          <w:sz w:val="22"/>
          <w:szCs w:val="23"/>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8869"/>
        <w:gridCol w:w="736"/>
      </w:tblGrid>
      <w:tr w:rsidR="00D51F75" w:rsidRPr="00F6353A" w14:paraId="51F83E8A" w14:textId="77777777" w:rsidTr="00694420">
        <w:trPr>
          <w:trHeight w:val="598"/>
        </w:trPr>
        <w:tc>
          <w:tcPr>
            <w:tcW w:w="250" w:type="dxa"/>
            <w:vAlign w:val="center"/>
          </w:tcPr>
          <w:p w14:paraId="389439C6" w14:textId="77777777" w:rsidR="00A6464B" w:rsidRPr="001840B8" w:rsidRDefault="00A6464B" w:rsidP="00694420">
            <w:pPr>
              <w:spacing w:before="120" w:after="120" w:line="360" w:lineRule="auto"/>
              <w:jc w:val="center"/>
              <w:rPr>
                <w:sz w:val="24"/>
                <w:szCs w:val="24"/>
              </w:rPr>
            </w:pPr>
          </w:p>
        </w:tc>
        <w:tc>
          <w:tcPr>
            <w:tcW w:w="9032" w:type="dxa"/>
            <w:vAlign w:val="center"/>
          </w:tcPr>
          <w:p w14:paraId="29792797" w14:textId="77777777" w:rsidR="00A6464B" w:rsidRPr="000E2EF3" w:rsidRDefault="00A6464B" w:rsidP="00694420">
            <w:pPr>
              <w:spacing w:line="240" w:lineRule="exact"/>
              <w:jc w:val="center"/>
              <w:rPr>
                <w:rFonts w:eastAsia="Calibri"/>
                <w:sz w:val="24"/>
                <w:szCs w:val="24"/>
              </w:rPr>
            </w:pPr>
            <m:oMathPara>
              <m:oMath>
                <m:r>
                  <w:rPr>
                    <w:rFonts w:ascii="Cambria Math" w:eastAsiaTheme="minorEastAsia" w:hAnsi="Cambria Math"/>
                    <w:sz w:val="24"/>
                    <w:szCs w:val="24"/>
                  </w:rPr>
                  <m:t>d</m:t>
                </m:r>
                <m:r>
                  <w:rPr>
                    <w:rFonts w:ascii="Cambria Math" w:hAnsi="Cambria Math"/>
                    <w:sz w:val="24"/>
                    <w:szCs w:val="24"/>
                  </w:rPr>
                  <m:t>=m</m:t>
                </m:r>
                <m:sSup>
                  <m:sSupPr>
                    <m:ctrlPr>
                      <w:rPr>
                        <w:rFonts w:ascii="Cambria Math" w:eastAsiaTheme="minorHAnsi" w:hAnsi="Cambria Math"/>
                        <w:i/>
                        <w:sz w:val="24"/>
                        <w:szCs w:val="24"/>
                        <w:lang w:eastAsia="en-US"/>
                      </w:rPr>
                    </m:ctrlPr>
                  </m:sSupPr>
                  <m:e>
                    <m:r>
                      <w:rPr>
                        <w:rFonts w:ascii="Cambria Math" w:hAnsi="Cambria Math"/>
                        <w:sz w:val="24"/>
                        <w:szCs w:val="24"/>
                      </w:rPr>
                      <m:t xml:space="preserve"> t</m:t>
                    </m:r>
                  </m:e>
                  <m:sup>
                    <m:r>
                      <w:rPr>
                        <w:rFonts w:ascii="Cambria Math" w:hAnsi="Cambria Math"/>
                        <w:sz w:val="24"/>
                        <w:szCs w:val="24"/>
                      </w:rPr>
                      <m:t>-n</m:t>
                    </m:r>
                  </m:sup>
                </m:sSup>
              </m:oMath>
            </m:oMathPara>
          </w:p>
        </w:tc>
        <w:tc>
          <w:tcPr>
            <w:tcW w:w="496" w:type="dxa"/>
            <w:vAlign w:val="center"/>
          </w:tcPr>
          <w:p w14:paraId="27F08A59" w14:textId="77777777" w:rsidR="00A6464B" w:rsidRPr="00D51F75" w:rsidRDefault="00D51F75" w:rsidP="00D51F75">
            <w:pPr>
              <w:spacing w:before="240" w:after="240" w:line="240" w:lineRule="exact"/>
              <w:jc w:val="center"/>
              <w:rPr>
                <w:sz w:val="24"/>
                <w:szCs w:val="24"/>
              </w:rPr>
            </w:pPr>
            <w:r w:rsidRPr="00D51F75">
              <w:rPr>
                <w:sz w:val="24"/>
                <w:szCs w:val="24"/>
              </w:rPr>
              <w:t>(17)</w:t>
            </w:r>
          </w:p>
        </w:tc>
      </w:tr>
      <w:tr w:rsidR="00D51F75" w:rsidRPr="00F6353A" w14:paraId="2802ADF2" w14:textId="77777777" w:rsidTr="00694420">
        <w:trPr>
          <w:trHeight w:val="598"/>
        </w:trPr>
        <w:tc>
          <w:tcPr>
            <w:tcW w:w="250" w:type="dxa"/>
            <w:vAlign w:val="center"/>
          </w:tcPr>
          <w:p w14:paraId="3B84158A" w14:textId="77777777" w:rsidR="00A6464B" w:rsidRPr="003A2EB4" w:rsidRDefault="00A6464B" w:rsidP="00694420">
            <w:pPr>
              <w:spacing w:before="360" w:after="360" w:line="240" w:lineRule="exact"/>
              <w:jc w:val="center"/>
              <w:rPr>
                <w:rFonts w:ascii="Cambria Math" w:eastAsiaTheme="minorEastAsia" w:hAnsi="Cambria Math"/>
                <w:i/>
                <w:sz w:val="24"/>
                <w:szCs w:val="24"/>
              </w:rPr>
            </w:pPr>
          </w:p>
        </w:tc>
        <w:tc>
          <w:tcPr>
            <w:tcW w:w="9032" w:type="dxa"/>
            <w:vAlign w:val="center"/>
          </w:tcPr>
          <w:p w14:paraId="553B2E11" w14:textId="77777777" w:rsidR="00A6464B" w:rsidRPr="003A2EB4" w:rsidRDefault="00A6464B" w:rsidP="00694420">
            <w:pPr>
              <w:spacing w:before="360" w:after="360" w:line="240" w:lineRule="exact"/>
              <w:jc w:val="center"/>
              <w:rPr>
                <w:rFonts w:ascii="Cambria Math" w:eastAsiaTheme="minorEastAsia" w:hAnsi="Cambria Math"/>
                <w:i/>
                <w:sz w:val="24"/>
                <w:szCs w:val="24"/>
              </w:rPr>
            </w:pPr>
            <m:oMath>
              <m:r>
                <w:rPr>
                  <w:rFonts w:ascii="Cambria Math" w:eastAsiaTheme="minorEastAsia" w:hAnsi="Cambria Math"/>
                  <w:sz w:val="24"/>
                  <w:szCs w:val="24"/>
                </w:rPr>
                <m:t xml:space="preserve">m= -200849 </m:t>
              </m:r>
              <m:sSup>
                <m:sSupPr>
                  <m:ctrlPr>
                    <w:rPr>
                      <w:rFonts w:ascii="Cambria Math" w:eastAsiaTheme="minorEastAsia" w:hAnsi="Cambria Math"/>
                      <w:i/>
                      <w:sz w:val="24"/>
                      <w:szCs w:val="24"/>
                    </w:rPr>
                  </m:ctrlPr>
                </m:sSupPr>
                <m:e>
                  <m:r>
                    <w:rPr>
                      <w:rFonts w:ascii="Cambria Math" w:eastAsiaTheme="minorEastAsia" w:hAnsi="Cambria Math"/>
                      <w:sz w:val="24"/>
                      <w:szCs w:val="24"/>
                    </w:rPr>
                    <m:t>(</m:t>
                  </m:r>
                  <m:box>
                    <m:boxPr>
                      <m:ctrlPr>
                        <w:rPr>
                          <w:rFonts w:ascii="Cambria Math" w:eastAsiaTheme="minorEastAsia" w:hAnsi="Cambria Math"/>
                          <w:i/>
                          <w:sz w:val="24"/>
                          <w:szCs w:val="24"/>
                        </w:rPr>
                      </m:ctrlPr>
                    </m:boxPr>
                    <m:e>
                      <m:argPr>
                        <m:argSz m:val="-1"/>
                      </m:argPr>
                      <m:f>
                        <m:fPr>
                          <m:ctrlPr>
                            <w:rPr>
                              <w:rFonts w:ascii="Cambria Math" w:eastAsiaTheme="minorEastAsia" w:hAnsi="Cambria Math"/>
                              <w:i/>
                              <w:sz w:val="24"/>
                              <w:szCs w:val="24"/>
                            </w:rPr>
                          </m:ctrlPr>
                        </m:fPr>
                        <m:num>
                          <m:r>
                            <w:rPr>
                              <w:rFonts w:ascii="Cambria Math" w:eastAsiaTheme="minorEastAsia" w:hAnsi="Cambria Math"/>
                              <w:sz w:val="24"/>
                              <w:szCs w:val="24"/>
                            </w:rPr>
                            <m:t>C</m:t>
                          </m:r>
                        </m:num>
                        <m:den>
                          <m:r>
                            <w:rPr>
                              <w:rFonts w:ascii="Cambria Math" w:eastAsiaTheme="minorEastAsia" w:hAnsi="Cambria Math"/>
                              <w:sz w:val="24"/>
                              <w:szCs w:val="24"/>
                            </w:rPr>
                            <m:t>H</m:t>
                          </m:r>
                        </m:den>
                      </m:f>
                    </m:e>
                  </m:box>
                  <m:r>
                    <w:rPr>
                      <w:rFonts w:ascii="Cambria Math" w:eastAsiaTheme="minorEastAsia" w:hAnsi="Cambria Math"/>
                      <w:sz w:val="24"/>
                      <w:szCs w:val="24"/>
                    </w:rPr>
                    <m:t>)</m:t>
                  </m:r>
                </m:e>
                <m:sup>
                  <m:r>
                    <w:rPr>
                      <w:rFonts w:ascii="Cambria Math" w:eastAsiaTheme="minorEastAsia" w:hAnsi="Cambria Math"/>
                      <w:sz w:val="24"/>
                      <w:szCs w:val="24"/>
                    </w:rPr>
                    <m:t>4</m:t>
                  </m:r>
                </m:sup>
              </m:sSup>
              <m:r>
                <w:rPr>
                  <w:rFonts w:ascii="Cambria Math" w:eastAsiaTheme="minorEastAsia" w:hAnsi="Cambria Math"/>
                  <w:sz w:val="24"/>
                  <w:szCs w:val="24"/>
                </w:rPr>
                <m:t>+ 122844</m:t>
              </m:r>
              <m:sSup>
                <m:sSupPr>
                  <m:ctrlPr>
                    <w:rPr>
                      <w:rFonts w:ascii="Cambria Math" w:eastAsiaTheme="minorEastAsia" w:hAnsi="Cambria Math"/>
                      <w:i/>
                      <w:sz w:val="24"/>
                      <w:szCs w:val="24"/>
                    </w:rPr>
                  </m:ctrlPr>
                </m:sSupPr>
                <m:e>
                  <m:r>
                    <w:rPr>
                      <w:rFonts w:ascii="Cambria Math" w:eastAsiaTheme="minorEastAsia" w:hAnsi="Cambria Math"/>
                      <w:sz w:val="24"/>
                      <w:szCs w:val="24"/>
                    </w:rPr>
                    <m:t xml:space="preserve"> (</m:t>
                  </m:r>
                  <m:f>
                    <m:fPr>
                      <m:ctrlPr>
                        <w:rPr>
                          <w:rFonts w:ascii="Cambria Math" w:eastAsiaTheme="minorEastAsia" w:hAnsi="Cambria Math"/>
                          <w:i/>
                          <w:sz w:val="24"/>
                          <w:szCs w:val="24"/>
                        </w:rPr>
                      </m:ctrlPr>
                    </m:fPr>
                    <m:num>
                      <m:r>
                        <w:rPr>
                          <w:rFonts w:ascii="Cambria Math" w:eastAsiaTheme="minorEastAsia" w:hAnsi="Cambria Math"/>
                          <w:sz w:val="24"/>
                          <w:szCs w:val="24"/>
                        </w:rPr>
                        <m:t>C</m:t>
                      </m:r>
                    </m:num>
                    <m:den>
                      <m:r>
                        <w:rPr>
                          <w:rFonts w:ascii="Cambria Math" w:eastAsiaTheme="minorEastAsia" w:hAnsi="Cambria Math"/>
                          <w:sz w:val="24"/>
                          <w:szCs w:val="24"/>
                        </w:rPr>
                        <m:t>H</m:t>
                      </m:r>
                    </m:den>
                  </m:f>
                  <m:r>
                    <w:rPr>
                      <w:rFonts w:ascii="Cambria Math" w:eastAsiaTheme="minorEastAsia" w:hAnsi="Cambria Math"/>
                      <w:sz w:val="24"/>
                      <w:szCs w:val="24"/>
                    </w:rPr>
                    <m:t>)</m:t>
                  </m:r>
                </m:e>
                <m:sup>
                  <m:r>
                    <w:rPr>
                      <w:rFonts w:ascii="Cambria Math" w:eastAsiaTheme="minorEastAsia" w:hAnsi="Cambria Math"/>
                      <w:sz w:val="24"/>
                      <w:szCs w:val="24"/>
                    </w:rPr>
                    <m:t>3</m:t>
                  </m:r>
                </m:sup>
              </m:sSup>
              <m:r>
                <w:rPr>
                  <w:rFonts w:ascii="Cambria Math" w:eastAsiaTheme="minorEastAsia" w:hAnsi="Cambria Math"/>
                  <w:sz w:val="24"/>
                  <w:szCs w:val="24"/>
                </w:rPr>
                <m:t xml:space="preserve"> – 28126 </m:t>
              </m:r>
              <m:sSup>
                <m:sSupPr>
                  <m:ctrlPr>
                    <w:rPr>
                      <w:rFonts w:ascii="Cambria Math" w:eastAsiaTheme="minorEastAsia" w:hAnsi="Cambria Math"/>
                      <w:i/>
                      <w:sz w:val="24"/>
                      <w:szCs w:val="24"/>
                    </w:rPr>
                  </m:ctrlPr>
                </m:sSupPr>
                <m:e>
                  <m:r>
                    <w:rPr>
                      <w:rFonts w:ascii="Cambria Math" w:eastAsiaTheme="minorEastAsia" w:hAnsi="Cambria Math"/>
                      <w:sz w:val="24"/>
                      <w:szCs w:val="24"/>
                    </w:rPr>
                    <m:t xml:space="preserve"> (</m:t>
                  </m:r>
                  <m:f>
                    <m:fPr>
                      <m:ctrlPr>
                        <w:rPr>
                          <w:rFonts w:ascii="Cambria Math" w:eastAsiaTheme="minorEastAsia" w:hAnsi="Cambria Math"/>
                          <w:i/>
                          <w:sz w:val="24"/>
                          <w:szCs w:val="24"/>
                        </w:rPr>
                      </m:ctrlPr>
                    </m:fPr>
                    <m:num>
                      <m:r>
                        <w:rPr>
                          <w:rFonts w:ascii="Cambria Math" w:eastAsiaTheme="minorEastAsia" w:hAnsi="Cambria Math"/>
                          <w:sz w:val="24"/>
                          <w:szCs w:val="24"/>
                        </w:rPr>
                        <m:t>C</m:t>
                      </m:r>
                    </m:num>
                    <m:den>
                      <m:r>
                        <w:rPr>
                          <w:rFonts w:ascii="Cambria Math" w:eastAsiaTheme="minorEastAsia" w:hAnsi="Cambria Math"/>
                          <w:sz w:val="24"/>
                          <w:szCs w:val="24"/>
                        </w:rPr>
                        <m:t>H</m:t>
                      </m:r>
                    </m:den>
                  </m:f>
                  <m:r>
                    <w:rPr>
                      <w:rFonts w:ascii="Cambria Math" w:eastAsiaTheme="minorEastAsia" w:hAnsi="Cambria Math"/>
                      <w:sz w:val="24"/>
                      <w:szCs w:val="24"/>
                    </w:rPr>
                    <m:t>)</m:t>
                  </m:r>
                </m:e>
                <m:sup>
                  <m:r>
                    <w:rPr>
                      <w:rFonts w:ascii="Cambria Math" w:eastAsiaTheme="minorEastAsia" w:hAnsi="Cambria Math"/>
                      <w:sz w:val="24"/>
                      <w:szCs w:val="24"/>
                    </w:rPr>
                    <m:t>2</m:t>
                  </m:r>
                </m:sup>
              </m:sSup>
              <m:r>
                <w:rPr>
                  <w:rFonts w:ascii="Cambria Math" w:eastAsiaTheme="minorEastAsia" w:hAnsi="Cambria Math"/>
                  <w:sz w:val="24"/>
                  <w:szCs w:val="24"/>
                </w:rPr>
                <m:t xml:space="preserve"> + 2864.5  (</m:t>
              </m:r>
              <m:f>
                <m:fPr>
                  <m:ctrlPr>
                    <w:rPr>
                      <w:rFonts w:ascii="Cambria Math" w:eastAsiaTheme="minorEastAsia" w:hAnsi="Cambria Math"/>
                      <w:i/>
                      <w:sz w:val="24"/>
                      <w:szCs w:val="24"/>
                    </w:rPr>
                  </m:ctrlPr>
                </m:fPr>
                <m:num>
                  <m:r>
                    <w:rPr>
                      <w:rFonts w:ascii="Cambria Math" w:eastAsiaTheme="minorEastAsia" w:hAnsi="Cambria Math"/>
                      <w:sz w:val="24"/>
                      <w:szCs w:val="24"/>
                    </w:rPr>
                    <m:t>C</m:t>
                  </m:r>
                </m:num>
                <m:den>
                  <m:r>
                    <w:rPr>
                      <w:rFonts w:ascii="Cambria Math" w:eastAsiaTheme="minorEastAsia" w:hAnsi="Cambria Math"/>
                      <w:sz w:val="24"/>
                      <w:szCs w:val="24"/>
                    </w:rPr>
                    <m:t>H</m:t>
                  </m:r>
                </m:den>
              </m:f>
              <m:r>
                <w:rPr>
                  <w:rFonts w:ascii="Cambria Math" w:eastAsiaTheme="minorEastAsia" w:hAnsi="Cambria Math"/>
                  <w:sz w:val="24"/>
                  <w:szCs w:val="24"/>
                </w:rPr>
                <m:t>) - 108.33</m:t>
              </m:r>
            </m:oMath>
            <w:r w:rsidRPr="003A2EB4">
              <w:rPr>
                <w:rFonts w:ascii="Cambria Math" w:eastAsiaTheme="minorEastAsia" w:hAnsi="Cambria Math"/>
                <w:i/>
                <w:sz w:val="24"/>
                <w:szCs w:val="24"/>
              </w:rPr>
              <w:t xml:space="preserve"> </w:t>
            </w:r>
          </w:p>
        </w:tc>
        <w:tc>
          <w:tcPr>
            <w:tcW w:w="496" w:type="dxa"/>
            <w:vAlign w:val="center"/>
          </w:tcPr>
          <w:p w14:paraId="5A632155" w14:textId="77777777" w:rsidR="00A6464B" w:rsidRPr="00D51F75" w:rsidRDefault="00D51F75" w:rsidP="00D51F75">
            <w:pPr>
              <w:spacing w:before="240" w:after="240" w:line="240" w:lineRule="exact"/>
              <w:jc w:val="center"/>
              <w:rPr>
                <w:sz w:val="24"/>
                <w:szCs w:val="24"/>
              </w:rPr>
            </w:pPr>
            <w:r>
              <w:rPr>
                <w:sz w:val="24"/>
                <w:szCs w:val="24"/>
              </w:rPr>
              <w:t>(18a)</w:t>
            </w:r>
          </w:p>
        </w:tc>
      </w:tr>
      <w:tr w:rsidR="00A6464B" w:rsidRPr="00F6353A" w14:paraId="76C46310" w14:textId="77777777" w:rsidTr="00694420">
        <w:trPr>
          <w:trHeight w:val="598"/>
        </w:trPr>
        <w:tc>
          <w:tcPr>
            <w:tcW w:w="250" w:type="dxa"/>
            <w:vAlign w:val="center"/>
          </w:tcPr>
          <w:p w14:paraId="09D7DE41" w14:textId="77777777" w:rsidR="00A6464B" w:rsidRPr="001840B8" w:rsidRDefault="00A6464B" w:rsidP="00694420">
            <w:pPr>
              <w:spacing w:before="120" w:after="120" w:line="360" w:lineRule="auto"/>
              <w:jc w:val="center"/>
              <w:rPr>
                <w:sz w:val="24"/>
                <w:szCs w:val="24"/>
              </w:rPr>
            </w:pPr>
          </w:p>
        </w:tc>
        <w:tc>
          <w:tcPr>
            <w:tcW w:w="9032" w:type="dxa"/>
            <w:vAlign w:val="center"/>
          </w:tcPr>
          <w:p w14:paraId="39762613" w14:textId="77777777" w:rsidR="00A6464B" w:rsidRDefault="00A6464B" w:rsidP="00694420">
            <w:pPr>
              <w:spacing w:before="360" w:after="360" w:line="240" w:lineRule="exact"/>
              <w:jc w:val="center"/>
              <w:rPr>
                <w:rFonts w:eastAsia="Calibri"/>
                <w:sz w:val="24"/>
                <w:szCs w:val="24"/>
              </w:rPr>
            </w:pPr>
            <m:oMath>
              <m:r>
                <w:rPr>
                  <w:rFonts w:ascii="Cambria Math" w:eastAsiaTheme="minorEastAsia" w:hAnsi="Cambria Math"/>
                  <w:sz w:val="24"/>
                  <w:szCs w:val="24"/>
                </w:rPr>
                <m:t>n</m:t>
              </m:r>
              <m:r>
                <w:rPr>
                  <w:rFonts w:ascii="Cambria Math" w:hAnsi="Cambria Math"/>
                  <w:sz w:val="24"/>
                  <w:szCs w:val="24"/>
                </w:rPr>
                <m:t xml:space="preserve">=190028 </m:t>
              </m:r>
              <m:sSup>
                <m:sSupPr>
                  <m:ctrlPr>
                    <w:rPr>
                      <w:rFonts w:ascii="Cambria Math" w:eastAsiaTheme="minorHAnsi" w:hAnsi="Cambria Math"/>
                      <w:i/>
                      <w:sz w:val="24"/>
                      <w:szCs w:val="24"/>
                      <w:lang w:eastAsia="en-US"/>
                    </w:rPr>
                  </m:ctrlPr>
                </m:sSupPr>
                <m:e>
                  <m:r>
                    <w:rPr>
                      <w:rFonts w:ascii="Cambria Math" w:hAnsi="Cambria Math"/>
                      <w:sz w:val="24"/>
                      <w:szCs w:val="24"/>
                    </w:rPr>
                    <m:t>(</m:t>
                  </m:r>
                  <m:f>
                    <m:fPr>
                      <m:ctrlPr>
                        <w:rPr>
                          <w:rFonts w:ascii="Cambria Math" w:eastAsiaTheme="minorHAnsi" w:hAnsi="Cambria Math"/>
                          <w:i/>
                          <w:sz w:val="24"/>
                          <w:szCs w:val="24"/>
                          <w:lang w:eastAsia="en-US"/>
                        </w:rPr>
                      </m:ctrlPr>
                    </m:fPr>
                    <m:num>
                      <m:r>
                        <w:rPr>
                          <w:rFonts w:ascii="Cambria Math" w:hAnsi="Cambria Math"/>
                          <w:sz w:val="24"/>
                          <w:szCs w:val="24"/>
                        </w:rPr>
                        <m:t>C</m:t>
                      </m:r>
                    </m:num>
                    <m:den>
                      <m:r>
                        <w:rPr>
                          <w:rFonts w:ascii="Cambria Math" w:hAnsi="Cambria Math"/>
                          <w:sz w:val="24"/>
                          <w:szCs w:val="24"/>
                        </w:rPr>
                        <m:t>H</m:t>
                      </m:r>
                    </m:den>
                  </m:f>
                  <m:r>
                    <w:rPr>
                      <w:rFonts w:ascii="Cambria Math" w:hAnsi="Cambria Math"/>
                      <w:sz w:val="24"/>
                      <w:szCs w:val="24"/>
                    </w:rPr>
                    <m:t>)</m:t>
                  </m:r>
                </m:e>
                <m:sup>
                  <m:r>
                    <w:rPr>
                      <w:rFonts w:ascii="Cambria Math" w:hAnsi="Cambria Math"/>
                      <w:sz w:val="24"/>
                      <w:szCs w:val="24"/>
                      <w:vertAlign w:val="superscript"/>
                    </w:rPr>
                    <m:t>4</m:t>
                  </m:r>
                </m:sup>
              </m:sSup>
              <m:r>
                <w:rPr>
                  <w:rFonts w:ascii="Cambria Math" w:hAnsi="Cambria Math"/>
                  <w:sz w:val="24"/>
                  <w:szCs w:val="24"/>
                </w:rPr>
                <m:t xml:space="preserve"> – 107476 </m:t>
              </m:r>
              <m:sSup>
                <m:sSupPr>
                  <m:ctrlPr>
                    <w:rPr>
                      <w:rFonts w:ascii="Cambria Math" w:eastAsiaTheme="minorHAnsi" w:hAnsi="Cambria Math"/>
                      <w:i/>
                      <w:sz w:val="24"/>
                      <w:szCs w:val="24"/>
                      <w:lang w:eastAsia="en-US"/>
                    </w:rPr>
                  </m:ctrlPr>
                </m:sSupPr>
                <m:e>
                  <m:r>
                    <w:rPr>
                      <w:rFonts w:ascii="Cambria Math" w:hAnsi="Cambria Math"/>
                      <w:sz w:val="24"/>
                      <w:szCs w:val="24"/>
                    </w:rPr>
                    <m:t>(</m:t>
                  </m:r>
                  <m:f>
                    <m:fPr>
                      <m:ctrlPr>
                        <w:rPr>
                          <w:rFonts w:ascii="Cambria Math" w:eastAsiaTheme="minorHAnsi" w:hAnsi="Cambria Math"/>
                          <w:i/>
                          <w:sz w:val="24"/>
                          <w:szCs w:val="24"/>
                          <w:lang w:eastAsia="en-US"/>
                        </w:rPr>
                      </m:ctrlPr>
                    </m:fPr>
                    <m:num>
                      <m:r>
                        <w:rPr>
                          <w:rFonts w:ascii="Cambria Math" w:hAnsi="Cambria Math"/>
                          <w:sz w:val="24"/>
                          <w:szCs w:val="24"/>
                        </w:rPr>
                        <m:t>C</m:t>
                      </m:r>
                    </m:num>
                    <m:den>
                      <m:r>
                        <w:rPr>
                          <w:rFonts w:ascii="Cambria Math" w:hAnsi="Cambria Math"/>
                          <w:sz w:val="24"/>
                          <w:szCs w:val="24"/>
                        </w:rPr>
                        <m:t>H</m:t>
                      </m:r>
                    </m:den>
                  </m:f>
                  <m:r>
                    <w:rPr>
                      <w:rFonts w:ascii="Cambria Math" w:hAnsi="Cambria Math"/>
                      <w:sz w:val="24"/>
                      <w:szCs w:val="24"/>
                    </w:rPr>
                    <m:t>)</m:t>
                  </m:r>
                </m:e>
                <m:sup>
                  <m:r>
                    <w:rPr>
                      <w:rFonts w:ascii="Cambria Math" w:hAnsi="Cambria Math"/>
                      <w:sz w:val="24"/>
                      <w:szCs w:val="24"/>
                      <w:vertAlign w:val="superscript"/>
                    </w:rPr>
                    <m:t>3</m:t>
                  </m:r>
                </m:sup>
              </m:sSup>
              <m:r>
                <w:rPr>
                  <w:rFonts w:ascii="Cambria Math" w:hAnsi="Cambria Math"/>
                  <w:sz w:val="24"/>
                  <w:szCs w:val="24"/>
                </w:rPr>
                <m:t xml:space="preserve"> + 22747</m:t>
              </m:r>
              <m:sSup>
                <m:sSupPr>
                  <m:ctrlPr>
                    <w:rPr>
                      <w:rFonts w:ascii="Cambria Math" w:eastAsiaTheme="minorHAnsi" w:hAnsi="Cambria Math"/>
                      <w:i/>
                      <w:sz w:val="24"/>
                      <w:szCs w:val="24"/>
                      <w:lang w:eastAsia="en-US"/>
                    </w:rPr>
                  </m:ctrlPr>
                </m:sSupPr>
                <m:e>
                  <m:r>
                    <w:rPr>
                      <w:rFonts w:ascii="Cambria Math" w:hAnsi="Cambria Math"/>
                      <w:sz w:val="24"/>
                      <w:szCs w:val="24"/>
                    </w:rPr>
                    <m:t>(</m:t>
                  </m:r>
                  <m:f>
                    <m:fPr>
                      <m:ctrlPr>
                        <w:rPr>
                          <w:rFonts w:ascii="Cambria Math" w:eastAsiaTheme="minorHAnsi" w:hAnsi="Cambria Math"/>
                          <w:i/>
                          <w:sz w:val="24"/>
                          <w:szCs w:val="24"/>
                          <w:lang w:eastAsia="en-US"/>
                        </w:rPr>
                      </m:ctrlPr>
                    </m:fPr>
                    <m:num>
                      <m:r>
                        <w:rPr>
                          <w:rFonts w:ascii="Cambria Math" w:hAnsi="Cambria Math"/>
                          <w:sz w:val="24"/>
                          <w:szCs w:val="24"/>
                        </w:rPr>
                        <m:t>C</m:t>
                      </m:r>
                    </m:num>
                    <m:den>
                      <m:r>
                        <w:rPr>
                          <w:rFonts w:ascii="Cambria Math" w:hAnsi="Cambria Math"/>
                          <w:sz w:val="24"/>
                          <w:szCs w:val="24"/>
                        </w:rPr>
                        <m:t>H</m:t>
                      </m:r>
                    </m:den>
                  </m:f>
                  <m:r>
                    <w:rPr>
                      <w:rFonts w:ascii="Cambria Math" w:hAnsi="Cambria Math"/>
                      <w:sz w:val="24"/>
                      <w:szCs w:val="24"/>
                    </w:rPr>
                    <m:t>)</m:t>
                  </m:r>
                </m:e>
                <m:sup>
                  <m:r>
                    <w:rPr>
                      <w:rFonts w:ascii="Cambria Math" w:hAnsi="Cambria Math"/>
                      <w:sz w:val="24"/>
                      <w:szCs w:val="24"/>
                      <w:vertAlign w:val="superscript"/>
                    </w:rPr>
                    <m:t>2</m:t>
                  </m:r>
                </m:sup>
              </m:sSup>
              <m:r>
                <w:rPr>
                  <w:rFonts w:ascii="Cambria Math" w:hAnsi="Cambria Math"/>
                  <w:sz w:val="24"/>
                  <w:szCs w:val="24"/>
                </w:rPr>
                <m:t xml:space="preserve"> - 2135.8 (</m:t>
              </m:r>
              <m:f>
                <m:fPr>
                  <m:ctrlPr>
                    <w:rPr>
                      <w:rFonts w:ascii="Cambria Math" w:eastAsiaTheme="minorHAnsi" w:hAnsi="Cambria Math"/>
                      <w:i/>
                      <w:sz w:val="24"/>
                      <w:szCs w:val="24"/>
                      <w:lang w:eastAsia="en-US"/>
                    </w:rPr>
                  </m:ctrlPr>
                </m:fPr>
                <m:num>
                  <m:r>
                    <w:rPr>
                      <w:rFonts w:ascii="Cambria Math" w:hAnsi="Cambria Math"/>
                      <w:sz w:val="24"/>
                      <w:szCs w:val="24"/>
                    </w:rPr>
                    <m:t>C</m:t>
                  </m:r>
                </m:num>
                <m:den>
                  <m:r>
                    <w:rPr>
                      <w:rFonts w:ascii="Cambria Math" w:hAnsi="Cambria Math"/>
                      <w:sz w:val="24"/>
                      <w:szCs w:val="24"/>
                    </w:rPr>
                    <m:t>H</m:t>
                  </m:r>
                </m:den>
              </m:f>
              <m:r>
                <w:rPr>
                  <w:rFonts w:ascii="Cambria Math" w:hAnsi="Cambria Math"/>
                  <w:sz w:val="24"/>
                  <w:szCs w:val="24"/>
                </w:rPr>
                <m:t>) + 74.208</m:t>
              </m:r>
            </m:oMath>
            <w:r>
              <w:rPr>
                <w:rFonts w:eastAsia="Calibri"/>
                <w:sz w:val="24"/>
                <w:szCs w:val="24"/>
              </w:rPr>
              <w:t xml:space="preserve"> </w:t>
            </w:r>
          </w:p>
        </w:tc>
        <w:tc>
          <w:tcPr>
            <w:tcW w:w="496" w:type="dxa"/>
            <w:vAlign w:val="center"/>
          </w:tcPr>
          <w:p w14:paraId="049F852B" w14:textId="77777777" w:rsidR="00A6464B" w:rsidRPr="00757253" w:rsidRDefault="00D51F75" w:rsidP="00D51F75">
            <w:pPr>
              <w:spacing w:before="240" w:after="240" w:line="240" w:lineRule="exact"/>
              <w:rPr>
                <w:sz w:val="24"/>
                <w:szCs w:val="24"/>
                <w:highlight w:val="red"/>
              </w:rPr>
            </w:pPr>
            <w:r>
              <w:rPr>
                <w:sz w:val="24"/>
                <w:szCs w:val="24"/>
                <w:highlight w:val="red"/>
              </w:rPr>
              <w:t xml:space="preserve"> </w:t>
            </w:r>
            <w:r w:rsidRPr="00D51F75">
              <w:rPr>
                <w:sz w:val="24"/>
                <w:szCs w:val="24"/>
              </w:rPr>
              <w:t>(18b)</w:t>
            </w:r>
          </w:p>
        </w:tc>
      </w:tr>
    </w:tbl>
    <w:p w14:paraId="67194F9A" w14:textId="77777777" w:rsidR="00A6464B" w:rsidRDefault="00A6464B" w:rsidP="00A6464B">
      <w:pPr>
        <w:pStyle w:val="Default"/>
        <w:jc w:val="both"/>
        <w:rPr>
          <w:sz w:val="22"/>
          <w:szCs w:val="23"/>
        </w:rPr>
      </w:pPr>
    </w:p>
    <w:p w14:paraId="4CC3217F" w14:textId="4CD16537" w:rsidR="00A6464B" w:rsidRPr="006C1229" w:rsidRDefault="00A6464B" w:rsidP="00662193">
      <w:pPr>
        <w:autoSpaceDE w:val="0"/>
        <w:autoSpaceDN w:val="0"/>
        <w:adjustRightInd w:val="0"/>
        <w:spacing w:after="0" w:line="480" w:lineRule="auto"/>
        <w:jc w:val="both"/>
        <w:rPr>
          <w:rFonts w:ascii="Times New Roman" w:hAnsi="Times New Roman" w:cs="Times New Roman"/>
          <w:sz w:val="24"/>
          <w:szCs w:val="24"/>
        </w:rPr>
      </w:pPr>
      <w:r w:rsidRPr="00516CCC">
        <w:rPr>
          <w:rFonts w:ascii="Times New Roman" w:hAnsi="Times New Roman" w:cs="Times New Roman"/>
          <w:sz w:val="24"/>
          <w:szCs w:val="23"/>
        </w:rPr>
        <w:lastRenderedPageBreak/>
        <w:t>Equation</w:t>
      </w:r>
      <w:r w:rsidR="00D51F75">
        <w:rPr>
          <w:rFonts w:ascii="Times New Roman" w:hAnsi="Times New Roman" w:cs="Times New Roman"/>
          <w:sz w:val="24"/>
          <w:szCs w:val="23"/>
        </w:rPr>
        <w:t>s</w:t>
      </w:r>
      <w:r w:rsidRPr="00516CCC">
        <w:rPr>
          <w:rFonts w:ascii="Times New Roman" w:hAnsi="Times New Roman" w:cs="Times New Roman"/>
          <w:sz w:val="24"/>
          <w:szCs w:val="23"/>
        </w:rPr>
        <w:t xml:space="preserve"> </w:t>
      </w:r>
      <w:r w:rsidR="00D51F75">
        <w:rPr>
          <w:rFonts w:ascii="Times New Roman" w:hAnsi="Times New Roman" w:cs="Times New Roman"/>
          <w:sz w:val="24"/>
          <w:szCs w:val="23"/>
        </w:rPr>
        <w:t>(17), (18a) and (18b) are</w:t>
      </w:r>
      <w:r w:rsidRPr="00516CCC">
        <w:rPr>
          <w:rFonts w:ascii="Times New Roman" w:hAnsi="Times New Roman" w:cs="Times New Roman"/>
          <w:sz w:val="24"/>
          <w:szCs w:val="23"/>
        </w:rPr>
        <w:t xml:space="preserve"> valid for H</w:t>
      </w:r>
      <w:r w:rsidRPr="00516CCC">
        <w:rPr>
          <w:rFonts w:ascii="Times New Roman" w:hAnsi="Times New Roman" w:cs="Times New Roman"/>
          <w:sz w:val="24"/>
          <w:szCs w:val="23"/>
          <w:vertAlign w:val="subscript"/>
        </w:rPr>
        <w:t>2</w:t>
      </w:r>
      <w:r w:rsidRPr="00516CCC">
        <w:rPr>
          <w:rFonts w:ascii="Times New Roman" w:hAnsi="Times New Roman" w:cs="Times New Roman"/>
          <w:sz w:val="24"/>
          <w:szCs w:val="23"/>
        </w:rPr>
        <w:t>/H</w:t>
      </w:r>
      <w:r w:rsidRPr="00516CCC">
        <w:rPr>
          <w:rFonts w:ascii="Times New Roman" w:hAnsi="Times New Roman" w:cs="Times New Roman"/>
          <w:sz w:val="24"/>
          <w:szCs w:val="23"/>
          <w:vertAlign w:val="subscript"/>
        </w:rPr>
        <w:t>2</w:t>
      </w:r>
      <w:r w:rsidRPr="00516CCC">
        <w:rPr>
          <w:rFonts w:ascii="Times New Roman" w:hAnsi="Times New Roman" w:cs="Times New Roman"/>
          <w:sz w:val="24"/>
          <w:szCs w:val="23"/>
        </w:rPr>
        <w:t>O/CH</w:t>
      </w:r>
      <w:r w:rsidRPr="00516CCC">
        <w:rPr>
          <w:rFonts w:ascii="Times New Roman" w:hAnsi="Times New Roman" w:cs="Times New Roman"/>
          <w:sz w:val="24"/>
          <w:szCs w:val="23"/>
          <w:vertAlign w:val="subscript"/>
        </w:rPr>
        <w:t>4</w:t>
      </w:r>
      <w:r w:rsidRPr="00516CCC">
        <w:rPr>
          <w:rFonts w:ascii="Times New Roman" w:hAnsi="Times New Roman" w:cs="Times New Roman"/>
          <w:sz w:val="24"/>
          <w:szCs w:val="23"/>
        </w:rPr>
        <w:t xml:space="preserve"> mixtures at 750°C,</w:t>
      </w:r>
      <w:r w:rsidR="00D51F75">
        <w:rPr>
          <w:rFonts w:ascii="Times New Roman" w:hAnsi="Times New Roman" w:cs="Times New Roman"/>
          <w:sz w:val="24"/>
          <w:szCs w:val="23"/>
        </w:rPr>
        <w:t xml:space="preserve"> but</w:t>
      </w:r>
      <w:r w:rsidRPr="00516CCC">
        <w:rPr>
          <w:rFonts w:ascii="Times New Roman" w:hAnsi="Times New Roman" w:cs="Times New Roman"/>
          <w:sz w:val="24"/>
          <w:szCs w:val="23"/>
        </w:rPr>
        <w:t xml:space="preserve"> different functions must be derived</w:t>
      </w:r>
      <w:r w:rsidRPr="00516CCC">
        <w:rPr>
          <w:rFonts w:ascii="Times New Roman" w:hAnsi="Times New Roman" w:cs="Times New Roman"/>
          <w:sz w:val="24"/>
          <w:szCs w:val="24"/>
        </w:rPr>
        <w:t xml:space="preserve"> when changing</w:t>
      </w:r>
      <w:r w:rsidR="00D51F75">
        <w:rPr>
          <w:rFonts w:ascii="Times New Roman" w:hAnsi="Times New Roman" w:cs="Times New Roman"/>
          <w:sz w:val="24"/>
          <w:szCs w:val="24"/>
        </w:rPr>
        <w:t xml:space="preserve"> temperature and</w:t>
      </w:r>
      <w:r w:rsidRPr="00516CCC">
        <w:rPr>
          <w:rFonts w:ascii="Times New Roman" w:hAnsi="Times New Roman" w:cs="Times New Roman"/>
          <w:sz w:val="24"/>
          <w:szCs w:val="24"/>
        </w:rPr>
        <w:t xml:space="preserve"> specie</w:t>
      </w:r>
      <w:r w:rsidR="00D51F75">
        <w:rPr>
          <w:rFonts w:ascii="Times New Roman" w:hAnsi="Times New Roman" w:cs="Times New Roman"/>
          <w:sz w:val="24"/>
          <w:szCs w:val="24"/>
        </w:rPr>
        <w:t>s</w:t>
      </w:r>
      <w:r w:rsidRPr="00516CCC">
        <w:rPr>
          <w:rFonts w:ascii="Times New Roman" w:hAnsi="Times New Roman" w:cs="Times New Roman"/>
          <w:sz w:val="24"/>
          <w:szCs w:val="24"/>
        </w:rPr>
        <w:t xml:space="preserve"> composition of the fuel inlet. The black lines of </w:t>
      </w:r>
      <w:r w:rsidRPr="00516CCC">
        <w:rPr>
          <w:rFonts w:ascii="Times New Roman" w:hAnsi="Times New Roman" w:cs="Times New Roman"/>
          <w:sz w:val="24"/>
          <w:szCs w:val="23"/>
        </w:rPr>
        <w:t>Figure 4 show the fitting curves</w:t>
      </w:r>
      <w:r w:rsidR="00D51F75">
        <w:rPr>
          <w:rFonts w:ascii="Times New Roman" w:hAnsi="Times New Roman" w:cs="Times New Roman"/>
          <w:sz w:val="24"/>
          <w:szCs w:val="23"/>
        </w:rPr>
        <w:t xml:space="preserve"> from which</w:t>
      </w:r>
      <w:r w:rsidRPr="00516CCC">
        <w:rPr>
          <w:rFonts w:ascii="Times New Roman" w:hAnsi="Times New Roman" w:cs="Times New Roman"/>
          <w:sz w:val="24"/>
          <w:szCs w:val="23"/>
        </w:rPr>
        <w:t xml:space="preserve"> the </w:t>
      </w:r>
      <w:r w:rsidRPr="00873410">
        <w:rPr>
          <w:rFonts w:ascii="Times New Roman" w:hAnsi="Times New Roman" w:cs="Times New Roman"/>
          <w:noProof/>
          <w:sz w:val="24"/>
          <w:szCs w:val="23"/>
        </w:rPr>
        <w:t>intrinsic</w:t>
      </w:r>
      <w:r w:rsidRPr="00516CCC">
        <w:rPr>
          <w:rFonts w:ascii="Times New Roman" w:hAnsi="Times New Roman" w:cs="Times New Roman"/>
          <w:sz w:val="24"/>
          <w:szCs w:val="23"/>
        </w:rPr>
        <w:t xml:space="preserve"> degradation function</w:t>
      </w:r>
      <w:r w:rsidR="00D51F75">
        <w:rPr>
          <w:rFonts w:ascii="Times New Roman" w:hAnsi="Times New Roman" w:cs="Times New Roman"/>
          <w:sz w:val="24"/>
          <w:szCs w:val="23"/>
        </w:rPr>
        <w:t xml:space="preserve"> is obtained</w:t>
      </w:r>
      <w:r w:rsidRPr="00516CCC">
        <w:rPr>
          <w:rFonts w:ascii="Times New Roman" w:hAnsi="Times New Roman" w:cs="Times New Roman"/>
          <w:sz w:val="24"/>
          <w:szCs w:val="23"/>
        </w:rPr>
        <w:t>; it is possible to see that the function gives a better approximation for higher C/H ratios.</w:t>
      </w:r>
    </w:p>
    <w:p w14:paraId="74E8F620" w14:textId="77777777" w:rsidR="00A6464B" w:rsidRPr="00516CCC" w:rsidRDefault="00A6464B" w:rsidP="00662193">
      <w:pPr>
        <w:autoSpaceDE w:val="0"/>
        <w:autoSpaceDN w:val="0"/>
        <w:adjustRightInd w:val="0"/>
        <w:spacing w:after="0" w:line="480" w:lineRule="auto"/>
        <w:jc w:val="both"/>
        <w:rPr>
          <w:rFonts w:ascii="Times New Roman" w:hAnsi="Times New Roman" w:cs="Times New Roman"/>
          <w:sz w:val="20"/>
          <w:szCs w:val="24"/>
        </w:rPr>
      </w:pPr>
      <w:r w:rsidRPr="00516CCC">
        <w:rPr>
          <w:rFonts w:ascii="Times New Roman" w:hAnsi="Times New Roman" w:cs="Times New Roman"/>
          <w:sz w:val="24"/>
          <w:szCs w:val="23"/>
        </w:rPr>
        <w:t xml:space="preserve">The </w:t>
      </w:r>
      <w:r w:rsidRPr="00873410">
        <w:rPr>
          <w:rFonts w:ascii="Times New Roman" w:hAnsi="Times New Roman" w:cs="Times New Roman"/>
          <w:noProof/>
          <w:sz w:val="24"/>
          <w:szCs w:val="23"/>
        </w:rPr>
        <w:t>intrinsic</w:t>
      </w:r>
      <w:r w:rsidRPr="00516CCC">
        <w:rPr>
          <w:rFonts w:ascii="Times New Roman" w:hAnsi="Times New Roman" w:cs="Times New Roman"/>
          <w:sz w:val="24"/>
          <w:szCs w:val="23"/>
        </w:rPr>
        <w:t xml:space="preserve"> degradation rate functions derived from simulations could be applied to evaluate the effect of off-design conditions on SOFC performance and to estimate its economic cost on plant operation.</w:t>
      </w:r>
    </w:p>
    <w:p w14:paraId="28372688" w14:textId="77777777" w:rsidR="00A6464B" w:rsidRDefault="00A6464B" w:rsidP="00A6464B">
      <w:pPr>
        <w:spacing w:after="0" w:line="240" w:lineRule="exact"/>
        <w:ind w:left="284" w:hanging="284"/>
        <w:contextualSpacing/>
        <w:jc w:val="both"/>
        <w:rPr>
          <w:rFonts w:ascii="Times New Roman" w:hAnsi="Times New Roman" w:cs="Times New Roman"/>
          <w:sz w:val="18"/>
          <w:szCs w:val="18"/>
        </w:rPr>
      </w:pPr>
    </w:p>
    <w:p w14:paraId="66CE0173" w14:textId="77777777" w:rsidR="00A6464B" w:rsidRDefault="001C7EF5" w:rsidP="00D51F75">
      <w:pPr>
        <w:autoSpaceDE w:val="0"/>
        <w:autoSpaceDN w:val="0"/>
        <w:adjustRightInd w:val="0"/>
        <w:spacing w:line="240" w:lineRule="auto"/>
        <w:jc w:val="both"/>
        <w:rPr>
          <w:rFonts w:ascii="Times New Roman" w:hAnsi="Times New Roman" w:cs="Times New Roman"/>
          <w:b/>
          <w:bCs/>
          <w:sz w:val="24"/>
          <w:szCs w:val="28"/>
        </w:rPr>
      </w:pPr>
      <w:r w:rsidRPr="001C7EF5">
        <w:rPr>
          <w:rFonts w:ascii="Times New Roman" w:hAnsi="Times New Roman" w:cs="Times New Roman"/>
          <w:b/>
          <w:bCs/>
          <w:sz w:val="24"/>
          <w:szCs w:val="28"/>
        </w:rPr>
        <w:t>6</w:t>
      </w:r>
      <w:r w:rsidR="00A6464B" w:rsidRPr="001C7EF5">
        <w:rPr>
          <w:rFonts w:ascii="Times New Roman" w:hAnsi="Times New Roman" w:cs="Times New Roman"/>
          <w:b/>
          <w:bCs/>
          <w:sz w:val="24"/>
          <w:szCs w:val="28"/>
        </w:rPr>
        <w:t xml:space="preserve"> Case study: sulfur and siloxanes removal in sewage biogas</w:t>
      </w:r>
    </w:p>
    <w:p w14:paraId="081A9503" w14:textId="77777777" w:rsidR="00D51F75" w:rsidRPr="00D51F75" w:rsidRDefault="00D51F75" w:rsidP="00D51F75">
      <w:pPr>
        <w:autoSpaceDE w:val="0"/>
        <w:autoSpaceDN w:val="0"/>
        <w:adjustRightInd w:val="0"/>
        <w:spacing w:line="240" w:lineRule="auto"/>
        <w:jc w:val="both"/>
        <w:rPr>
          <w:rFonts w:ascii="Times New Roman" w:hAnsi="Times New Roman" w:cs="Times New Roman"/>
          <w:sz w:val="20"/>
          <w:szCs w:val="24"/>
        </w:rPr>
      </w:pPr>
    </w:p>
    <w:p w14:paraId="7ED34DB5" w14:textId="77777777" w:rsidR="001C7EF5" w:rsidRPr="001C7EF5" w:rsidRDefault="001C7EF5" w:rsidP="001C7EF5">
      <w:pPr>
        <w:pStyle w:val="EFCFText"/>
        <w:spacing w:after="240" w:line="480" w:lineRule="auto"/>
        <w:rPr>
          <w:rFonts w:ascii="Times New Roman" w:hAnsi="Times New Roman" w:cs="Times New Roman"/>
        </w:rPr>
      </w:pPr>
      <w:r w:rsidRPr="001C7EF5">
        <w:rPr>
          <w:rFonts w:ascii="Times New Roman" w:hAnsi="Times New Roman" w:cs="Times New Roman"/>
        </w:rPr>
        <w:t>A case study is reported below for the removal of H</w:t>
      </w:r>
      <w:r w:rsidRPr="001C7EF5">
        <w:rPr>
          <w:rFonts w:ascii="Times New Roman" w:hAnsi="Times New Roman" w:cs="Times New Roman"/>
          <w:vertAlign w:val="subscript"/>
        </w:rPr>
        <w:t>2</w:t>
      </w:r>
      <w:r w:rsidRPr="001C7EF5">
        <w:rPr>
          <w:rFonts w:ascii="Times New Roman" w:hAnsi="Times New Roman" w:cs="Times New Roman"/>
        </w:rPr>
        <w:t>S and siloxanes from sewage biogas. The raw biogas concentrations for the two contaminants are 30 mg H</w:t>
      </w:r>
      <w:r w:rsidRPr="001C7EF5">
        <w:rPr>
          <w:rFonts w:ascii="Times New Roman" w:hAnsi="Times New Roman" w:cs="Times New Roman"/>
          <w:vertAlign w:val="subscript"/>
        </w:rPr>
        <w:t>2</w:t>
      </w:r>
      <w:r w:rsidRPr="001C7EF5">
        <w:rPr>
          <w:rFonts w:ascii="Times New Roman" w:hAnsi="Times New Roman" w:cs="Times New Roman"/>
        </w:rPr>
        <w:t>S Nm</w:t>
      </w:r>
      <w:r w:rsidRPr="001C7EF5">
        <w:rPr>
          <w:rFonts w:ascii="Times New Roman" w:hAnsi="Times New Roman" w:cs="Times New Roman"/>
          <w:vertAlign w:val="superscript"/>
        </w:rPr>
        <w:t>-3</w:t>
      </w:r>
      <w:r w:rsidRPr="001C7EF5">
        <w:rPr>
          <w:rFonts w:ascii="Times New Roman" w:hAnsi="Times New Roman" w:cs="Times New Roman"/>
        </w:rPr>
        <w:t xml:space="preserve"> and 5.0 mg tot. Si Nm</w:t>
      </w:r>
      <w:r w:rsidRPr="001C7EF5">
        <w:rPr>
          <w:rFonts w:ascii="Times New Roman" w:hAnsi="Times New Roman" w:cs="Times New Roman"/>
          <w:vertAlign w:val="superscript"/>
        </w:rPr>
        <w:t>-3</w:t>
      </w:r>
      <w:r w:rsidRPr="001C7EF5">
        <w:rPr>
          <w:rFonts w:ascii="Times New Roman" w:hAnsi="Times New Roman" w:cs="Times New Roman"/>
        </w:rPr>
        <w:t>, respectively (5.0 mg tot. Si Nm</w:t>
      </w:r>
      <w:r w:rsidRPr="001C7EF5">
        <w:rPr>
          <w:rFonts w:ascii="Times New Roman" w:hAnsi="Times New Roman" w:cs="Times New Roman"/>
          <w:vertAlign w:val="superscript"/>
        </w:rPr>
        <w:t>-3</w:t>
      </w:r>
      <w:r w:rsidRPr="001C7EF5">
        <w:rPr>
          <w:rFonts w:ascii="Times New Roman" w:hAnsi="Times New Roman" w:cs="Times New Roman"/>
        </w:rPr>
        <w:t xml:space="preserve"> corresponds also to 13.2 mg Nm</w:t>
      </w:r>
      <w:r w:rsidRPr="001C7EF5">
        <w:rPr>
          <w:rFonts w:ascii="Times New Roman" w:hAnsi="Times New Roman" w:cs="Times New Roman"/>
          <w:vertAlign w:val="superscript"/>
        </w:rPr>
        <w:t>-3</w:t>
      </w:r>
      <w:r w:rsidRPr="001C7EF5">
        <w:rPr>
          <w:rFonts w:ascii="Times New Roman" w:hAnsi="Times New Roman" w:cs="Times New Roman"/>
        </w:rPr>
        <w:t>, or 1 ppm(v), of D4). The removal is carried out through adsorption beds based on activated carbons (AC). For siloxanes removal, the overall Silicon amount is modeled through an equivalent amount of D4-compound (in WWTPs, D5 and D4 are the most abundant siloxanes found in biogas).</w:t>
      </w:r>
    </w:p>
    <w:p w14:paraId="0B590CBF" w14:textId="77777777" w:rsidR="001C7EF5" w:rsidRDefault="001C7EF5" w:rsidP="001C7EF5">
      <w:pPr>
        <w:pStyle w:val="EFCFText"/>
        <w:spacing w:after="240" w:line="480" w:lineRule="auto"/>
        <w:rPr>
          <w:rFonts w:ascii="Times New Roman" w:hAnsi="Times New Roman" w:cs="Times New Roman"/>
        </w:rPr>
      </w:pPr>
      <w:r w:rsidRPr="001C7EF5">
        <w:rPr>
          <w:rFonts w:ascii="Times New Roman" w:hAnsi="Times New Roman" w:cs="Times New Roman"/>
        </w:rPr>
        <w:t>The clean-up layout is based on two series-connected vessels, each one filled with an adsorbent material (activated carbon) selective for the removal of only one contaminant.</w:t>
      </w:r>
      <w:r>
        <w:rPr>
          <w:rFonts w:ascii="Times New Roman" w:hAnsi="Times New Roman" w:cs="Times New Roman"/>
        </w:rPr>
        <w:t xml:space="preserve"> </w:t>
      </w:r>
    </w:p>
    <w:p w14:paraId="724AB5C1" w14:textId="77777777" w:rsidR="001C7EF5" w:rsidRPr="001C7EF5" w:rsidRDefault="001C7EF5" w:rsidP="001C7EF5">
      <w:pPr>
        <w:pStyle w:val="EFCFText"/>
        <w:spacing w:line="480" w:lineRule="auto"/>
        <w:rPr>
          <w:rFonts w:ascii="Times New Roman" w:hAnsi="Times New Roman" w:cs="Times New Roman"/>
        </w:rPr>
      </w:pPr>
      <w:r w:rsidRPr="001C7EF5">
        <w:rPr>
          <w:rFonts w:ascii="Times New Roman" w:hAnsi="Times New Roman" w:cs="Times New Roman"/>
        </w:rPr>
        <w:t>The adsorption kinetics is modeled through the Langmuir isotherm:</w:t>
      </w:r>
    </w:p>
    <w:p w14:paraId="372B9A0F" w14:textId="77777777" w:rsidR="001C7EF5" w:rsidRDefault="001C7EF5" w:rsidP="001C7EF5">
      <w:pPr>
        <w:pStyle w:val="EFCF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505"/>
        <w:gridCol w:w="561"/>
      </w:tblGrid>
      <w:tr w:rsidR="001C7EF5" w14:paraId="0778CF67" w14:textId="77777777" w:rsidTr="00694420">
        <w:tc>
          <w:tcPr>
            <w:tcW w:w="562" w:type="dxa"/>
            <w:vAlign w:val="center"/>
          </w:tcPr>
          <w:p w14:paraId="1EC20F7D" w14:textId="77777777" w:rsidR="001C7EF5" w:rsidRDefault="001C7EF5" w:rsidP="00694420">
            <w:pPr>
              <w:pStyle w:val="EFCFText"/>
              <w:jc w:val="center"/>
            </w:pPr>
          </w:p>
        </w:tc>
        <w:tc>
          <w:tcPr>
            <w:tcW w:w="8505" w:type="dxa"/>
            <w:vAlign w:val="center"/>
          </w:tcPr>
          <w:p w14:paraId="15D8E051" w14:textId="77777777" w:rsidR="001C7EF5" w:rsidRDefault="009442A0" w:rsidP="001C7EF5">
            <w:pPr>
              <w:pStyle w:val="EFCFText"/>
              <w:spacing w:before="240" w:after="240"/>
              <w:jc w:val="center"/>
            </w:pPr>
            <m:oMathPara>
              <m:oMath>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e</m:t>
                        </m:r>
                      </m:sub>
                    </m:sSub>
                  </m:num>
                  <m:den>
                    <m:sSub>
                      <m:sSubPr>
                        <m:ctrlPr>
                          <w:rPr>
                            <w:rFonts w:ascii="Cambria Math" w:hAnsi="Cambria Math"/>
                            <w:i/>
                          </w:rPr>
                        </m:ctrlPr>
                      </m:sSubPr>
                      <m:e>
                        <m:r>
                          <w:rPr>
                            <w:rFonts w:ascii="Cambria Math" w:hAnsi="Cambria Math"/>
                          </w:rPr>
                          <m:t>q</m:t>
                        </m:r>
                      </m:e>
                      <m:sub>
                        <m:r>
                          <w:rPr>
                            <w:rFonts w:ascii="Cambria Math" w:hAnsi="Cambria Math"/>
                          </w:rPr>
                          <m:t>s</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L</m:t>
                        </m:r>
                      </m:sub>
                    </m:sSub>
                    <m:sSub>
                      <m:sSubPr>
                        <m:ctrlPr>
                          <w:rPr>
                            <w:rFonts w:ascii="Cambria Math" w:hAnsi="Cambria Math"/>
                            <w:i/>
                          </w:rPr>
                        </m:ctrlPr>
                      </m:sSubPr>
                      <m:e>
                        <m:r>
                          <w:rPr>
                            <w:rFonts w:ascii="Cambria Math" w:hAnsi="Cambria Math"/>
                          </w:rPr>
                          <m:t>C</m:t>
                        </m:r>
                      </m:e>
                      <m:sub>
                        <m:r>
                          <w:rPr>
                            <w:rFonts w:ascii="Cambria Math" w:hAnsi="Cambria Math"/>
                          </w:rPr>
                          <m:t>0</m:t>
                        </m:r>
                      </m:sub>
                    </m:sSub>
                  </m:num>
                  <m:den>
                    <m:r>
                      <w:rPr>
                        <w:rFonts w:ascii="Cambria Math" w:hAnsi="Cambria Math"/>
                      </w:rPr>
                      <m:t>1+</m:t>
                    </m:r>
                    <m:sSub>
                      <m:sSubPr>
                        <m:ctrlPr>
                          <w:rPr>
                            <w:rFonts w:ascii="Cambria Math" w:hAnsi="Cambria Math"/>
                            <w:i/>
                          </w:rPr>
                        </m:ctrlPr>
                      </m:sSubPr>
                      <m:e>
                        <m:r>
                          <w:rPr>
                            <w:rFonts w:ascii="Cambria Math" w:hAnsi="Cambria Math"/>
                          </w:rPr>
                          <m:t>K</m:t>
                        </m:r>
                      </m:e>
                      <m:sub>
                        <m:r>
                          <w:rPr>
                            <w:rFonts w:ascii="Cambria Math" w:hAnsi="Cambria Math"/>
                          </w:rPr>
                          <m:t>L</m:t>
                        </m:r>
                      </m:sub>
                    </m:sSub>
                    <m:sSub>
                      <m:sSubPr>
                        <m:ctrlPr>
                          <w:rPr>
                            <w:rFonts w:ascii="Cambria Math" w:hAnsi="Cambria Math"/>
                            <w:i/>
                          </w:rPr>
                        </m:ctrlPr>
                      </m:sSubPr>
                      <m:e>
                        <m:r>
                          <w:rPr>
                            <w:rFonts w:ascii="Cambria Math" w:hAnsi="Cambria Math"/>
                          </w:rPr>
                          <m:t>C</m:t>
                        </m:r>
                      </m:e>
                      <m:sub>
                        <m:r>
                          <w:rPr>
                            <w:rFonts w:ascii="Cambria Math" w:hAnsi="Cambria Math"/>
                          </w:rPr>
                          <m:t>0</m:t>
                        </m:r>
                      </m:sub>
                    </m:sSub>
                  </m:den>
                </m:f>
              </m:oMath>
            </m:oMathPara>
          </w:p>
        </w:tc>
        <w:tc>
          <w:tcPr>
            <w:tcW w:w="561" w:type="dxa"/>
            <w:vAlign w:val="center"/>
          </w:tcPr>
          <w:p w14:paraId="3C2235DA" w14:textId="77777777" w:rsidR="001C7EF5" w:rsidRPr="001C7EF5" w:rsidRDefault="001C7EF5" w:rsidP="00694420">
            <w:pPr>
              <w:pStyle w:val="EFCFText"/>
              <w:jc w:val="center"/>
              <w:rPr>
                <w:rFonts w:ascii="Times New Roman" w:hAnsi="Times New Roman" w:cs="Times New Roman"/>
                <w:color w:val="FF0000"/>
              </w:rPr>
            </w:pPr>
            <w:r w:rsidRPr="001C7EF5">
              <w:rPr>
                <w:rFonts w:ascii="Times New Roman" w:hAnsi="Times New Roman" w:cs="Times New Roman"/>
                <w:color w:val="FF0000"/>
              </w:rPr>
              <w:t>(1)</w:t>
            </w:r>
          </w:p>
        </w:tc>
      </w:tr>
    </w:tbl>
    <w:p w14:paraId="40B968C7" w14:textId="77777777" w:rsidR="001C7EF5" w:rsidRDefault="001C7EF5" w:rsidP="00A6464B">
      <w:pPr>
        <w:autoSpaceDE w:val="0"/>
        <w:autoSpaceDN w:val="0"/>
        <w:adjustRightInd w:val="0"/>
        <w:spacing w:after="0" w:line="240" w:lineRule="auto"/>
        <w:jc w:val="both"/>
        <w:rPr>
          <w:rFonts w:ascii="Arial" w:hAnsi="Arial" w:cs="Arial"/>
          <w:szCs w:val="24"/>
        </w:rPr>
      </w:pPr>
    </w:p>
    <w:p w14:paraId="23F56346" w14:textId="77777777" w:rsidR="001C7EF5" w:rsidRDefault="001C7EF5" w:rsidP="00A6464B">
      <w:pPr>
        <w:autoSpaceDE w:val="0"/>
        <w:autoSpaceDN w:val="0"/>
        <w:adjustRightInd w:val="0"/>
        <w:spacing w:after="0" w:line="240" w:lineRule="auto"/>
        <w:jc w:val="both"/>
        <w:rPr>
          <w:rFonts w:ascii="Arial" w:hAnsi="Arial" w:cs="Arial"/>
          <w:szCs w:val="24"/>
        </w:rPr>
      </w:pPr>
    </w:p>
    <w:p w14:paraId="17EE4B20" w14:textId="77777777" w:rsidR="001C7EF5" w:rsidRPr="001C7EF5" w:rsidRDefault="001C7EF5" w:rsidP="001C7EF5">
      <w:pPr>
        <w:pStyle w:val="EFCFText"/>
        <w:spacing w:after="240" w:line="480" w:lineRule="auto"/>
        <w:rPr>
          <w:rFonts w:ascii="Times New Roman" w:hAnsi="Times New Roman" w:cs="Times New Roman"/>
          <w:lang w:val="en-AU"/>
        </w:rPr>
      </w:pPr>
      <w:r w:rsidRPr="001C7EF5">
        <w:rPr>
          <w:rFonts w:ascii="Times New Roman" w:hAnsi="Times New Roman" w:cs="Times New Roman"/>
          <w:lang w:val="en-AU"/>
        </w:rPr>
        <w:t xml:space="preserve">where </w:t>
      </w:r>
      <m:oMath>
        <m:sSub>
          <m:sSubPr>
            <m:ctrlPr>
              <w:rPr>
                <w:rFonts w:ascii="Cambria Math" w:hAnsi="Times New Roman" w:cs="Times New Roman"/>
                <w:i/>
              </w:rPr>
            </m:ctrlPr>
          </m:sSubPr>
          <m:e>
            <m:r>
              <w:rPr>
                <w:rFonts w:ascii="Cambria Math" w:hAnsi="Cambria Math" w:cs="Times New Roman"/>
              </w:rPr>
              <m:t>q</m:t>
            </m:r>
          </m:e>
          <m:sub>
            <m:r>
              <w:rPr>
                <w:rFonts w:ascii="Cambria Math" w:hAnsi="Cambria Math" w:cs="Times New Roman"/>
              </w:rPr>
              <m:t>e</m:t>
            </m:r>
          </m:sub>
        </m:sSub>
      </m:oMath>
      <w:r w:rsidRPr="001C7EF5">
        <w:rPr>
          <w:rFonts w:ascii="Times New Roman" w:hAnsi="Times New Roman" w:cs="Times New Roman"/>
        </w:rPr>
        <w:t xml:space="preserve"> is equilibrium amount of contaminant adsorbed on the solid sorbent material (measured in mg g</w:t>
      </w:r>
      <w:r w:rsidRPr="001C7EF5">
        <w:rPr>
          <w:rFonts w:ascii="Times New Roman" w:hAnsi="Times New Roman" w:cs="Times New Roman"/>
          <w:vertAlign w:val="superscript"/>
        </w:rPr>
        <w:t>-1</w:t>
      </w:r>
      <w:r w:rsidRPr="001C7EF5">
        <w:rPr>
          <w:rFonts w:ascii="Times New Roman" w:hAnsi="Times New Roman" w:cs="Times New Roman"/>
        </w:rPr>
        <w:t xml:space="preserve">), </w:t>
      </w:r>
      <m:oMath>
        <m:sSub>
          <m:sSubPr>
            <m:ctrlPr>
              <w:rPr>
                <w:rFonts w:ascii="Cambria Math" w:hAnsi="Times New Roman" w:cs="Times New Roman"/>
                <w:i/>
              </w:rPr>
            </m:ctrlPr>
          </m:sSubPr>
          <m:e>
            <m:r>
              <w:rPr>
                <w:rFonts w:ascii="Cambria Math" w:hAnsi="Cambria Math" w:cs="Times New Roman"/>
              </w:rPr>
              <m:t>q</m:t>
            </m:r>
          </m:e>
          <m:sub>
            <m:r>
              <w:rPr>
                <w:rFonts w:ascii="Cambria Math" w:hAnsi="Cambria Math" w:cs="Times New Roman"/>
              </w:rPr>
              <m:t>s</m:t>
            </m:r>
          </m:sub>
        </m:sSub>
      </m:oMath>
      <w:r w:rsidRPr="001C7EF5">
        <w:rPr>
          <w:rFonts w:ascii="Times New Roman" w:hAnsi="Times New Roman" w:cs="Times New Roman"/>
        </w:rPr>
        <w:t xml:space="preserve"> is the corresponding saturation value, </w:t>
      </w:r>
      <m:oMath>
        <m:sSub>
          <m:sSubPr>
            <m:ctrlPr>
              <w:rPr>
                <w:rFonts w:ascii="Cambria Math" w:hAnsi="Times New Roman" w:cs="Times New Roman"/>
                <w:i/>
              </w:rPr>
            </m:ctrlPr>
          </m:sSubPr>
          <m:e>
            <m:r>
              <w:rPr>
                <w:rFonts w:ascii="Cambria Math" w:hAnsi="Cambria Math" w:cs="Times New Roman"/>
              </w:rPr>
              <m:t>K</m:t>
            </m:r>
          </m:e>
          <m:sub>
            <m:r>
              <w:rPr>
                <w:rFonts w:ascii="Cambria Math" w:hAnsi="Cambria Math" w:cs="Times New Roman"/>
              </w:rPr>
              <m:t>L</m:t>
            </m:r>
          </m:sub>
        </m:sSub>
      </m:oMath>
      <w:r w:rsidRPr="001C7EF5">
        <w:rPr>
          <w:rFonts w:ascii="Times New Roman" w:hAnsi="Times New Roman" w:cs="Times New Roman"/>
        </w:rPr>
        <w:t xml:space="preserve"> is Langmuir kinetic constant (L mg</w:t>
      </w:r>
      <w:r w:rsidRPr="001C7EF5">
        <w:rPr>
          <w:rFonts w:ascii="Times New Roman" w:hAnsi="Times New Roman" w:cs="Times New Roman"/>
          <w:vertAlign w:val="superscript"/>
        </w:rPr>
        <w:t>-1</w:t>
      </w:r>
      <w:r w:rsidRPr="001C7EF5">
        <w:rPr>
          <w:rFonts w:ascii="Times New Roman" w:hAnsi="Times New Roman" w:cs="Times New Roman"/>
        </w:rPr>
        <w:t xml:space="preserve">) and </w:t>
      </w:r>
      <m:oMath>
        <m:sSub>
          <m:sSubPr>
            <m:ctrlPr>
              <w:rPr>
                <w:rFonts w:ascii="Cambria Math" w:hAnsi="Times New Roman" w:cs="Times New Roman"/>
                <w:i/>
              </w:rPr>
            </m:ctrlPr>
          </m:sSubPr>
          <m:e>
            <m:r>
              <w:rPr>
                <w:rFonts w:ascii="Cambria Math" w:hAnsi="Cambria Math" w:cs="Times New Roman"/>
              </w:rPr>
              <m:t>C</m:t>
            </m:r>
          </m:e>
          <m:sub>
            <m:r>
              <w:rPr>
                <w:rFonts w:ascii="Cambria Math" w:hAnsi="Times New Roman" w:cs="Times New Roman"/>
              </w:rPr>
              <m:t>0</m:t>
            </m:r>
          </m:sub>
        </m:sSub>
      </m:oMath>
      <w:r w:rsidRPr="001C7EF5">
        <w:rPr>
          <w:rFonts w:ascii="Times New Roman" w:hAnsi="Times New Roman" w:cs="Times New Roman"/>
        </w:rPr>
        <w:t xml:space="preserve"> is the contaminant concentration in the feed gas (mg m</w:t>
      </w:r>
      <w:r w:rsidRPr="001C7EF5">
        <w:rPr>
          <w:rFonts w:ascii="Times New Roman" w:hAnsi="Times New Roman" w:cs="Times New Roman"/>
          <w:vertAlign w:val="superscript"/>
        </w:rPr>
        <w:t>-3</w:t>
      </w:r>
      <w:r w:rsidRPr="001C7EF5">
        <w:rPr>
          <w:rFonts w:ascii="Times New Roman" w:hAnsi="Times New Roman" w:cs="Times New Roman"/>
        </w:rPr>
        <w:t xml:space="preserve">). </w:t>
      </w:r>
    </w:p>
    <w:p w14:paraId="0325EDEB" w14:textId="56B464B5" w:rsidR="001C7EF5" w:rsidRDefault="001C7EF5" w:rsidP="001C7EF5">
      <w:pPr>
        <w:pStyle w:val="EFCFText"/>
        <w:spacing w:line="480" w:lineRule="auto"/>
        <w:rPr>
          <w:rFonts w:ascii="Times New Roman" w:hAnsi="Times New Roman" w:cs="Times New Roman"/>
        </w:rPr>
      </w:pPr>
      <w:r w:rsidRPr="001C7EF5">
        <w:rPr>
          <w:rFonts w:ascii="Times New Roman" w:hAnsi="Times New Roman" w:cs="Times New Roman"/>
        </w:rPr>
        <w:lastRenderedPageBreak/>
        <w:t>For H</w:t>
      </w:r>
      <w:r w:rsidRPr="001C7EF5">
        <w:rPr>
          <w:rFonts w:ascii="Times New Roman" w:hAnsi="Times New Roman" w:cs="Times New Roman"/>
          <w:vertAlign w:val="subscript"/>
        </w:rPr>
        <w:t>2</w:t>
      </w:r>
      <w:r w:rsidRPr="001C7EF5">
        <w:rPr>
          <w:rFonts w:ascii="Times New Roman" w:hAnsi="Times New Roman" w:cs="Times New Roman"/>
        </w:rPr>
        <w:t xml:space="preserve">S removal, adsorption kinetics data were taken from the work of Xiao et al. </w:t>
      </w:r>
      <w:r w:rsidRPr="001C7EF5">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"10.1016/j.jhazmat.2007.09.081", "ISSN" : "03043894", "PMID" : "17976901", "abstract" : "In this study, a sodium carbonate impregnated activated carbon (IAC) was applied as the adsorbent for low concentration hydrogen sulfide (H2S) in nitrogen under the anaerobic conditions in a fixed bed. The effects of impregnation, relative humidity, temperature, and the inlet H2S concentration on the adsorption process were intensively investigated. The data of adsorption capacity were correlated by Langmuir isotherm. The results showed that the data fitted the model well within the concentration range studied. The IAC demonstrated more than three times adsorption capacity for H2S under dry conditions, compared with the original activated carbon (AC). It was confirmed that increasing relative humidity enhanced H2S adsorption capacity on both AC and IAC, and the adsorption capacity of H2S decreased slightly with increasing temperature. To predict breakthrough curves, a one-dimension model for the fixed beds packed with porous adsorbents was proposed and numerically solved. Simulation results matched with the experimental data in most part of the breakthrough curves. ?? 2007 Elsevier B.V. All rights reserved.", "author" : [ { "dropping-particle" : "", "family" : "Xiao", "given" : "Yonghou", "non-dropping-particle" : "", "parse-names" : false, "suffix" : "" }, { "dropping-particle" : "", "family" : "Wang", "given" : "Shudong", "non-dropping-particle" : "", "parse-names" : false, "suffix" : "" }, { "dropping-particle" : "", "family" : "Wu", "given" : "Diyong", "non-dropping-particle" : "", "parse-names" : false, "suffix" : "" }, { "dropping-particle" : "", "family" : "Yuan", "given" : "Quan", "non-dropping-particle" : "", "parse-names" : false, "suffix" : "" } ], "container-title" : "Journal of Hazardous Materials", "id" : "ITEM-1", "issue" : "3", "issued" : { "date-parts" : [ [ "2008" ] ] }, "page" : "1193-1200", "title" : "Experimental and simulation study of hydrogen sulfide adsorption on impregnated activated carbon under anaerobic conditions", "type" : "article-journal", "volume" : "153" }, "uris" : [ "http://www.mendeley.com/documents/?uuid=a70a2f74-36ad-4f7f-bf53-87c3f169a25e", "http://www.mendeley.com/documents/?uuid=da63f50b-79d2-4d99-9ff9-aadf5b15e07a" ] } ], "mendeley" : { "formattedCitation" : "[48]", "plainTextFormattedCitation" : "[48]", "previouslyFormattedCitation" : "[47]" }, "properties" : { "noteIndex" : 0 }, "schema" : "https://github.com/citation-style-language/schema/raw/master/csl-citation.json" }</w:instrText>
      </w:r>
      <w:r w:rsidRPr="001C7EF5">
        <w:rPr>
          <w:rFonts w:ascii="Times New Roman" w:hAnsi="Times New Roman" w:cs="Times New Roman"/>
        </w:rPr>
        <w:fldChar w:fldCharType="separate"/>
      </w:r>
      <w:r w:rsidR="001C1C39" w:rsidRPr="001C1C39">
        <w:rPr>
          <w:rFonts w:ascii="Times New Roman" w:hAnsi="Times New Roman" w:cs="Times New Roman"/>
          <w:noProof/>
        </w:rPr>
        <w:t>[48]</w:t>
      </w:r>
      <w:r w:rsidRPr="001C7EF5">
        <w:rPr>
          <w:rFonts w:ascii="Times New Roman" w:hAnsi="Times New Roman" w:cs="Times New Roman"/>
        </w:rPr>
        <w:fldChar w:fldCharType="end"/>
      </w:r>
      <w:r w:rsidRPr="001C7EF5">
        <w:rPr>
          <w:rFonts w:ascii="Times New Roman" w:hAnsi="Times New Roman" w:cs="Times New Roman"/>
        </w:rPr>
        <w:t xml:space="preserve">. For D4 removal, kinetics data were taken from the work of Ricaurte Ortega and Subrenat </w:t>
      </w:r>
      <w:r w:rsidRPr="001C7EF5">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"DOI" : "10.1080/09593330903057540", "ISBN" : "0959-3330 (Print)\\n0959-3330 (Linking)", "ISSN" : "0959-3330", "PMID" : "19886432", "abstract" : "Siloxanes are widely used in different applications: health care, dry cleaning, household products, paints and coatings, paper, personal care, for example. This explains their prevalence in the environment. Because of their volatile nature, most of the time they are dispersed in the atmosphere, but they can also be present in the slurry from landfills. During anaerobic digestion, when the temperature goes up to 60 degrees C, siloxanes are volatilized, forming part of the biogas. Operational problems using biogas to produce energy, heat and hydrogen have been identified. At high temperatures the siloxanes are transformed into silicate dioxide (commonly called sand transmission). These white deposits may adhere to metal or catalytic substrate surfaces, seriously reducing equipment efficiency, and this can be a reason for changing equipment warranties. Consequently, elimination of siloxanes has become very important. Unfortunately, relatively little information can be found on this subject. Nevertheless some authors have described different analytical methods for siloxane quantification, and recent studies have looked at the presence of siloxanes in landfills and the restriction on the energy recovery equipment using the biogas produced. The growing consumption of siloxanes and silicones in industrial processes consequently increase their prevalence in the environment, hampering the use of biogas as a source of 'green energy'. Therefore, the principal focus of this study is the treatment of siloxanes. Their elimination was carried out using an adsorption process with four different porous materials: activated carbon cloths (ACC), granular activated carbon (GAC), zeolite and silica gel. Two representative siloxane compounds were used in this study, hexamethyldisiloxane (L2) and octamethylcyclotetrasiloxane (D4). Adsorption kinetics and isotherms in batch reactors were performed. It was observed that the mass transfer into the porous material was more rapid for the activated carbon than for the zeolite and silica gel, congruent with the porous structure of the material. Moreover, it was found that D4 is more adsorbable than L2, due to possible interactions between the solid surface and the physical structure of the cyclic compound (D4). The influence of humidity and temperature were also studied. The increase in the temperature reduced the adsorption capacities. The influence of humidity on the adsorption was investigated under dry air and humid air at 70%. \u2026", "author" : [ { "dropping-particle" : "", "family" : "Ricaurte Ortega", "given" : "D", "non-dropping-particle" : "", "parse-names" : false, "suffix" : "" }, { "dropping-particle" : "", "family" : "Subrenat", "given" : "a", "non-dropping-particle" : "", "parse-names" : false, "suffix" : "" } ], "container-title" : "Environmental technology", "id" : "ITEM-1", "issue" : "10", "issued" : { "date-parts" : [ [ "2009" ] ] }, "page" : "1073-1083", "title" : "Siloxane treatment by adsorption into porous materials.", "type" : "article-journal", "volume" : "30" }, "uris" : [ "http://www.mendeley.com/documents/?uuid=9de424ba-0ebd-47d1-9da2-c11654790346", "http://www.mendeley.com/documents/?uuid=e417a46e-8065-473d-9c57-b33e8ab87487" ] } ], "mendeley" : { "formattedCitation" : "[49]", "plainTextFormattedCitation" : "[49]", "previouslyFormattedCitation" : "[48]" }, "properties" : { "noteIndex" : 0 }, "schema" : "https://github.com/citation-style-language/schema/raw/master/csl-citation.json" }</w:instrText>
      </w:r>
      <w:r w:rsidRPr="001C7EF5">
        <w:rPr>
          <w:rFonts w:ascii="Times New Roman" w:hAnsi="Times New Roman" w:cs="Times New Roman"/>
        </w:rPr>
        <w:fldChar w:fldCharType="separate"/>
      </w:r>
      <w:r w:rsidR="001C1C39" w:rsidRPr="001C1C39">
        <w:rPr>
          <w:rFonts w:ascii="Times New Roman" w:hAnsi="Times New Roman" w:cs="Times New Roman"/>
          <w:noProof/>
        </w:rPr>
        <w:t>[49]</w:t>
      </w:r>
      <w:r w:rsidRPr="001C7EF5">
        <w:rPr>
          <w:rFonts w:ascii="Times New Roman" w:hAnsi="Times New Roman" w:cs="Times New Roman"/>
        </w:rPr>
        <w:fldChar w:fldCharType="end"/>
      </w:r>
      <w:r w:rsidRPr="001C7EF5">
        <w:rPr>
          <w:rFonts w:ascii="Times New Roman" w:hAnsi="Times New Roman" w:cs="Times New Roman"/>
        </w:rPr>
        <w:t xml:space="preserve">. A summary of </w:t>
      </w:r>
      <w:r w:rsidRPr="00873410">
        <w:rPr>
          <w:rFonts w:ascii="Times New Roman" w:hAnsi="Times New Roman" w:cs="Times New Roman"/>
          <w:noProof/>
        </w:rPr>
        <w:t>kinetic</w:t>
      </w:r>
      <w:r w:rsidRPr="001C7EF5">
        <w:rPr>
          <w:rFonts w:ascii="Times New Roman" w:hAnsi="Times New Roman" w:cs="Times New Roman"/>
        </w:rPr>
        <w:t xml:space="preserve"> data used to model the biogas clean-up unit is given in Table 2. The resulting breakthrough time, </w:t>
      </w:r>
      <w:r w:rsidRPr="00873410">
        <w:rPr>
          <w:rFonts w:ascii="Times New Roman" w:hAnsi="Times New Roman" w:cs="Times New Roman"/>
          <w:i/>
          <w:noProof/>
          <w:color w:val="000000"/>
          <w:szCs w:val="22"/>
        </w:rPr>
        <w:t>t</w:t>
      </w:r>
      <w:r w:rsidRPr="00873410">
        <w:rPr>
          <w:rFonts w:ascii="Times New Roman" w:hAnsi="Times New Roman" w:cs="Times New Roman"/>
          <w:i/>
          <w:noProof/>
          <w:color w:val="000000"/>
          <w:szCs w:val="22"/>
          <w:vertAlign w:val="subscript"/>
        </w:rPr>
        <w:t>b</w:t>
      </w:r>
      <w:r w:rsidRPr="001C7EF5">
        <w:rPr>
          <w:rFonts w:ascii="Times New Roman" w:hAnsi="Times New Roman" w:cs="Times New Roman"/>
        </w:rPr>
        <w:t xml:space="preserve">, is also </w:t>
      </w:r>
      <w:r w:rsidRPr="00873410">
        <w:rPr>
          <w:rFonts w:ascii="Times New Roman" w:hAnsi="Times New Roman" w:cs="Times New Roman"/>
          <w:noProof/>
        </w:rPr>
        <w:t>given in Table 2</w:t>
      </w:r>
      <w:r w:rsidRPr="001C7EF5">
        <w:rPr>
          <w:rFonts w:ascii="Times New Roman" w:hAnsi="Times New Roman" w:cs="Times New Roman"/>
        </w:rPr>
        <w:t>. The breakthrough time has been calculated for a biogas flow rate of 51 Nm</w:t>
      </w:r>
      <w:r w:rsidRPr="001C7EF5">
        <w:rPr>
          <w:rFonts w:ascii="Times New Roman" w:hAnsi="Times New Roman" w:cs="Times New Roman"/>
          <w:vertAlign w:val="superscript"/>
        </w:rPr>
        <w:t>3</w:t>
      </w:r>
      <w:r w:rsidRPr="001C7EF5">
        <w:rPr>
          <w:rFonts w:ascii="Times New Roman" w:hAnsi="Times New Roman" w:cs="Times New Roman"/>
        </w:rPr>
        <w:t xml:space="preserve"> hr</w:t>
      </w:r>
      <w:r w:rsidRPr="001C7EF5">
        <w:rPr>
          <w:rFonts w:ascii="Times New Roman" w:hAnsi="Times New Roman" w:cs="Times New Roman"/>
          <w:vertAlign w:val="superscript"/>
        </w:rPr>
        <w:t>-1</w:t>
      </w:r>
      <w:r w:rsidRPr="001C7EF5">
        <w:rPr>
          <w:rFonts w:ascii="Times New Roman" w:hAnsi="Times New Roman" w:cs="Times New Roman"/>
        </w:rPr>
        <w:t xml:space="preserve"> and a catalyst amount of 250 kg per vessel. (The biogas flow rate is sufficient to feed a 174 kW electric SOFC, assuming a CH</w:t>
      </w:r>
      <w:r w:rsidRPr="001C7EF5">
        <w:rPr>
          <w:rFonts w:ascii="Times New Roman" w:hAnsi="Times New Roman" w:cs="Times New Roman"/>
          <w:vertAlign w:val="subscript"/>
        </w:rPr>
        <w:t>4</w:t>
      </w:r>
      <w:r w:rsidRPr="001C7EF5">
        <w:rPr>
          <w:rFonts w:ascii="Times New Roman" w:hAnsi="Times New Roman" w:cs="Times New Roman"/>
        </w:rPr>
        <w:t xml:space="preserve"> vol. </w:t>
      </w:r>
      <w:r w:rsidR="00873410">
        <w:rPr>
          <w:rFonts w:ascii="Times New Roman" w:hAnsi="Times New Roman" w:cs="Times New Roman"/>
        </w:rPr>
        <w:t xml:space="preserve">the </w:t>
      </w:r>
      <w:r w:rsidRPr="00873410">
        <w:rPr>
          <w:rFonts w:ascii="Times New Roman" w:hAnsi="Times New Roman" w:cs="Times New Roman"/>
          <w:noProof/>
        </w:rPr>
        <w:t>fraction</w:t>
      </w:r>
      <w:r w:rsidR="000448B9">
        <w:rPr>
          <w:rFonts w:ascii="Times New Roman" w:hAnsi="Times New Roman" w:cs="Times New Roman"/>
        </w:rPr>
        <w:t xml:space="preserve"> of 64%).</w:t>
      </w:r>
    </w:p>
    <w:p w14:paraId="6125020C" w14:textId="77777777" w:rsidR="001C7EF5" w:rsidRPr="001C7EF5" w:rsidRDefault="001C7EF5" w:rsidP="001C7EF5">
      <w:pPr>
        <w:pStyle w:val="EFCFText"/>
        <w:spacing w:line="480" w:lineRule="auto"/>
        <w:rPr>
          <w:rFonts w:ascii="Times New Roman" w:hAnsi="Times New Roman" w:cs="Times New Roman"/>
        </w:rPr>
      </w:pPr>
      <w:r w:rsidRPr="001C7EF5">
        <w:rPr>
          <w:rFonts w:ascii="Times New Roman" w:hAnsi="Times New Roman" w:cs="Times New Roman"/>
        </w:rPr>
        <w:t>In Table 3, economic considerations for the operating cost (OPEX) of the clean-up beds are given. To remove the above-mentioned amounts of H</w:t>
      </w:r>
      <w:r w:rsidRPr="001C7EF5">
        <w:rPr>
          <w:rFonts w:ascii="Times New Roman" w:hAnsi="Times New Roman" w:cs="Times New Roman"/>
          <w:vertAlign w:val="subscript"/>
        </w:rPr>
        <w:t>2</w:t>
      </w:r>
      <w:r w:rsidRPr="001C7EF5">
        <w:rPr>
          <w:rFonts w:ascii="Times New Roman" w:hAnsi="Times New Roman" w:cs="Times New Roman"/>
        </w:rPr>
        <w:t>S and D4, the overall OPEX would be around 35,000 $ yr</w:t>
      </w:r>
      <w:r w:rsidRPr="001C7EF5">
        <w:rPr>
          <w:rFonts w:ascii="Times New Roman" w:hAnsi="Times New Roman" w:cs="Times New Roman"/>
          <w:vertAlign w:val="superscript"/>
        </w:rPr>
        <w:t>-1</w:t>
      </w:r>
      <w:r w:rsidRPr="001C7EF5">
        <w:rPr>
          <w:rFonts w:ascii="Times New Roman" w:hAnsi="Times New Roman" w:cs="Times New Roman"/>
        </w:rPr>
        <w:t>. Taking into account a capacity factor of the SOFC of about 95%, the specific operating cost for the clean-up beds is calculated as 2.4 $cent kWh</w:t>
      </w:r>
      <w:r w:rsidRPr="001C7EF5">
        <w:rPr>
          <w:rFonts w:ascii="Times New Roman" w:hAnsi="Times New Roman" w:cs="Times New Roman"/>
          <w:vertAlign w:val="superscript"/>
        </w:rPr>
        <w:t>-1</w:t>
      </w:r>
      <w:r w:rsidRPr="001C7EF5">
        <w:rPr>
          <w:rFonts w:ascii="Times New Roman" w:hAnsi="Times New Roman" w:cs="Times New Roman"/>
        </w:rPr>
        <w:t xml:space="preserve"> (electric), which corresponds to 2.1–2.2 €cent kWh</w:t>
      </w:r>
      <w:r w:rsidRPr="001C7EF5">
        <w:rPr>
          <w:rFonts w:ascii="Times New Roman" w:hAnsi="Times New Roman" w:cs="Times New Roman"/>
          <w:vertAlign w:val="superscript"/>
        </w:rPr>
        <w:t>-1</w:t>
      </w:r>
      <w:r w:rsidRPr="001C7EF5">
        <w:rPr>
          <w:rFonts w:ascii="Times New Roman" w:hAnsi="Times New Roman" w:cs="Times New Roman"/>
        </w:rPr>
        <w:t xml:space="preserve"> (the average euro-dollar conversion in 2015 was ~0.90). For instance, in EU-28 the average electricity price for medium-size industrial users is almost 9 €cent kWh</w:t>
      </w:r>
      <w:r w:rsidRPr="001C7EF5">
        <w:rPr>
          <w:rFonts w:ascii="Times New Roman" w:hAnsi="Times New Roman" w:cs="Times New Roman"/>
          <w:vertAlign w:val="superscript"/>
        </w:rPr>
        <w:t>-1</w:t>
      </w:r>
      <w:r w:rsidRPr="001C7EF5">
        <w:rPr>
          <w:rFonts w:ascii="Times New Roman" w:hAnsi="Times New Roman" w:cs="Times New Roman"/>
        </w:rPr>
        <w:t xml:space="preserve"> (without taxes). Therefore, integrated biogas-SOFC plants should compete against this value (it is worth noting that some </w:t>
      </w:r>
      <w:r w:rsidRPr="00873410">
        <w:rPr>
          <w:rFonts w:ascii="Times New Roman" w:hAnsi="Times New Roman" w:cs="Times New Roman"/>
          <w:noProof/>
        </w:rPr>
        <w:t>extra</w:t>
      </w:r>
      <w:r w:rsidRPr="001C7EF5">
        <w:rPr>
          <w:rFonts w:ascii="Times New Roman" w:hAnsi="Times New Roman" w:cs="Times New Roman"/>
        </w:rPr>
        <w:t xml:space="preserve"> revenue results for the SOFC running in CHP mode due to heat recovery from the exhaust stream).  </w:t>
      </w:r>
    </w:p>
    <w:p w14:paraId="28CC418E" w14:textId="77777777" w:rsidR="004147EE" w:rsidRDefault="004147EE" w:rsidP="00F87C08">
      <w:pPr>
        <w:pStyle w:val="EFCFSubtitle1"/>
        <w:tabs>
          <w:tab w:val="left" w:pos="1418"/>
        </w:tabs>
        <w:jc w:val="left"/>
        <w:rPr>
          <w:rFonts w:ascii="Times New Roman" w:hAnsi="Times New Roman" w:cs="Times New Roman"/>
          <w:sz w:val="24"/>
          <w:szCs w:val="24"/>
        </w:rPr>
      </w:pPr>
    </w:p>
    <w:p w14:paraId="7528C338" w14:textId="77777777" w:rsidR="006B77C6" w:rsidRPr="00F87C08" w:rsidRDefault="00F87C08" w:rsidP="00F87C08">
      <w:pPr>
        <w:pStyle w:val="EFCFSubtitle1"/>
        <w:tabs>
          <w:tab w:val="left" w:pos="1418"/>
        </w:tabs>
        <w:jc w:val="left"/>
        <w:rPr>
          <w:rFonts w:ascii="Times New Roman" w:hAnsi="Times New Roman" w:cs="Times New Roman"/>
          <w:sz w:val="24"/>
          <w:szCs w:val="24"/>
        </w:rPr>
      </w:pPr>
      <w:r>
        <w:rPr>
          <w:rFonts w:ascii="Times New Roman" w:hAnsi="Times New Roman" w:cs="Times New Roman"/>
          <w:sz w:val="24"/>
          <w:szCs w:val="24"/>
        </w:rPr>
        <w:t xml:space="preserve">7 </w:t>
      </w:r>
      <w:r w:rsidR="006B77C6" w:rsidRPr="00F87C08">
        <w:rPr>
          <w:rFonts w:ascii="Times New Roman" w:hAnsi="Times New Roman" w:cs="Times New Roman"/>
          <w:sz w:val="24"/>
          <w:szCs w:val="24"/>
        </w:rPr>
        <w:t>Conclusions</w:t>
      </w:r>
    </w:p>
    <w:p w14:paraId="37D63D7F" w14:textId="77777777" w:rsidR="006B77C6" w:rsidRPr="00F87C08" w:rsidRDefault="006B77C6" w:rsidP="006B77C6">
      <w:pPr>
        <w:pStyle w:val="EFCFText"/>
        <w:rPr>
          <w:rFonts w:ascii="Times New Roman" w:hAnsi="Times New Roman" w:cs="Times New Roman"/>
        </w:rPr>
      </w:pPr>
    </w:p>
    <w:p w14:paraId="3101F83F" w14:textId="45FC385E" w:rsidR="006B77C6" w:rsidRPr="00F87C08" w:rsidRDefault="006B77C6" w:rsidP="00F87C08">
      <w:pPr>
        <w:pStyle w:val="EFCFText"/>
        <w:spacing w:line="480" w:lineRule="auto"/>
        <w:rPr>
          <w:rFonts w:ascii="Times New Roman" w:hAnsi="Times New Roman" w:cs="Times New Roman"/>
        </w:rPr>
      </w:pPr>
      <w:r w:rsidRPr="00F87C08">
        <w:rPr>
          <w:rFonts w:ascii="Times New Roman" w:hAnsi="Times New Roman" w:cs="Times New Roman"/>
        </w:rPr>
        <w:t xml:space="preserve">A variety of contaminants must be dealt with when </w:t>
      </w:r>
      <w:r w:rsidRPr="00873410">
        <w:rPr>
          <w:rFonts w:ascii="Times New Roman" w:hAnsi="Times New Roman" w:cs="Times New Roman"/>
          <w:noProof/>
        </w:rPr>
        <w:t>practical</w:t>
      </w:r>
      <w:r w:rsidRPr="00F87C08">
        <w:rPr>
          <w:rFonts w:ascii="Times New Roman" w:hAnsi="Times New Roman" w:cs="Times New Roman"/>
        </w:rPr>
        <w:t xml:space="preserve"> fuels alternative to Natural Gas are considered. For instance, H</w:t>
      </w:r>
      <w:r w:rsidRPr="00F87C08">
        <w:rPr>
          <w:rFonts w:ascii="Times New Roman" w:hAnsi="Times New Roman" w:cs="Times New Roman"/>
          <w:vertAlign w:val="subscript"/>
        </w:rPr>
        <w:t>2</w:t>
      </w:r>
      <w:r w:rsidRPr="00F87C08">
        <w:rPr>
          <w:rFonts w:ascii="Times New Roman" w:hAnsi="Times New Roman" w:cs="Times New Roman"/>
        </w:rPr>
        <w:t xml:space="preserve">S and siloxanes are the most abundant contaminants for sewage biogas. In the case of bio-syngas from biomass gasification, </w:t>
      </w:r>
      <w:r w:rsidRPr="00873410">
        <w:rPr>
          <w:rFonts w:ascii="Times New Roman" w:hAnsi="Times New Roman" w:cs="Times New Roman"/>
          <w:noProof/>
        </w:rPr>
        <w:t>tars</w:t>
      </w:r>
      <w:r w:rsidRPr="00F87C08">
        <w:rPr>
          <w:rFonts w:ascii="Times New Roman" w:hAnsi="Times New Roman" w:cs="Times New Roman"/>
        </w:rPr>
        <w:t xml:space="preserve"> are relevant. For coal syngas, H</w:t>
      </w:r>
      <w:r w:rsidRPr="00F87C08">
        <w:rPr>
          <w:rFonts w:ascii="Times New Roman" w:hAnsi="Times New Roman" w:cs="Times New Roman"/>
          <w:vertAlign w:val="subscript"/>
        </w:rPr>
        <w:t>2</w:t>
      </w:r>
      <w:r w:rsidRPr="00F87C08">
        <w:rPr>
          <w:rFonts w:ascii="Times New Roman" w:hAnsi="Times New Roman" w:cs="Times New Roman"/>
        </w:rPr>
        <w:t xml:space="preserve">S and HCl are found at very high concentrations. In general, all the </w:t>
      </w:r>
      <w:r w:rsidRPr="00873410">
        <w:rPr>
          <w:rFonts w:ascii="Times New Roman" w:hAnsi="Times New Roman" w:cs="Times New Roman"/>
          <w:noProof/>
        </w:rPr>
        <w:t>carbon</w:t>
      </w:r>
      <w:r w:rsidR="00873410">
        <w:rPr>
          <w:rFonts w:ascii="Times New Roman" w:hAnsi="Times New Roman" w:cs="Times New Roman"/>
          <w:noProof/>
        </w:rPr>
        <w:t>-</w:t>
      </w:r>
      <w:r w:rsidRPr="00873410">
        <w:rPr>
          <w:rFonts w:ascii="Times New Roman" w:hAnsi="Times New Roman" w:cs="Times New Roman"/>
          <w:noProof/>
        </w:rPr>
        <w:t>containing</w:t>
      </w:r>
      <w:r w:rsidRPr="00F87C08">
        <w:rPr>
          <w:rFonts w:ascii="Times New Roman" w:hAnsi="Times New Roman" w:cs="Times New Roman"/>
        </w:rPr>
        <w:t xml:space="preserve"> fuels can lead to carbon deposition on Ni-anodes in particular conditions. In this work, we review the main degradation mechanisms related to the </w:t>
      </w:r>
      <w:r w:rsidR="004147EE" w:rsidRPr="00F87C08">
        <w:rPr>
          <w:rFonts w:ascii="Times New Roman" w:hAnsi="Times New Roman" w:cs="Times New Roman"/>
        </w:rPr>
        <w:t>above-mentioned</w:t>
      </w:r>
      <w:r w:rsidRPr="00F87C08">
        <w:rPr>
          <w:rFonts w:ascii="Times New Roman" w:hAnsi="Times New Roman" w:cs="Times New Roman"/>
        </w:rPr>
        <w:t xml:space="preserve"> contaminants and their interaction with the </w:t>
      </w:r>
      <w:r w:rsidRPr="00873410">
        <w:rPr>
          <w:rFonts w:ascii="Times New Roman" w:hAnsi="Times New Roman" w:cs="Times New Roman"/>
          <w:noProof/>
        </w:rPr>
        <w:t>Ni-anode</w:t>
      </w:r>
      <w:r w:rsidRPr="00F87C08">
        <w:rPr>
          <w:rFonts w:ascii="Times New Roman" w:hAnsi="Times New Roman" w:cs="Times New Roman"/>
        </w:rPr>
        <w:t xml:space="preserve">. We </w:t>
      </w:r>
      <w:r w:rsidR="00873410">
        <w:rPr>
          <w:rFonts w:ascii="Times New Roman" w:hAnsi="Times New Roman" w:cs="Times New Roman"/>
          <w:noProof/>
        </w:rPr>
        <w:t>also provide</w:t>
      </w:r>
      <w:r w:rsidRPr="00F87C08">
        <w:rPr>
          <w:rFonts w:ascii="Times New Roman" w:hAnsi="Times New Roman" w:cs="Times New Roman"/>
        </w:rPr>
        <w:t xml:space="preserve"> a quantification of degradation and/or deactivation for each single contaminant. Except for HCl, the impact of the contaminant on the SOFC performance is always dramatic. Therefore, a deep clean-up of the incoming raw gas feed (biogas, bio-syngas or syngas) and a </w:t>
      </w:r>
      <w:r w:rsidRPr="00F87C08">
        <w:rPr>
          <w:rFonts w:ascii="Times New Roman" w:hAnsi="Times New Roman" w:cs="Times New Roman"/>
        </w:rPr>
        <w:lastRenderedPageBreak/>
        <w:t xml:space="preserve">careful control of carbon formation boundaries in the SOFC and system components (i.e., fuel reformer) must be carried out. We present results </w:t>
      </w:r>
      <w:r w:rsidRPr="00873410">
        <w:rPr>
          <w:rFonts w:ascii="Times New Roman" w:hAnsi="Times New Roman" w:cs="Times New Roman"/>
          <w:noProof/>
        </w:rPr>
        <w:t>for</w:t>
      </w:r>
      <w:r w:rsidRPr="00F87C08">
        <w:rPr>
          <w:rFonts w:ascii="Times New Roman" w:hAnsi="Times New Roman" w:cs="Times New Roman"/>
        </w:rPr>
        <w:t xml:space="preserve"> a case study that involves sewage biogas. We provide a preliminary sizing and performance of </w:t>
      </w:r>
      <w:r w:rsidRPr="00873410">
        <w:rPr>
          <w:rFonts w:ascii="Times New Roman" w:hAnsi="Times New Roman" w:cs="Times New Roman"/>
          <w:noProof/>
        </w:rPr>
        <w:t>two</w:t>
      </w:r>
      <w:r w:rsidR="00873410">
        <w:rPr>
          <w:rFonts w:ascii="Times New Roman" w:hAnsi="Times New Roman" w:cs="Times New Roman"/>
          <w:noProof/>
        </w:rPr>
        <w:t xml:space="preserve"> </w:t>
      </w:r>
      <w:r w:rsidRPr="00873410">
        <w:rPr>
          <w:rFonts w:ascii="Times New Roman" w:hAnsi="Times New Roman" w:cs="Times New Roman"/>
          <w:noProof/>
        </w:rPr>
        <w:t>series</w:t>
      </w:r>
      <w:r w:rsidRPr="00F87C08">
        <w:rPr>
          <w:rFonts w:ascii="Times New Roman" w:hAnsi="Times New Roman" w:cs="Times New Roman"/>
        </w:rPr>
        <w:t xml:space="preserve"> connected adsorption beds for the removal of H</w:t>
      </w:r>
      <w:r w:rsidRPr="00F87C08">
        <w:rPr>
          <w:rFonts w:ascii="Times New Roman" w:hAnsi="Times New Roman" w:cs="Times New Roman"/>
          <w:vertAlign w:val="subscript"/>
        </w:rPr>
        <w:t>2</w:t>
      </w:r>
      <w:r w:rsidRPr="00F87C08">
        <w:rPr>
          <w:rFonts w:ascii="Times New Roman" w:hAnsi="Times New Roman" w:cs="Times New Roman"/>
        </w:rPr>
        <w:t>S and D4 (siloxane). The calculated OPEX of the clean-up unit is above 2 $cent kWh</w:t>
      </w:r>
      <w:r w:rsidRPr="00F87C08">
        <w:rPr>
          <w:rFonts w:ascii="Times New Roman" w:hAnsi="Times New Roman" w:cs="Times New Roman"/>
          <w:vertAlign w:val="superscript"/>
        </w:rPr>
        <w:t>-1</w:t>
      </w:r>
      <w:r w:rsidRPr="00F87C08">
        <w:rPr>
          <w:rFonts w:ascii="Times New Roman" w:hAnsi="Times New Roman" w:cs="Times New Roman"/>
        </w:rPr>
        <w:t xml:space="preserve">, which is quite a high penalty in terms of the overall plant profitability. The considered sorbent materials are activated carbons. Better sorbents, especially </w:t>
      </w:r>
      <w:r w:rsidRPr="00873410">
        <w:rPr>
          <w:rFonts w:ascii="Times New Roman" w:hAnsi="Times New Roman" w:cs="Times New Roman"/>
          <w:noProof/>
        </w:rPr>
        <w:t>in terms of sulfur capacity</w:t>
      </w:r>
      <w:r w:rsidRPr="00F87C08">
        <w:rPr>
          <w:rFonts w:ascii="Times New Roman" w:hAnsi="Times New Roman" w:cs="Times New Roman"/>
        </w:rPr>
        <w:t xml:space="preserve"> and kinetics of adsorption, are required to yield OPEX below 1 $cent kWh</w:t>
      </w:r>
      <w:r w:rsidRPr="00F87C08">
        <w:rPr>
          <w:rFonts w:ascii="Times New Roman" w:hAnsi="Times New Roman" w:cs="Times New Roman"/>
          <w:vertAlign w:val="superscript"/>
        </w:rPr>
        <w:t>-1</w:t>
      </w:r>
      <w:r w:rsidRPr="00F87C08">
        <w:rPr>
          <w:rFonts w:ascii="Times New Roman" w:hAnsi="Times New Roman" w:cs="Times New Roman"/>
        </w:rPr>
        <w:t>. Recently, a target value of 1 $cent kWh</w:t>
      </w:r>
      <w:r w:rsidRPr="00F87C08">
        <w:rPr>
          <w:rFonts w:ascii="Times New Roman" w:hAnsi="Times New Roman" w:cs="Times New Roman"/>
          <w:vertAlign w:val="superscript"/>
        </w:rPr>
        <w:t>-1</w:t>
      </w:r>
      <w:r w:rsidRPr="00F87C08">
        <w:rPr>
          <w:rFonts w:ascii="Times New Roman" w:hAnsi="Times New Roman" w:cs="Times New Roman"/>
        </w:rPr>
        <w:t xml:space="preserve"> has been indicated by some manufacturers for the near term, while OPEX &lt;0.5 $cent kWh</w:t>
      </w:r>
      <w:r w:rsidRPr="00F87C08">
        <w:rPr>
          <w:rFonts w:ascii="Times New Roman" w:hAnsi="Times New Roman" w:cs="Times New Roman"/>
          <w:vertAlign w:val="superscript"/>
        </w:rPr>
        <w:t>-1</w:t>
      </w:r>
      <w:r w:rsidRPr="00F87C08">
        <w:rPr>
          <w:rFonts w:ascii="Times New Roman" w:hAnsi="Times New Roman" w:cs="Times New Roman"/>
        </w:rPr>
        <w:t xml:space="preserve"> would be required in the long term to make integrated biogas SOFC systems highly competitive </w:t>
      </w:r>
      <w:r w:rsidRPr="00F87C08">
        <w:rPr>
          <w:rFonts w:ascii="Times New Roman" w:hAnsi="Times New Roman" w:cs="Times New Roman"/>
        </w:rPr>
        <w:fldChar w:fldCharType="begin" w:fldLock="1"/>
      </w:r>
      <w:r w:rsidR="001C1C39">
        <w:rPr>
          <w:rFonts w:ascii="Times New Roman" w:hAnsi="Times New Roman" w:cs="Times New Roman"/>
        </w:rPr>
        <w:instrText>ADDIN CSL_CITATION { "citationItems" : [ { "id" : "ITEM-1", "itemData" : { "author" : [ { "dropping-particle" : "", "family" : "Argonne National Laboratory", "given" : "", "non-dropping-particle" : "", "parse-names" : false, "suffix" : "" } ], "id" : "ITEM-1", "issued" : { "date-parts" : [ [ "2014" ] ] }, "page" : "1-32", "title" : "Gas Clean-Up for Fuel Cell Application Workshop", "type" : "article-journal" }, "uris" : [ "http://www.mendeley.com/documents/?uuid=ccc31661-5e62-4fe5-b8b0-2d99c204b871", "http://www.mendeley.com/documents/?uuid=65fa7f29-ceac-4e7b-9130-04ee90a2ea2b" ] } ], "mendeley" : { "formattedCitation" : "[50]", "plainTextFormattedCitation" : "[50]", "previouslyFormattedCitation" : "[49]" }, "properties" : { "noteIndex" : 0 }, "schema" : "https://github.com/citation-style-language/schema/raw/master/csl-citation.json" }</w:instrText>
      </w:r>
      <w:r w:rsidRPr="00F87C08">
        <w:rPr>
          <w:rFonts w:ascii="Times New Roman" w:hAnsi="Times New Roman" w:cs="Times New Roman"/>
        </w:rPr>
        <w:fldChar w:fldCharType="separate"/>
      </w:r>
      <w:r w:rsidR="001C1C39" w:rsidRPr="001C1C39">
        <w:rPr>
          <w:rFonts w:ascii="Times New Roman" w:hAnsi="Times New Roman" w:cs="Times New Roman"/>
          <w:noProof/>
        </w:rPr>
        <w:t>[50]</w:t>
      </w:r>
      <w:r w:rsidRPr="00F87C08">
        <w:rPr>
          <w:rFonts w:ascii="Times New Roman" w:hAnsi="Times New Roman" w:cs="Times New Roman"/>
        </w:rPr>
        <w:fldChar w:fldCharType="end"/>
      </w:r>
      <w:r w:rsidRPr="00F87C08">
        <w:rPr>
          <w:rFonts w:ascii="Times New Roman" w:hAnsi="Times New Roman" w:cs="Times New Roman"/>
        </w:rPr>
        <w:t>.</w:t>
      </w:r>
    </w:p>
    <w:p w14:paraId="2875C508" w14:textId="77777777" w:rsidR="001C7EF5" w:rsidRPr="00F20695" w:rsidRDefault="001C7EF5" w:rsidP="00A6464B">
      <w:pPr>
        <w:autoSpaceDE w:val="0"/>
        <w:autoSpaceDN w:val="0"/>
        <w:adjustRightInd w:val="0"/>
        <w:spacing w:after="0" w:line="240" w:lineRule="auto"/>
        <w:jc w:val="both"/>
        <w:rPr>
          <w:rFonts w:ascii="Times New Roman" w:hAnsi="Times New Roman" w:cs="Times New Roman"/>
          <w:sz w:val="28"/>
          <w:szCs w:val="24"/>
        </w:rPr>
      </w:pPr>
    </w:p>
    <w:p w14:paraId="49148265" w14:textId="77777777" w:rsidR="00D51F75" w:rsidRPr="00F20695" w:rsidRDefault="00D51F75" w:rsidP="00A6464B">
      <w:pPr>
        <w:autoSpaceDE w:val="0"/>
        <w:autoSpaceDN w:val="0"/>
        <w:adjustRightInd w:val="0"/>
        <w:spacing w:after="0" w:line="240" w:lineRule="auto"/>
        <w:jc w:val="both"/>
        <w:rPr>
          <w:rFonts w:ascii="Times New Roman" w:hAnsi="Times New Roman" w:cs="Times New Roman"/>
          <w:sz w:val="28"/>
          <w:szCs w:val="24"/>
        </w:rPr>
      </w:pPr>
    </w:p>
    <w:p w14:paraId="567BEBA0" w14:textId="2A8F146E" w:rsidR="001747D5" w:rsidRDefault="001747D5" w:rsidP="001747D5">
      <w:pPr>
        <w:spacing w:line="480" w:lineRule="auto"/>
        <w:rPr>
          <w:rFonts w:ascii="Times New Roman" w:hAnsi="Times New Roman" w:cs="Times New Roman"/>
          <w:b/>
          <w:color w:val="FF0000"/>
          <w:sz w:val="40"/>
        </w:rPr>
      </w:pPr>
      <w:r w:rsidRPr="00F20695">
        <w:rPr>
          <w:rFonts w:ascii="Times New Roman" w:hAnsi="Times New Roman" w:cs="Times New Roman"/>
          <w:b/>
          <w:sz w:val="24"/>
        </w:rPr>
        <w:t>List of Symbols</w:t>
      </w:r>
    </w:p>
    <w:p w14:paraId="6B0B3283" w14:textId="77777777" w:rsidR="001747D5" w:rsidRDefault="001747D5" w:rsidP="001747D5">
      <w:pPr>
        <w:pStyle w:val="EFCFText"/>
        <w:spacing w:line="480" w:lineRule="auto"/>
        <w:rPr>
          <w:rFonts w:ascii="Times New Roman" w:hAnsi="Times New Roman" w:cs="Times New Roman"/>
        </w:rPr>
      </w:pPr>
      <w:r w:rsidRPr="001C7EF5">
        <w:rPr>
          <w:rFonts w:ascii="Times New Roman" w:hAnsi="Times New Roman" w:cs="Times New Roman"/>
        </w:rPr>
        <w:t>AC</w:t>
      </w:r>
      <w:r>
        <w:rPr>
          <w:rFonts w:ascii="Times New Roman" w:hAnsi="Times New Roman" w:cs="Times New Roman"/>
        </w:rPr>
        <w:t>, Activated Carbons,</w:t>
      </w:r>
    </w:p>
    <w:p w14:paraId="279DC02E" w14:textId="77777777" w:rsidR="001747D5" w:rsidRDefault="001747D5" w:rsidP="001747D5">
      <w:pPr>
        <w:pStyle w:val="EFCFText"/>
        <w:spacing w:line="480" w:lineRule="auto"/>
        <w:rPr>
          <w:rFonts w:ascii="Times New Roman" w:hAnsi="Times New Roman" w:cs="Times New Roman"/>
        </w:rPr>
      </w:pPr>
      <w:r w:rsidRPr="009B2AED">
        <w:rPr>
          <w:rFonts w:ascii="Times New Roman" w:hAnsi="Times New Roman" w:cs="Times New Roman"/>
        </w:rPr>
        <w:t>ASR</w:t>
      </w:r>
      <w:r>
        <w:rPr>
          <w:rFonts w:ascii="Times New Roman" w:hAnsi="Times New Roman" w:cs="Times New Roman"/>
        </w:rPr>
        <w:t>, Area Specific Resistance,</w:t>
      </w:r>
    </w:p>
    <w:p w14:paraId="69E27076" w14:textId="77777777" w:rsidR="001747D5" w:rsidRDefault="001747D5" w:rsidP="001747D5">
      <w:pPr>
        <w:pStyle w:val="EFCFText"/>
        <w:spacing w:line="480" w:lineRule="auto"/>
        <w:rPr>
          <w:rFonts w:ascii="Times New Roman" w:hAnsi="Times New Roman" w:cs="Times New Roman"/>
        </w:rPr>
      </w:pPr>
      <w:r>
        <w:rPr>
          <w:rFonts w:ascii="Times New Roman" w:hAnsi="Times New Roman" w:cs="Times New Roman"/>
        </w:rPr>
        <w:t>C/H, Carbon to Hydrogen ratio,</w:t>
      </w:r>
    </w:p>
    <w:p w14:paraId="2F015136" w14:textId="77777777" w:rsidR="001747D5" w:rsidRDefault="001747D5" w:rsidP="001747D5">
      <w:pPr>
        <w:pStyle w:val="EFCFText"/>
        <w:spacing w:line="480" w:lineRule="auto"/>
        <w:rPr>
          <w:rFonts w:ascii="Times New Roman" w:hAnsi="Times New Roman" w:cs="Times New Roman"/>
        </w:rPr>
      </w:pPr>
      <w:r>
        <w:rPr>
          <w:rFonts w:ascii="Times New Roman" w:hAnsi="Times New Roman" w:cs="Times New Roman"/>
        </w:rPr>
        <w:t>CHP, Combined Heat and Power plant,</w:t>
      </w:r>
    </w:p>
    <w:p w14:paraId="60953F22" w14:textId="77777777" w:rsidR="001747D5" w:rsidRDefault="001747D5" w:rsidP="001747D5">
      <w:pPr>
        <w:pStyle w:val="EFCFText"/>
        <w:spacing w:line="480" w:lineRule="auto"/>
        <w:rPr>
          <w:rFonts w:ascii="Times New Roman" w:hAnsi="Times New Roman" w:cs="Times New Roman"/>
        </w:rPr>
      </w:pPr>
      <w:r w:rsidRPr="00A32F25">
        <w:rPr>
          <w:rFonts w:ascii="Times New Roman" w:hAnsi="Times New Roman" w:cs="Times New Roman"/>
        </w:rPr>
        <w:t>OPEX</w:t>
      </w:r>
      <w:r>
        <w:rPr>
          <w:rFonts w:ascii="Times New Roman" w:hAnsi="Times New Roman" w:cs="Times New Roman"/>
        </w:rPr>
        <w:t xml:space="preserve">, </w:t>
      </w:r>
      <w:r w:rsidRPr="007C45C9">
        <w:rPr>
          <w:rFonts w:ascii="Times New Roman" w:hAnsi="Times New Roman" w:cs="Times New Roman"/>
        </w:rPr>
        <w:t>OPerating E</w:t>
      </w:r>
      <w:r>
        <w:rPr>
          <w:rFonts w:ascii="Times New Roman" w:hAnsi="Times New Roman" w:cs="Times New Roman"/>
        </w:rPr>
        <w:t>X</w:t>
      </w:r>
      <w:r w:rsidRPr="007C45C9">
        <w:rPr>
          <w:rFonts w:ascii="Times New Roman" w:hAnsi="Times New Roman" w:cs="Times New Roman"/>
        </w:rPr>
        <w:t>penditure</w:t>
      </w:r>
      <w:r>
        <w:rPr>
          <w:rFonts w:ascii="Times New Roman" w:hAnsi="Times New Roman" w:cs="Times New Roman"/>
        </w:rPr>
        <w:t>,</w:t>
      </w:r>
    </w:p>
    <w:p w14:paraId="58A3F63C" w14:textId="77777777" w:rsidR="001747D5" w:rsidRDefault="001747D5" w:rsidP="001747D5">
      <w:pPr>
        <w:pStyle w:val="EFCFText"/>
        <w:spacing w:line="480" w:lineRule="auto"/>
        <w:rPr>
          <w:rFonts w:ascii="Times New Roman" w:hAnsi="Times New Roman" w:cs="Times New Roman"/>
        </w:rPr>
      </w:pPr>
      <w:r>
        <w:rPr>
          <w:rFonts w:ascii="Times New Roman" w:hAnsi="Times New Roman" w:cs="Times New Roman"/>
        </w:rPr>
        <w:t>SOFC, Solid Oxide Fuel Cell,</w:t>
      </w:r>
    </w:p>
    <w:p w14:paraId="252A3171" w14:textId="77777777" w:rsidR="001747D5" w:rsidRDefault="001747D5" w:rsidP="001747D5">
      <w:pPr>
        <w:pStyle w:val="EFCFText"/>
        <w:spacing w:line="480" w:lineRule="auto"/>
        <w:rPr>
          <w:rFonts w:ascii="Times New Roman" w:hAnsi="Times New Roman" w:cs="Times New Roman"/>
        </w:rPr>
      </w:pPr>
      <w:r w:rsidRPr="00662193">
        <w:rPr>
          <w:rFonts w:ascii="Times New Roman" w:hAnsi="Times New Roman" w:cs="Times New Roman"/>
        </w:rPr>
        <w:t>TPB</w:t>
      </w:r>
      <w:r>
        <w:rPr>
          <w:rFonts w:ascii="Times New Roman" w:hAnsi="Times New Roman" w:cs="Times New Roman"/>
        </w:rPr>
        <w:t>, Three Phase Boundary,</w:t>
      </w:r>
    </w:p>
    <w:p w14:paraId="5EB78721" w14:textId="77777777" w:rsidR="001747D5" w:rsidRDefault="001747D5" w:rsidP="001747D5">
      <w:pPr>
        <w:pStyle w:val="EFCFText"/>
        <w:spacing w:line="480" w:lineRule="auto"/>
        <w:rPr>
          <w:rFonts w:ascii="Times New Roman" w:hAnsi="Times New Roman" w:cs="Times New Roman"/>
        </w:rPr>
      </w:pPr>
      <w:r w:rsidRPr="001C7EF5">
        <w:rPr>
          <w:rFonts w:ascii="Times New Roman" w:hAnsi="Times New Roman" w:cs="Times New Roman"/>
        </w:rPr>
        <w:t>WWTPs</w:t>
      </w:r>
      <w:r>
        <w:rPr>
          <w:rFonts w:ascii="Times New Roman" w:hAnsi="Times New Roman" w:cs="Times New Roman"/>
        </w:rPr>
        <w:t>, Waste Water Treatment Plants,</w:t>
      </w:r>
    </w:p>
    <w:p w14:paraId="41C7D6FA" w14:textId="77777777" w:rsidR="001747D5" w:rsidRDefault="001747D5" w:rsidP="001747D5">
      <w:pPr>
        <w:pStyle w:val="EFCFText"/>
        <w:spacing w:line="480" w:lineRule="auto"/>
        <w:rPr>
          <w:rFonts w:ascii="Times New Roman" w:hAnsi="Times New Roman" w:cs="Times New Roman"/>
        </w:rPr>
      </w:pPr>
      <w:r w:rsidRPr="00694420">
        <w:rPr>
          <w:rFonts w:ascii="Times New Roman" w:hAnsi="Times New Roman" w:cs="Times New Roman"/>
        </w:rPr>
        <w:t>XPS</w:t>
      </w:r>
      <w:r>
        <w:rPr>
          <w:rFonts w:ascii="Times New Roman" w:hAnsi="Times New Roman" w:cs="Times New Roman"/>
        </w:rPr>
        <w:t>,</w:t>
      </w:r>
      <w:r w:rsidRPr="00694420">
        <w:rPr>
          <w:rFonts w:ascii="Times New Roman" w:hAnsi="Times New Roman" w:cs="Times New Roman"/>
        </w:rPr>
        <w:t xml:space="preserve"> X-ray photoelectron spectroscopy</w:t>
      </w:r>
      <w:r>
        <w:rPr>
          <w:rFonts w:ascii="Times New Roman" w:hAnsi="Times New Roman" w:cs="Times New Roman"/>
        </w:rPr>
        <w:t>.</w:t>
      </w:r>
    </w:p>
    <w:p w14:paraId="70AE09C9" w14:textId="77777777" w:rsidR="00A32F25" w:rsidRPr="00A32F25" w:rsidRDefault="00A32F25" w:rsidP="00A32F25">
      <w:pPr>
        <w:pStyle w:val="EFCFText"/>
        <w:spacing w:line="480" w:lineRule="auto"/>
        <w:rPr>
          <w:rFonts w:ascii="Times New Roman" w:hAnsi="Times New Roman" w:cs="Times New Roman"/>
        </w:rPr>
      </w:pPr>
    </w:p>
    <w:p w14:paraId="219670C0" w14:textId="77777777" w:rsidR="001C7EF5" w:rsidRPr="00F87C08" w:rsidRDefault="001C7EF5" w:rsidP="00A6464B">
      <w:pPr>
        <w:autoSpaceDE w:val="0"/>
        <w:autoSpaceDN w:val="0"/>
        <w:adjustRightInd w:val="0"/>
        <w:spacing w:after="0" w:line="240" w:lineRule="auto"/>
        <w:jc w:val="both"/>
        <w:rPr>
          <w:rFonts w:ascii="Times New Roman" w:hAnsi="Times New Roman" w:cs="Times New Roman"/>
          <w:sz w:val="24"/>
          <w:szCs w:val="24"/>
        </w:rPr>
      </w:pPr>
    </w:p>
    <w:p w14:paraId="463EAE25" w14:textId="77777777" w:rsidR="001747D5" w:rsidRDefault="001747D5">
      <w:pPr>
        <w:rPr>
          <w:rFonts w:ascii="Times New Roman" w:hAnsi="Times New Roman" w:cs="Times New Roman"/>
          <w:b/>
          <w:sz w:val="24"/>
          <w:szCs w:val="24"/>
        </w:rPr>
      </w:pPr>
      <w:r>
        <w:rPr>
          <w:rFonts w:ascii="Times New Roman" w:hAnsi="Times New Roman" w:cs="Times New Roman"/>
          <w:b/>
          <w:sz w:val="24"/>
          <w:szCs w:val="24"/>
        </w:rPr>
        <w:br w:type="page"/>
      </w:r>
    </w:p>
    <w:p w14:paraId="23702E53" w14:textId="4E0F911C" w:rsidR="00A6464B" w:rsidRDefault="00D51F75" w:rsidP="00A6464B">
      <w:pPr>
        <w:autoSpaceDE w:val="0"/>
        <w:autoSpaceDN w:val="0"/>
        <w:adjustRightInd w:val="0"/>
        <w:spacing w:after="0" w:line="240" w:lineRule="auto"/>
        <w:jc w:val="both"/>
        <w:rPr>
          <w:rFonts w:ascii="Times New Roman" w:hAnsi="Times New Roman" w:cs="Times New Roman"/>
          <w:b/>
          <w:sz w:val="24"/>
          <w:szCs w:val="24"/>
        </w:rPr>
      </w:pPr>
      <w:r w:rsidRPr="00D51F75">
        <w:rPr>
          <w:rFonts w:ascii="Times New Roman" w:hAnsi="Times New Roman" w:cs="Times New Roman"/>
          <w:b/>
          <w:sz w:val="24"/>
          <w:szCs w:val="24"/>
        </w:rPr>
        <w:lastRenderedPageBreak/>
        <w:t>References</w:t>
      </w:r>
    </w:p>
    <w:p w14:paraId="21ADDEF3" w14:textId="77777777" w:rsidR="00D51F75" w:rsidRPr="00D51F75" w:rsidRDefault="00D51F75" w:rsidP="00A6464B">
      <w:pPr>
        <w:autoSpaceDE w:val="0"/>
        <w:autoSpaceDN w:val="0"/>
        <w:adjustRightInd w:val="0"/>
        <w:spacing w:after="0" w:line="240" w:lineRule="auto"/>
        <w:jc w:val="both"/>
        <w:rPr>
          <w:rFonts w:ascii="Times New Roman" w:hAnsi="Times New Roman" w:cs="Times New Roman"/>
          <w:b/>
          <w:sz w:val="24"/>
          <w:szCs w:val="24"/>
        </w:rPr>
      </w:pPr>
    </w:p>
    <w:p w14:paraId="04D67A76" w14:textId="433BAF20" w:rsidR="001C1C39" w:rsidRPr="001C1C39" w:rsidRDefault="006B7A58"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F87C08">
        <w:rPr>
          <w:rFonts w:ascii="Times New Roman" w:hAnsi="Times New Roman" w:cs="Times New Roman"/>
          <w:sz w:val="24"/>
          <w:szCs w:val="24"/>
          <w:lang w:bidi="fa-IR"/>
        </w:rPr>
        <w:fldChar w:fldCharType="begin" w:fldLock="1"/>
      </w:r>
      <w:r w:rsidRPr="00F87C08">
        <w:rPr>
          <w:rFonts w:ascii="Times New Roman" w:hAnsi="Times New Roman" w:cs="Times New Roman"/>
          <w:sz w:val="24"/>
          <w:szCs w:val="24"/>
          <w:lang w:bidi="fa-IR"/>
        </w:rPr>
        <w:instrText xml:space="preserve">ADDIN Mendeley Bibliography CSL_BIBLIOGRAPHY </w:instrText>
      </w:r>
      <w:r w:rsidRPr="00F87C08">
        <w:rPr>
          <w:rFonts w:ascii="Times New Roman" w:hAnsi="Times New Roman" w:cs="Times New Roman"/>
          <w:sz w:val="24"/>
          <w:szCs w:val="24"/>
          <w:lang w:bidi="fa-IR"/>
        </w:rPr>
        <w:fldChar w:fldCharType="separate"/>
      </w:r>
      <w:r w:rsidR="001C1C39" w:rsidRPr="001C1C39">
        <w:rPr>
          <w:rFonts w:ascii="Times New Roman" w:hAnsi="Times New Roman" w:cs="Times New Roman"/>
          <w:noProof/>
          <w:sz w:val="24"/>
          <w:szCs w:val="24"/>
        </w:rPr>
        <w:t>[1]</w:t>
      </w:r>
      <w:r w:rsidR="001C1C39" w:rsidRPr="001C1C39">
        <w:rPr>
          <w:rFonts w:ascii="Times New Roman" w:hAnsi="Times New Roman" w:cs="Times New Roman"/>
          <w:noProof/>
          <w:sz w:val="24"/>
          <w:szCs w:val="24"/>
        </w:rPr>
        <w:tab/>
        <w:t xml:space="preserve">Irvine JTS, Neagu D, Verbraeken MC, Chatzichristodoulou C, Graves C, Mogensen MB. </w:t>
      </w:r>
      <w:r w:rsidR="001C1C39" w:rsidRPr="00873410">
        <w:rPr>
          <w:rFonts w:ascii="Times New Roman" w:hAnsi="Times New Roman" w:cs="Times New Roman"/>
          <w:noProof/>
          <w:sz w:val="24"/>
          <w:szCs w:val="24"/>
        </w:rPr>
        <w:t>Evolution of the electrochemical interface in high-temperature fuel cells and electrolysers.</w:t>
      </w:r>
      <w:r w:rsidR="001C1C39" w:rsidRPr="001C1C39">
        <w:rPr>
          <w:rFonts w:ascii="Times New Roman" w:hAnsi="Times New Roman" w:cs="Times New Roman"/>
          <w:noProof/>
          <w:sz w:val="24"/>
          <w:szCs w:val="24"/>
        </w:rPr>
        <w:t xml:space="preserve"> Nat Energy 2016;1:15014. doi:10.1038/nenergy.2015.14.</w:t>
      </w:r>
    </w:p>
    <w:p w14:paraId="3324A79B" w14:textId="19BA11C6"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w:t>
      </w:r>
      <w:r w:rsidRPr="001C1C39">
        <w:rPr>
          <w:rFonts w:ascii="Times New Roman" w:hAnsi="Times New Roman" w:cs="Times New Roman"/>
          <w:noProof/>
          <w:sz w:val="24"/>
          <w:szCs w:val="24"/>
        </w:rPr>
        <w:tab/>
        <w:t xml:space="preserve">Papadias DD, Ahmed S, Kumar R. Fuel quality issues with biogas energy - An economic analysis </w:t>
      </w:r>
      <w:r w:rsidR="00873410">
        <w:rPr>
          <w:rFonts w:ascii="Times New Roman" w:hAnsi="Times New Roman" w:cs="Times New Roman"/>
          <w:noProof/>
          <w:sz w:val="24"/>
          <w:szCs w:val="24"/>
        </w:rPr>
        <w:t>of</w:t>
      </w:r>
      <w:r w:rsidRPr="001C1C39">
        <w:rPr>
          <w:rFonts w:ascii="Times New Roman" w:hAnsi="Times New Roman" w:cs="Times New Roman"/>
          <w:noProof/>
          <w:sz w:val="24"/>
          <w:szCs w:val="24"/>
        </w:rPr>
        <w:t xml:space="preserve"> a stationary fuel cell system. Energy 2012;44:257–77. doi:10.1016/j.energy.2012.06.031.</w:t>
      </w:r>
    </w:p>
    <w:p w14:paraId="203EBBA1"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w:t>
      </w:r>
      <w:r w:rsidRPr="001C1C39">
        <w:rPr>
          <w:rFonts w:ascii="Times New Roman" w:hAnsi="Times New Roman" w:cs="Times New Roman"/>
          <w:noProof/>
          <w:sz w:val="24"/>
          <w:szCs w:val="24"/>
        </w:rPr>
        <w:tab/>
        <w:t xml:space="preserve">Trembly JP, Gemmen RS, Bayless DJ. </w:t>
      </w:r>
      <w:r w:rsidRPr="00873410">
        <w:rPr>
          <w:rFonts w:ascii="Times New Roman" w:hAnsi="Times New Roman" w:cs="Times New Roman"/>
          <w:noProof/>
          <w:sz w:val="24"/>
          <w:szCs w:val="24"/>
        </w:rPr>
        <w:t>The effect of coal syngas containing HCl on the performance of solid oxide fuel cells: Investigations into the effect of operational temperature and HCl concentration.</w:t>
      </w:r>
      <w:r w:rsidRPr="001C1C39">
        <w:rPr>
          <w:rFonts w:ascii="Times New Roman" w:hAnsi="Times New Roman" w:cs="Times New Roman"/>
          <w:noProof/>
          <w:sz w:val="24"/>
          <w:szCs w:val="24"/>
        </w:rPr>
        <w:t xml:space="preserve"> J Power Sources 2007;169:347–54. doi:10.1016/j.jpowsour.2007.03.018.</w:t>
      </w:r>
    </w:p>
    <w:p w14:paraId="21B0CC8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w:t>
      </w:r>
      <w:r w:rsidRPr="001C1C39">
        <w:rPr>
          <w:rFonts w:ascii="Times New Roman" w:hAnsi="Times New Roman" w:cs="Times New Roman"/>
          <w:noProof/>
          <w:sz w:val="24"/>
          <w:szCs w:val="24"/>
        </w:rPr>
        <w:tab/>
        <w:t>Trembly JP, Marquez AI, Ohrn TR, Bayless DJ. Effects of coal syngas and H2S on the performance of solid oxide fuel cells: Single-cell tests. J Power Sources 2006;158:263–73. doi:10.1016/j.jpowsour.2005.09.055.</w:t>
      </w:r>
    </w:p>
    <w:p w14:paraId="16A43EDA"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[5]</w:t>
      </w:r>
      <w:r w:rsidRPr="001C1C39">
        <w:rPr>
          <w:rFonts w:ascii="Times New Roman" w:hAnsi="Times New Roman" w:cs="Times New Roman"/>
          <w:noProof/>
          <w:sz w:val="24"/>
          <w:szCs w:val="24"/>
        </w:rPr>
        <w:tab/>
        <w:t>Trembly JP, Gemmen RS, Bayless DJ. The effect of coal syngas containing AsH3 on the performance of SOFCs: Investigations into the effect of operational temperature, current density and AsH3 concentration. J Power Sources 2007;171:818–25. doi:10.1016/j.jpowsour.2007.06.087.</w:t>
      </w:r>
    </w:p>
    <w:p w14:paraId="360BEDD0"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[6]</w:t>
      </w:r>
      <w:r w:rsidRPr="001C1C39">
        <w:rPr>
          <w:rFonts w:ascii="Times New Roman" w:hAnsi="Times New Roman" w:cs="Times New Roman"/>
          <w:noProof/>
          <w:sz w:val="24"/>
          <w:szCs w:val="24"/>
        </w:rPr>
        <w:tab/>
        <w:t>Bao J, Krishnan GN, Jayaweera P, Sanjurjo A. Impedance Study of the Synergistic Effects of Coal Contaminants: Is Cl a Contaminant or a Performance Stabilizer? J Electrochem Soc 2010;157:B415. doi:10.1149/1.3291913.</w:t>
      </w:r>
    </w:p>
    <w:p w14:paraId="02AF1C62"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[7]</w:t>
      </w:r>
      <w:r w:rsidRPr="001C1C39">
        <w:rPr>
          <w:rFonts w:ascii="Times New Roman" w:hAnsi="Times New Roman" w:cs="Times New Roman"/>
          <w:noProof/>
          <w:sz w:val="24"/>
          <w:szCs w:val="24"/>
        </w:rPr>
        <w:tab/>
        <w:t>Li TS, Gao C, Xu M, Li B, Wu M, Wang WG. Effects of PH3 and CH3Cl Contaminants on the Performance of Solid Oxide Fuel Cells. Fuel Cells 2014;14:999–1005. doi:10.1002/fuce.201300248.</w:t>
      </w:r>
    </w:p>
    <w:p w14:paraId="12E08A9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[8]</w:t>
      </w:r>
      <w:r w:rsidRPr="001C1C39">
        <w:rPr>
          <w:rFonts w:ascii="Times New Roman" w:hAnsi="Times New Roman" w:cs="Times New Roman"/>
          <w:noProof/>
          <w:sz w:val="24"/>
          <w:szCs w:val="24"/>
        </w:rPr>
        <w:tab/>
        <w:t>Haga K, Shiratori Y, Ito K, Sasaki K. Chlorine Poisoning of SOFC Ni-Cermet Anodes. J Electrochem Soc 2008;155:B1233–B1239. doi:10.1149/1.2980521.</w:t>
      </w:r>
    </w:p>
    <w:p w14:paraId="4B314BB3"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[9]</w:t>
      </w:r>
      <w:r w:rsidRPr="001C1C39">
        <w:rPr>
          <w:rFonts w:ascii="Times New Roman" w:hAnsi="Times New Roman" w:cs="Times New Roman"/>
          <w:noProof/>
          <w:sz w:val="24"/>
          <w:szCs w:val="24"/>
        </w:rPr>
        <w:tab/>
        <w:t>Haga K, Adachi S, Shiratori Y, Itoh K, Sasaki K. Poisoning of SOFC anodes by various fuel impurities. Solid State Ionics 2008;179:1427–31. doi:10.1016/j.ssi.2008.02.062.</w:t>
      </w:r>
    </w:p>
    <w:p w14:paraId="3D31ED24"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[10]</w:t>
      </w:r>
      <w:r w:rsidRPr="001C1C39">
        <w:rPr>
          <w:rFonts w:ascii="Times New Roman" w:hAnsi="Times New Roman" w:cs="Times New Roman"/>
          <w:noProof/>
          <w:sz w:val="24"/>
          <w:szCs w:val="24"/>
        </w:rPr>
        <w:tab/>
        <w:t>Aravind P V., Ouweltjes JP, Woudstra N, Rietveld G. Impact of Biomass-Derived Contaminants on SOFCs with Ni/Gadolinia-Doped Ceria Anodes. Electrochem Solid-State Lett 2008;11:B24. doi:10.1149/1.2820452.</w:t>
      </w:r>
    </w:p>
    <w:p w14:paraId="3F63531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[11]</w:t>
      </w:r>
      <w:r w:rsidRPr="001C1C39">
        <w:rPr>
          <w:rFonts w:ascii="Times New Roman" w:hAnsi="Times New Roman" w:cs="Times New Roman"/>
          <w:noProof/>
          <w:sz w:val="24"/>
          <w:szCs w:val="24"/>
        </w:rPr>
        <w:tab/>
        <w:t>He H, Hill JM. Carbon deposition on Ni/YSZ composites exposed to humidified methane. Appl Catal A Gen 2007;317:284–92. doi:10.1016/j.apcata.2006.10.040.</w:t>
      </w:r>
    </w:p>
    <w:p w14:paraId="6078AC51"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[12]</w:t>
      </w:r>
      <w:r w:rsidRPr="001C1C39">
        <w:rPr>
          <w:rFonts w:ascii="Times New Roman" w:hAnsi="Times New Roman" w:cs="Times New Roman"/>
          <w:noProof/>
          <w:sz w:val="24"/>
          <w:szCs w:val="24"/>
        </w:rPr>
        <w:tab/>
        <w:t>Koh JH, Yoo YS, Park JW, Lim HC. Carbon deposition and cell performance of Ni-YSZ anode support SOFC with methane fuel. Solid State Ionics 2002;149:157–66. doi:10.1016/S0167-2738(02)00243-6.</w:t>
      </w:r>
    </w:p>
    <w:p w14:paraId="10779A63"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[13]</w:t>
      </w:r>
      <w:r w:rsidRPr="001C1C39">
        <w:rPr>
          <w:rFonts w:ascii="Times New Roman" w:hAnsi="Times New Roman" w:cs="Times New Roman"/>
          <w:noProof/>
          <w:sz w:val="24"/>
          <w:szCs w:val="24"/>
        </w:rPr>
        <w:tab/>
        <w:t>Lin Y, Zhan Z, Liu J, Barnett SA. Direct operation of solid oxide fuel cells with methane fuel. Solid State Ionics 2005;176:1827–35. doi:10.1016/j.ssi.2005.05.008.</w:t>
      </w:r>
    </w:p>
    <w:p w14:paraId="576A7E3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[14]</w:t>
      </w:r>
      <w:r w:rsidRPr="001C1C39">
        <w:rPr>
          <w:rFonts w:ascii="Times New Roman" w:hAnsi="Times New Roman" w:cs="Times New Roman"/>
          <w:noProof/>
          <w:sz w:val="24"/>
          <w:szCs w:val="24"/>
        </w:rPr>
        <w:tab/>
        <w:t xml:space="preserve">Sumi H, Puengjinda P, Muroyama H, Matsui T, Eguchi K. Effects of crystal Structure of yttria- and scandia-stabilized zirconia in nickel-based SOFC anodes on carbon deposition and oxidation behavior. J Power Sources 2011;196:6048–54. </w:t>
      </w:r>
      <w:r w:rsidRPr="001C1C39">
        <w:rPr>
          <w:rFonts w:ascii="Times New Roman" w:hAnsi="Times New Roman" w:cs="Times New Roman"/>
          <w:noProof/>
          <w:sz w:val="24"/>
          <w:szCs w:val="24"/>
        </w:rPr>
        <w:lastRenderedPageBreak/>
        <w:t>doi:10.1016/j.jpowsour.2011.03.092.</w:t>
      </w:r>
    </w:p>
    <w:p w14:paraId="2B78CAF0"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[15]</w:t>
      </w:r>
      <w:r w:rsidRPr="001C1C39">
        <w:rPr>
          <w:rFonts w:ascii="Times New Roman" w:hAnsi="Times New Roman" w:cs="Times New Roman"/>
          <w:noProof/>
          <w:sz w:val="24"/>
          <w:szCs w:val="24"/>
        </w:rPr>
        <w:tab/>
        <w:t>Kim T, Liu G, Boaro M, Lee SI, Vohs JM, Gorte RJ, et al. A study of carbon formation and prevention in hydrocarbon-fueled SOFC. J Power Sources 2006;155:231–8. doi:10.1016/j.jpowsour.2005.05.001.</w:t>
      </w:r>
    </w:p>
    <w:p w14:paraId="540E338D"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[16]</w:t>
      </w:r>
      <w:r w:rsidRPr="001C1C39">
        <w:rPr>
          <w:rFonts w:ascii="Times New Roman" w:hAnsi="Times New Roman" w:cs="Times New Roman"/>
          <w:noProof/>
          <w:sz w:val="24"/>
          <w:szCs w:val="24"/>
        </w:rPr>
        <w:tab/>
        <w:t>Saunders GJ, Preece J, Kendall K. Formulating liquid hydrocarbon fuels for SOFCs. J Power Sources 2004;131:23–6. doi:10.1016/j.jpowsour.2004.01.040.</w:t>
      </w:r>
    </w:p>
    <w:p w14:paraId="3FDC844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[17]</w:t>
      </w:r>
      <w:r w:rsidRPr="001C1C39">
        <w:rPr>
          <w:rFonts w:ascii="Times New Roman" w:hAnsi="Times New Roman" w:cs="Times New Roman"/>
          <w:noProof/>
          <w:sz w:val="24"/>
          <w:szCs w:val="24"/>
        </w:rPr>
        <w:tab/>
        <w:t>Hanna J, Lee WY, Shi Y, Ghoniem  a. F. Fundamentals of electro- and thermochemistry in the anode of solid-oxide fuel cells with hydrocarbon and syngas fuels. Prog Energy Combust Sci 2014;40:74–111. doi:10.1016/j.pecs.2013.10.001 Review.</w:t>
      </w:r>
    </w:p>
    <w:p w14:paraId="09CCAD9C" w14:textId="77777777" w:rsidR="001C1C39" w:rsidRPr="00473F70"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lang w:val="it-IT"/>
        </w:rPr>
      </w:pPr>
      <w:r w:rsidRPr="001C1C39">
        <w:rPr>
          <w:rFonts w:ascii="Times New Roman" w:hAnsi="Times New Roman" w:cs="Times New Roman"/>
          <w:noProof/>
          <w:sz w:val="24"/>
          <w:szCs w:val="24"/>
        </w:rPr>
        <w:t>[18]</w:t>
      </w:r>
      <w:r w:rsidRPr="001C1C39">
        <w:rPr>
          <w:rFonts w:ascii="Times New Roman" w:hAnsi="Times New Roman" w:cs="Times New Roman"/>
          <w:noProof/>
          <w:sz w:val="24"/>
          <w:szCs w:val="24"/>
        </w:rPr>
        <w:tab/>
        <w:t xml:space="preserve">Madi H, Diethelm S, Poitel S, Ludwig C, Van herle J. Damage of Siloxanes on Ni-YSZ Anode Supported SOFC Operated on Hydrogen and Bio-Syngas. </w:t>
      </w:r>
      <w:r w:rsidRPr="00473F70">
        <w:rPr>
          <w:rFonts w:ascii="Times New Roman" w:hAnsi="Times New Roman" w:cs="Times New Roman"/>
          <w:noProof/>
          <w:sz w:val="24"/>
          <w:szCs w:val="24"/>
          <w:lang w:val="it-IT"/>
        </w:rPr>
        <w:t>Fuel Cells 2015;15:718–27. doi:10.1002/fuce.201400185.</w:t>
      </w:r>
    </w:p>
    <w:p w14:paraId="0C2CE429"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473F70">
        <w:rPr>
          <w:rFonts w:ascii="Times New Roman" w:hAnsi="Times New Roman" w:cs="Times New Roman"/>
          <w:noProof/>
          <w:sz w:val="24"/>
          <w:szCs w:val="24"/>
          <w:lang w:val="it-IT"/>
        </w:rPr>
        <w:t>[19]</w:t>
      </w:r>
      <w:r w:rsidRPr="00473F70">
        <w:rPr>
          <w:rFonts w:ascii="Times New Roman" w:hAnsi="Times New Roman" w:cs="Times New Roman"/>
          <w:noProof/>
          <w:sz w:val="24"/>
          <w:szCs w:val="24"/>
          <w:lang w:val="it-IT"/>
        </w:rPr>
        <w:tab/>
        <w:t xml:space="preserve">Madi H, Lanzini A, Diethelm S, Papurello D, Van herle J, Lualdi M, et al. </w:t>
      </w:r>
      <w:r w:rsidRPr="001C1C39">
        <w:rPr>
          <w:rFonts w:ascii="Times New Roman" w:hAnsi="Times New Roman" w:cs="Times New Roman"/>
          <w:noProof/>
          <w:sz w:val="24"/>
          <w:szCs w:val="24"/>
        </w:rPr>
        <w:t>Solid oxide fuel cell anode degradation by the effect of siloxanes. J Power Sources 2015;279:460–71. doi:10.1016/j.jpowsour.2015.01.053.</w:t>
      </w:r>
    </w:p>
    <w:p w14:paraId="3139ABF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[20]</w:t>
      </w:r>
      <w:r w:rsidRPr="001C1C39">
        <w:rPr>
          <w:rFonts w:ascii="Times New Roman" w:hAnsi="Times New Roman" w:cs="Times New Roman"/>
          <w:noProof/>
          <w:sz w:val="24"/>
          <w:szCs w:val="24"/>
        </w:rPr>
        <w:tab/>
        <w:t>Alstrup I, Rostrup-Nielsen JR, Røen S. High temperature hydrogen sulfide chemisorption on nickel catalysts. Appl Catal 1 1981;1:303–14. doi:10.1016/0166-9834(81)80036-X.</w:t>
      </w:r>
    </w:p>
    <w:p w14:paraId="0C882AD5"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[21]</w:t>
      </w:r>
      <w:r w:rsidRPr="001C1C39">
        <w:rPr>
          <w:rFonts w:ascii="Times New Roman" w:hAnsi="Times New Roman" w:cs="Times New Roman"/>
          <w:noProof/>
          <w:sz w:val="24"/>
          <w:szCs w:val="24"/>
        </w:rPr>
        <w:tab/>
        <w:t>Bartholomew CH. Carbon Deposition in Steam Reforming and Methanation. Catal Rev 1982;24:67–112. doi:10.1080/03602458208079650.</w:t>
      </w:r>
    </w:p>
    <w:p w14:paraId="5EDFF502"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[22]</w:t>
      </w:r>
      <w:r w:rsidRPr="001C1C39">
        <w:rPr>
          <w:rFonts w:ascii="Times New Roman" w:hAnsi="Times New Roman" w:cs="Times New Roman"/>
          <w:noProof/>
          <w:sz w:val="24"/>
          <w:szCs w:val="24"/>
        </w:rPr>
        <w:tab/>
        <w:t>Gianotti Pret M, Ferrero D, Lanzini A, Santarelli M. Thermal design, modeling and validation of a steam-reforming reactor for fuel cell applications. Chem Eng Res Des 2015;104:503–12. doi:10.1016/j.cherd.2015.09.016.</w:t>
      </w:r>
    </w:p>
    <w:p w14:paraId="50C74071"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[23]</w:t>
      </w:r>
      <w:r w:rsidRPr="001C1C39">
        <w:rPr>
          <w:rFonts w:ascii="Times New Roman" w:hAnsi="Times New Roman" w:cs="Times New Roman"/>
          <w:noProof/>
          <w:sz w:val="24"/>
          <w:szCs w:val="24"/>
        </w:rPr>
        <w:tab/>
        <w:t>El Gabaly F, McCarty KF, Bluhm H, McDaniel AH, Floner D, Lamy C, et al. Oxidation stages of Ni electrodes in solid oxide fuel cell environments. Phys Chem Chem Phys 2013;15:8334. doi:10.1039/c3cp50366f.</w:t>
      </w:r>
    </w:p>
    <w:p w14:paraId="07000C6A"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[24]</w:t>
      </w:r>
      <w:r w:rsidRPr="001C1C39">
        <w:rPr>
          <w:rFonts w:ascii="Times New Roman" w:hAnsi="Times New Roman" w:cs="Times New Roman"/>
          <w:noProof/>
          <w:sz w:val="24"/>
          <w:szCs w:val="24"/>
        </w:rPr>
        <w:tab/>
        <w:t>Duboviks V, Maher RC, Offer G, Cohen LF, Brandon NP. In-Operando Raman Spectroscopy Study of Passivation Effects on Ni-CGO Electrodes in CO2 Electrolysis Conditions. ECS Trans 2013;57:3111–7. doi:10.1149/05701.3111ecst.</w:t>
      </w:r>
    </w:p>
    <w:p w14:paraId="27E8FE6C"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[25]</w:t>
      </w:r>
      <w:r w:rsidRPr="001C1C39">
        <w:rPr>
          <w:rFonts w:ascii="Times New Roman" w:hAnsi="Times New Roman" w:cs="Times New Roman"/>
          <w:noProof/>
          <w:sz w:val="24"/>
          <w:szCs w:val="24"/>
        </w:rPr>
        <w:tab/>
        <w:t>Gemmen RS, Williams MC, Gerdes K. Degradation measurement and analysis for cells and stacks. J Power Sources 2008;184:251–9. doi:10.1016/j.jpowsour.2008.06.047.</w:t>
      </w:r>
    </w:p>
    <w:p w14:paraId="30754CC0" w14:textId="7860128F"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[26]</w:t>
      </w:r>
      <w:r w:rsidRPr="001C1C39">
        <w:rPr>
          <w:rFonts w:ascii="Times New Roman" w:hAnsi="Times New Roman" w:cs="Times New Roman"/>
          <w:noProof/>
          <w:sz w:val="24"/>
          <w:szCs w:val="24"/>
        </w:rPr>
        <w:tab/>
        <w:t>Lanzini</w:t>
      </w:r>
      <w:r>
        <w:rPr>
          <w:rFonts w:ascii="Times New Roman" w:hAnsi="Times New Roman" w:cs="Times New Roman"/>
          <w:noProof/>
          <w:sz w:val="24"/>
          <w:szCs w:val="24"/>
        </w:rPr>
        <w:t xml:space="preserve">  A</w:t>
      </w:r>
      <w:r w:rsidRPr="001C1C39">
        <w:rPr>
          <w:rFonts w:ascii="Times New Roman" w:hAnsi="Times New Roman" w:cs="Times New Roman"/>
          <w:noProof/>
          <w:sz w:val="24"/>
          <w:szCs w:val="24"/>
        </w:rPr>
        <w:t>., Leone P, Guerra C, Smeacetto F, Brandon NPP, Santarelli M. Durability of anode supported Solid Oxides Fuel Cells (SOFC) under direct dry-reforming of methane. Chem Eng J 2013;220:254–63. doi:10.1016/j.cej.2013.01.003.</w:t>
      </w:r>
    </w:p>
    <w:p w14:paraId="1F0E419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[27]</w:t>
      </w:r>
      <w:r w:rsidRPr="001C1C39">
        <w:rPr>
          <w:rFonts w:ascii="Times New Roman" w:hAnsi="Times New Roman" w:cs="Times New Roman"/>
          <w:noProof/>
          <w:sz w:val="24"/>
          <w:szCs w:val="24"/>
        </w:rPr>
        <w:tab/>
        <w:t>Papurello D, Lanzini A, Drago D, Leone P, Santarelli M. Limiting factors for planar solid oxide fuel cells under different trace compound concentrations. Energy 2016;95:67–78. doi:10.1016/j.energy.2015.11.070.</w:t>
      </w:r>
    </w:p>
    <w:p w14:paraId="00F6D72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[28]</w:t>
      </w:r>
      <w:r w:rsidRPr="001C1C39">
        <w:rPr>
          <w:rFonts w:ascii="Times New Roman" w:hAnsi="Times New Roman" w:cs="Times New Roman"/>
          <w:noProof/>
          <w:sz w:val="24"/>
          <w:szCs w:val="24"/>
        </w:rPr>
        <w:tab/>
        <w:t>Papurello D, Lanzini A, Fiorilli S, Smeacetto F, Singh R, Santarelli M. Sulfur poisoning in Ni-anode solid oxide fuel cells (SOFCs): Deactivation in single cells and a stack. Chem Eng J 2016;283:1224–33. doi:10.1016/j.cej.2015.08.091.</w:t>
      </w:r>
    </w:p>
    <w:p w14:paraId="18A9E8B0" w14:textId="77777777" w:rsidR="001C1C39" w:rsidRPr="00473F70"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lang w:val="it-IT"/>
        </w:rPr>
      </w:pPr>
      <w:r w:rsidRPr="001C1C39">
        <w:rPr>
          <w:rFonts w:ascii="Times New Roman" w:hAnsi="Times New Roman" w:cs="Times New Roman"/>
          <w:noProof/>
          <w:sz w:val="24"/>
          <w:szCs w:val="24"/>
        </w:rPr>
        <w:t>[29]</w:t>
      </w:r>
      <w:r w:rsidRPr="001C1C39">
        <w:rPr>
          <w:rFonts w:ascii="Times New Roman" w:hAnsi="Times New Roman" w:cs="Times New Roman"/>
          <w:noProof/>
          <w:sz w:val="24"/>
          <w:szCs w:val="24"/>
        </w:rPr>
        <w:tab/>
        <w:t xml:space="preserve">Papurello D, Lanzini A, Leone P, Santarelli M, Silvestri S. Biogas from the organic fraction </w:t>
      </w:r>
      <w:r w:rsidRPr="001C1C39">
        <w:rPr>
          <w:rFonts w:ascii="Times New Roman" w:hAnsi="Times New Roman" w:cs="Times New Roman"/>
          <w:noProof/>
          <w:sz w:val="24"/>
          <w:szCs w:val="24"/>
        </w:rPr>
        <w:lastRenderedPageBreak/>
        <w:t xml:space="preserve">of municipal solid waste: dealing with contaminants for a solid oxide fuel cell energy generator. </w:t>
      </w:r>
      <w:r w:rsidRPr="00473F70">
        <w:rPr>
          <w:rFonts w:ascii="Times New Roman" w:hAnsi="Times New Roman" w:cs="Times New Roman"/>
          <w:noProof/>
          <w:sz w:val="24"/>
          <w:szCs w:val="24"/>
          <w:lang w:val="it-IT"/>
        </w:rPr>
        <w:t>Waste Manag 2014;34:2047–56. doi:10.1016/j.wasman.2014.06.017.</w:t>
      </w:r>
    </w:p>
    <w:p w14:paraId="49506DC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473F70">
        <w:rPr>
          <w:rFonts w:ascii="Times New Roman" w:hAnsi="Times New Roman" w:cs="Times New Roman"/>
          <w:noProof/>
          <w:sz w:val="24"/>
          <w:szCs w:val="24"/>
          <w:lang w:val="it-IT"/>
        </w:rPr>
        <w:t>[30]</w:t>
      </w:r>
      <w:r w:rsidRPr="00473F70">
        <w:rPr>
          <w:rFonts w:ascii="Times New Roman" w:hAnsi="Times New Roman" w:cs="Times New Roman"/>
          <w:noProof/>
          <w:sz w:val="24"/>
          <w:szCs w:val="24"/>
          <w:lang w:val="it-IT"/>
        </w:rPr>
        <w:tab/>
        <w:t xml:space="preserve">Papurello D, Borchiellini R, Bareschino P, Chiodo V, Freni S, Lanzini A, et al. </w:t>
      </w:r>
      <w:r w:rsidRPr="001C1C39">
        <w:rPr>
          <w:rFonts w:ascii="Times New Roman" w:hAnsi="Times New Roman" w:cs="Times New Roman"/>
          <w:noProof/>
          <w:sz w:val="24"/>
          <w:szCs w:val="24"/>
        </w:rPr>
        <w:t>Performance of a Solid Oxide Fuel Cell short-stack with biogas feeding. Appl Energy 2014;125:254–63. doi:10.1016/j.apenergy.2014.03.040.</w:t>
      </w:r>
    </w:p>
    <w:p w14:paraId="2D900EFF"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[31]</w:t>
      </w:r>
      <w:r w:rsidRPr="001C1C39">
        <w:rPr>
          <w:rFonts w:ascii="Times New Roman" w:hAnsi="Times New Roman" w:cs="Times New Roman"/>
          <w:noProof/>
          <w:sz w:val="24"/>
          <w:szCs w:val="24"/>
        </w:rPr>
        <w:tab/>
        <w:t>Papurello D, Lanzini A, Leone P, Santarelli M. The effect of heavy tars (toluene and naphthalene) on the electrochemical performance of an anode-supported SOFC running on bio-syngas. Renew Energy 2016;99:747–53. doi:10.1016/j.renene.2016.07.029.</w:t>
      </w:r>
    </w:p>
    <w:p w14:paraId="0A9C2881"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[32]</w:t>
      </w:r>
      <w:r w:rsidRPr="001C1C39">
        <w:rPr>
          <w:rFonts w:ascii="Times New Roman" w:hAnsi="Times New Roman" w:cs="Times New Roman"/>
          <w:noProof/>
          <w:sz w:val="24"/>
          <w:szCs w:val="24"/>
        </w:rPr>
        <w:tab/>
        <w:t>Chen T, Wang WG, Miao H, Li T, Xu C. Evaluation of carbon deposition behavior on the nickel/yttrium-stabilized zirconia anode-supported fuel cell fueled with simulated syngas. J Power Sources 2011;196:2461–8. doi:10.1016/j.jpowsour.2010.11.095.</w:t>
      </w:r>
    </w:p>
    <w:p w14:paraId="23CA8481"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[33]</w:t>
      </w:r>
      <w:r w:rsidRPr="001C1C39">
        <w:rPr>
          <w:rFonts w:ascii="Times New Roman" w:hAnsi="Times New Roman" w:cs="Times New Roman"/>
          <w:noProof/>
          <w:sz w:val="24"/>
          <w:szCs w:val="24"/>
        </w:rPr>
        <w:tab/>
        <w:t>O’Brien JS, Giorgi JB. Solid oxide fuel cell with NiCo-YSZ cermet anode for oxidation of CO/H 2 fuel mixtures. J Power Sources 2012;200:14–20. doi:10.1016/j.jpowsour.2011.10.080.</w:t>
      </w:r>
    </w:p>
    <w:p w14:paraId="2B49FFB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[34]</w:t>
      </w:r>
      <w:r w:rsidRPr="001C1C39">
        <w:rPr>
          <w:rFonts w:ascii="Times New Roman" w:hAnsi="Times New Roman" w:cs="Times New Roman"/>
          <w:noProof/>
          <w:sz w:val="24"/>
          <w:szCs w:val="24"/>
        </w:rPr>
        <w:tab/>
        <w:t>Li W, Shi Y, Luo Y, Wang Y, Cai N. Carbon deposition on patterned nickel/yttria stabilized zirconia electrodes for solid oxide fuel cell/solid oxide electrolysis cell modes. J Power Sources 2015;276:26–31. doi:10.1016/j.jpowsour.2014.11.106.</w:t>
      </w:r>
    </w:p>
    <w:p w14:paraId="50E3C175"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[35]</w:t>
      </w:r>
      <w:r w:rsidRPr="001C1C39">
        <w:rPr>
          <w:rFonts w:ascii="Times New Roman" w:hAnsi="Times New Roman" w:cs="Times New Roman"/>
          <w:noProof/>
          <w:sz w:val="24"/>
          <w:szCs w:val="24"/>
        </w:rPr>
        <w:tab/>
        <w:t>Armor JN. The multiple roles for catalysis in the production of H2. Appl Catal A Gen 1999;176:159–76. doi:10.1016/S0926-860X(98)00244-0.</w:t>
      </w:r>
    </w:p>
    <w:p w14:paraId="4C818543"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[36]</w:t>
      </w:r>
      <w:r w:rsidRPr="001C1C39">
        <w:rPr>
          <w:rFonts w:ascii="Times New Roman" w:hAnsi="Times New Roman" w:cs="Times New Roman"/>
          <w:noProof/>
          <w:sz w:val="24"/>
          <w:szCs w:val="24"/>
        </w:rPr>
        <w:tab/>
        <w:t>Vakouftsi E, Marnellos GE, Athanasiou C, Coutelieris F. CFD modeling of a biogas fuelled SOFC. Solid State Ionics 2011;192:458–63. doi:10.1016/j.ssi.2010.05.051.</w:t>
      </w:r>
    </w:p>
    <w:p w14:paraId="1FE23A6D"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[37]</w:t>
      </w:r>
      <w:r w:rsidRPr="001C1C39">
        <w:rPr>
          <w:rFonts w:ascii="Times New Roman" w:hAnsi="Times New Roman" w:cs="Times New Roman"/>
          <w:noProof/>
          <w:sz w:val="24"/>
          <w:szCs w:val="24"/>
        </w:rPr>
        <w:tab/>
        <w:t>Wang Y, Yoshiba F, Kawase M, Watanabe T. Performance and effective kinetic models of methane steam reforming over Ni/YSZ anode of planar SOFC. Int J Hydrogen Energy 2009;34:3885–93. doi:10.1016/j.ijhydene.2009.02.073.</w:t>
      </w:r>
    </w:p>
    <w:p w14:paraId="44E82E54"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[38]</w:t>
      </w:r>
      <w:r w:rsidRPr="001C1C39">
        <w:rPr>
          <w:rFonts w:ascii="Times New Roman" w:hAnsi="Times New Roman" w:cs="Times New Roman"/>
          <w:noProof/>
          <w:sz w:val="24"/>
          <w:szCs w:val="24"/>
        </w:rPr>
        <w:tab/>
        <w:t>Sasaki K, Teraoka Y. Equilibria in Fuel Cell Gases. J Electrochem Soc 2003;150:A885. doi:10.1149/1.1577338.</w:t>
      </w:r>
    </w:p>
    <w:p w14:paraId="1A463857"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[39]</w:t>
      </w:r>
      <w:r w:rsidRPr="001C1C39">
        <w:rPr>
          <w:rFonts w:ascii="Times New Roman" w:hAnsi="Times New Roman" w:cs="Times New Roman"/>
          <w:noProof/>
          <w:sz w:val="24"/>
          <w:szCs w:val="24"/>
        </w:rPr>
        <w:tab/>
        <w:t>Zhan Z, Barnett SA. Operation of ceria-electrolyte solid oxide fuel cells on iso-octane-air fuel mixtures. J Power Sources 2006;157:422–9. doi:10.1016/j.jpowsour.2005.08.008.</w:t>
      </w:r>
    </w:p>
    <w:p w14:paraId="12EC23B2"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[40]</w:t>
      </w:r>
      <w:r w:rsidRPr="001C1C39">
        <w:rPr>
          <w:rFonts w:ascii="Times New Roman" w:hAnsi="Times New Roman" w:cs="Times New Roman"/>
          <w:noProof/>
          <w:sz w:val="24"/>
          <w:szCs w:val="24"/>
        </w:rPr>
        <w:tab/>
        <w:t>Colpan CO, Dincer I, Hamdullahpur F. Effect of Recirculation on Carbon Deposition for Direct Internal Reforming Solid Oxide Fuel Cells. Proc 3rd Int Energy, Exergy Environ Symp Evora, Port 2007.</w:t>
      </w:r>
    </w:p>
    <w:p w14:paraId="08221F16"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[41]</w:t>
      </w:r>
      <w:r w:rsidRPr="001C1C39">
        <w:rPr>
          <w:rFonts w:ascii="Times New Roman" w:hAnsi="Times New Roman" w:cs="Times New Roman"/>
          <w:noProof/>
          <w:sz w:val="24"/>
          <w:szCs w:val="24"/>
        </w:rPr>
        <w:tab/>
        <w:t>Klein JM, Bultel Y, Georges S, Pons M. Modeling of a SOFC fuelled by methane: From direct internal reforming to gradual internal reforming. Chem Eng Sci 2007;62:1636–49. doi:10.1016/j.ces.2006.11.034.</w:t>
      </w:r>
    </w:p>
    <w:p w14:paraId="200F440B"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[42]</w:t>
      </w:r>
      <w:r w:rsidRPr="001C1C39">
        <w:rPr>
          <w:rFonts w:ascii="Times New Roman" w:hAnsi="Times New Roman" w:cs="Times New Roman"/>
          <w:noProof/>
          <w:sz w:val="24"/>
          <w:szCs w:val="24"/>
        </w:rPr>
        <w:tab/>
        <w:t>Eveloy V. Numerical analysis of an internal methane reforming solid oxide fuel cell with fuel recycling. Appl Energy 2012;93:107–15. doi:10.1016/j.apenergy.2010.10.045.</w:t>
      </w:r>
    </w:p>
    <w:p w14:paraId="04B2248E"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[43]</w:t>
      </w:r>
      <w:r w:rsidRPr="001C1C39">
        <w:rPr>
          <w:rFonts w:ascii="Times New Roman" w:hAnsi="Times New Roman" w:cs="Times New Roman"/>
          <w:noProof/>
          <w:sz w:val="24"/>
          <w:szCs w:val="24"/>
        </w:rPr>
        <w:tab/>
        <w:t>Cimenti M, Hill JM. Thermodynamic analysis of solid oxide fuel cells operated with methanol and ethanol under direct utilization, steam reforming, dry reforming or partial oxidation conditions. J Power Sources 2009;186:377–84. doi:10.1016/j.jpowsour.2008.10.043.</w:t>
      </w:r>
    </w:p>
    <w:p w14:paraId="413104CC"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lastRenderedPageBreak/>
        <w:t>[44]</w:t>
      </w:r>
      <w:r w:rsidRPr="001C1C39">
        <w:rPr>
          <w:rFonts w:ascii="Times New Roman" w:hAnsi="Times New Roman" w:cs="Times New Roman"/>
          <w:noProof/>
          <w:sz w:val="24"/>
          <w:szCs w:val="24"/>
        </w:rPr>
        <w:tab/>
        <w:t>Lee WY, Hanna J, Ghoniem AF. On the Predictions of Carbon Deposition on the Nickel Anode of a {SOFC} and Its Impact on Open-Circuit Conditions. J Electrochem Soc 2013;160:F94{\textendash}F105. doi:10.1149/2.051302jes.</w:t>
      </w:r>
    </w:p>
    <w:p w14:paraId="1091DC35"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[45]</w:t>
      </w:r>
      <w:r w:rsidRPr="001C1C39">
        <w:rPr>
          <w:rFonts w:ascii="Times New Roman" w:hAnsi="Times New Roman" w:cs="Times New Roman"/>
          <w:noProof/>
          <w:sz w:val="24"/>
          <w:szCs w:val="24"/>
        </w:rPr>
        <w:tab/>
        <w:t>Zavarukhin SG, Kuvshinov GG. The kinetic model of formation of nanofibrous carbon from CH4–H2 mixture over a high-loaded nickel catalyst with consideration for the catalyst deactivation. Appl Catal A Gen 2004;272:219–27. doi:10.1016/j.apcata.2004.05.044.</w:t>
      </w:r>
    </w:p>
    <w:p w14:paraId="46B9856A"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[46]</w:t>
      </w:r>
      <w:r w:rsidRPr="001C1C39">
        <w:rPr>
          <w:rFonts w:ascii="Times New Roman" w:hAnsi="Times New Roman" w:cs="Times New Roman"/>
          <w:noProof/>
          <w:sz w:val="24"/>
          <w:szCs w:val="24"/>
        </w:rPr>
        <w:tab/>
        <w:t>Snoeck J, Froment GF. Steam/CO2 reforming of methane. Carbon filament formation by the Boudouard reaction and gasification by CO2, by H2, and by steam: kinetic study. Ind Eng Chem Res 2002;41:4252–65. doi:10.1016/S0140-6701(03)81702-2.</w:t>
      </w:r>
    </w:p>
    <w:p w14:paraId="56401B22"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[47]</w:t>
      </w:r>
      <w:r w:rsidRPr="001C1C39">
        <w:rPr>
          <w:rFonts w:ascii="Times New Roman" w:hAnsi="Times New Roman" w:cs="Times New Roman"/>
          <w:noProof/>
          <w:sz w:val="24"/>
          <w:szCs w:val="24"/>
        </w:rPr>
        <w:tab/>
        <w:t>Ferrero D, Lanzini A, Leone P, Santarelli M. Reversible operation of solid oxide cells under electrolysis and fuel cell modes: Experimental study and model validation. Chem Eng J 2015;274:143–55. doi:10.1016/j.cej.2015.03.096.</w:t>
      </w:r>
    </w:p>
    <w:p w14:paraId="745DC934"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[48]</w:t>
      </w:r>
      <w:r w:rsidRPr="001C1C39">
        <w:rPr>
          <w:rFonts w:ascii="Times New Roman" w:hAnsi="Times New Roman" w:cs="Times New Roman"/>
          <w:noProof/>
          <w:sz w:val="24"/>
          <w:szCs w:val="24"/>
        </w:rPr>
        <w:tab/>
        <w:t>Xiao Y, Wang S, Wu D, Yuan Q. Experimental and simulation study of hydrogen sulfide adsorption on impregnated activated carbon under anaerobic conditions. J Hazard Mater 2008;153:1193–200. doi:10.1016/j.jhazmat.2007.09.081.</w:t>
      </w:r>
    </w:p>
    <w:p w14:paraId="4CFCD8A2"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szCs w:val="24"/>
        </w:rPr>
      </w:pPr>
      <w:r w:rsidRPr="001C1C39">
        <w:rPr>
          <w:rFonts w:ascii="Times New Roman" w:hAnsi="Times New Roman" w:cs="Times New Roman"/>
          <w:noProof/>
          <w:sz w:val="24"/>
          <w:szCs w:val="24"/>
        </w:rPr>
        <w:t>[49]</w:t>
      </w:r>
      <w:r w:rsidRPr="001C1C39">
        <w:rPr>
          <w:rFonts w:ascii="Times New Roman" w:hAnsi="Times New Roman" w:cs="Times New Roman"/>
          <w:noProof/>
          <w:sz w:val="24"/>
          <w:szCs w:val="24"/>
        </w:rPr>
        <w:tab/>
        <w:t>Ricaurte Ortega D, Subrenat  a. Siloxane treatment by adsorption into porous materials. Environ Technol 2009;30:1073–83. doi:10.1080/09593330903057540.</w:t>
      </w:r>
    </w:p>
    <w:p w14:paraId="1B0FABBA" w14:textId="77777777" w:rsidR="001C1C39" w:rsidRPr="001C1C39" w:rsidRDefault="001C1C39" w:rsidP="001C1C39">
      <w:pPr>
        <w:widowControl w:val="0"/>
        <w:autoSpaceDE w:val="0"/>
        <w:autoSpaceDN w:val="0"/>
        <w:adjustRightInd w:val="0"/>
        <w:spacing w:line="240" w:lineRule="auto"/>
        <w:ind w:left="640" w:hanging="640"/>
        <w:rPr>
          <w:rFonts w:ascii="Times New Roman" w:hAnsi="Times New Roman" w:cs="Times New Roman"/>
          <w:noProof/>
          <w:sz w:val="24"/>
        </w:rPr>
      </w:pPr>
      <w:r w:rsidRPr="001C1C39">
        <w:rPr>
          <w:rFonts w:ascii="Times New Roman" w:hAnsi="Times New Roman" w:cs="Times New Roman"/>
          <w:noProof/>
          <w:sz w:val="24"/>
          <w:szCs w:val="24"/>
        </w:rPr>
        <w:t>[50]</w:t>
      </w:r>
      <w:r w:rsidRPr="001C1C39">
        <w:rPr>
          <w:rFonts w:ascii="Times New Roman" w:hAnsi="Times New Roman" w:cs="Times New Roman"/>
          <w:noProof/>
          <w:sz w:val="24"/>
          <w:szCs w:val="24"/>
        </w:rPr>
        <w:tab/>
        <w:t>Argonne National Laboratory. Gas Clean-Up for Fuel Cell Application Workshop 2014:1–32.</w:t>
      </w:r>
    </w:p>
    <w:p w14:paraId="4BDF18BA" w14:textId="77777777" w:rsidR="00154357" w:rsidRPr="00F87C08" w:rsidRDefault="006B7A58" w:rsidP="00F87C08">
      <w:pPr>
        <w:widowControl w:val="0"/>
        <w:autoSpaceDE w:val="0"/>
        <w:autoSpaceDN w:val="0"/>
        <w:adjustRightInd w:val="0"/>
        <w:spacing w:line="240" w:lineRule="auto"/>
        <w:ind w:left="640" w:hanging="640"/>
        <w:rPr>
          <w:rFonts w:ascii="Times New Roman" w:hAnsi="Times New Roman" w:cs="Times New Roman"/>
          <w:sz w:val="24"/>
          <w:szCs w:val="24"/>
          <w:lang w:bidi="fa-IR"/>
        </w:rPr>
      </w:pPr>
      <w:r w:rsidRPr="00F87C08">
        <w:rPr>
          <w:rFonts w:ascii="Times New Roman" w:hAnsi="Times New Roman" w:cs="Times New Roman"/>
          <w:sz w:val="24"/>
          <w:szCs w:val="24"/>
          <w:lang w:bidi="fa-IR"/>
        </w:rPr>
        <w:fldChar w:fldCharType="end"/>
      </w:r>
    </w:p>
    <w:p w14:paraId="7ED9D668" w14:textId="77777777" w:rsidR="000448B9" w:rsidRDefault="000448B9" w:rsidP="00932A42">
      <w:pPr>
        <w:jc w:val="both"/>
        <w:rPr>
          <w:rFonts w:ascii="Times New Roman" w:hAnsi="Times New Roman" w:cs="Times New Roman"/>
          <w:sz w:val="24"/>
          <w:szCs w:val="24"/>
          <w:lang w:bidi="fa-IR"/>
        </w:rPr>
      </w:pPr>
    </w:p>
    <w:p w14:paraId="6E060D15" w14:textId="77777777" w:rsidR="001747D5" w:rsidRDefault="001747D5">
      <w:pPr>
        <w:rPr>
          <w:rFonts w:ascii="Times New Roman" w:hAnsi="Times New Roman" w:cs="Times New Roman"/>
          <w:b/>
          <w:sz w:val="24"/>
          <w:szCs w:val="24"/>
          <w:lang w:bidi="fa-IR"/>
        </w:rPr>
      </w:pPr>
      <w:r>
        <w:rPr>
          <w:rFonts w:ascii="Times New Roman" w:hAnsi="Times New Roman" w:cs="Times New Roman"/>
          <w:b/>
          <w:sz w:val="24"/>
          <w:szCs w:val="24"/>
          <w:lang w:bidi="fa-IR"/>
        </w:rPr>
        <w:br w:type="page"/>
      </w:r>
    </w:p>
    <w:p w14:paraId="40AE2608" w14:textId="6DABAC83" w:rsidR="00873410" w:rsidRPr="000448B9" w:rsidRDefault="000448B9" w:rsidP="00932A42">
      <w:pPr>
        <w:jc w:val="both"/>
        <w:rPr>
          <w:rFonts w:ascii="Times New Roman" w:hAnsi="Times New Roman" w:cs="Times New Roman"/>
          <w:b/>
          <w:sz w:val="24"/>
          <w:szCs w:val="24"/>
          <w:lang w:bidi="fa-IR"/>
        </w:rPr>
      </w:pPr>
      <w:r w:rsidRPr="000448B9">
        <w:rPr>
          <w:rFonts w:ascii="Times New Roman" w:hAnsi="Times New Roman" w:cs="Times New Roman"/>
          <w:b/>
          <w:sz w:val="24"/>
          <w:szCs w:val="24"/>
          <w:lang w:bidi="fa-IR"/>
        </w:rPr>
        <w:lastRenderedPageBreak/>
        <w:t>Tables</w:t>
      </w:r>
    </w:p>
    <w:p w14:paraId="7C5B0AD6" w14:textId="77777777" w:rsidR="00873410" w:rsidRPr="006158E8" w:rsidRDefault="00873410" w:rsidP="00873410">
      <w:pPr>
        <w:pStyle w:val="EFCFText"/>
        <w:jc w:val="center"/>
        <w:rPr>
          <w:rFonts w:ascii="Times New Roman" w:hAnsi="Times New Roman" w:cs="Times New Roman"/>
          <w:szCs w:val="22"/>
        </w:rPr>
      </w:pPr>
      <w:r w:rsidRPr="006158E8">
        <w:rPr>
          <w:rFonts w:ascii="Times New Roman" w:hAnsi="Times New Roman" w:cs="Times New Roman"/>
          <w:szCs w:val="22"/>
        </w:rPr>
        <w:t>Table 1. Degradation mechanism(s) and impact of different fuel contaminants</w:t>
      </w:r>
    </w:p>
    <w:p w14:paraId="4BBBC148" w14:textId="77777777" w:rsidR="00873410" w:rsidRPr="006158E8" w:rsidRDefault="00873410" w:rsidP="00873410">
      <w:pPr>
        <w:pStyle w:val="EFCFText"/>
        <w:rPr>
          <w:rFonts w:ascii="Times New Roman" w:hAnsi="Times New Roman" w:cs="Times New Roman"/>
          <w:szCs w:val="22"/>
        </w:rPr>
      </w:pPr>
    </w:p>
    <w:tbl>
      <w:tblPr>
        <w:tblStyle w:val="Grigliatabella"/>
        <w:tblW w:w="5000" w:type="pct"/>
        <w:jc w:val="center"/>
        <w:tblLook w:val="04A0" w:firstRow="1" w:lastRow="0" w:firstColumn="1" w:lastColumn="0" w:noHBand="0" w:noVBand="1"/>
      </w:tblPr>
      <w:tblGrid>
        <w:gridCol w:w="2742"/>
        <w:gridCol w:w="2759"/>
        <w:gridCol w:w="2804"/>
        <w:gridCol w:w="1549"/>
      </w:tblGrid>
      <w:tr w:rsidR="00873410" w:rsidRPr="006158E8" w14:paraId="707EA0C2" w14:textId="77777777" w:rsidTr="003C2073">
        <w:trPr>
          <w:jc w:val="center"/>
        </w:trPr>
        <w:tc>
          <w:tcPr>
            <w:tcW w:w="1391" w:type="pct"/>
            <w:shd w:val="clear" w:color="auto" w:fill="DDD9C3" w:themeFill="background2" w:themeFillShade="E6"/>
          </w:tcPr>
          <w:p w14:paraId="7CF2C5A3" w14:textId="77777777" w:rsidR="00873410" w:rsidRPr="006158E8" w:rsidRDefault="00873410" w:rsidP="003C2073">
            <w:pPr>
              <w:pStyle w:val="EFCFText"/>
              <w:rPr>
                <w:rFonts w:ascii="Times New Roman" w:hAnsi="Times New Roman" w:cs="Times New Roman"/>
                <w:b/>
                <w:szCs w:val="22"/>
              </w:rPr>
            </w:pPr>
            <w:r w:rsidRPr="006158E8">
              <w:rPr>
                <w:rFonts w:ascii="Times New Roman" w:hAnsi="Times New Roman" w:cs="Times New Roman"/>
                <w:b/>
                <w:szCs w:val="22"/>
              </w:rPr>
              <w:t>Contaminant type</w:t>
            </w:r>
          </w:p>
        </w:tc>
        <w:tc>
          <w:tcPr>
            <w:tcW w:w="1400" w:type="pct"/>
            <w:shd w:val="clear" w:color="auto" w:fill="DDD9C3" w:themeFill="background2" w:themeFillShade="E6"/>
          </w:tcPr>
          <w:p w14:paraId="0895004B" w14:textId="77777777" w:rsidR="00873410" w:rsidRPr="006158E8" w:rsidRDefault="00873410" w:rsidP="003C2073">
            <w:pPr>
              <w:pStyle w:val="EFCFText"/>
              <w:rPr>
                <w:rFonts w:ascii="Times New Roman" w:hAnsi="Times New Roman" w:cs="Times New Roman"/>
                <w:b/>
                <w:szCs w:val="22"/>
              </w:rPr>
            </w:pPr>
            <w:r w:rsidRPr="006158E8">
              <w:rPr>
                <w:rFonts w:ascii="Times New Roman" w:hAnsi="Times New Roman" w:cs="Times New Roman"/>
                <w:b/>
                <w:szCs w:val="22"/>
              </w:rPr>
              <w:t>Degradation / deactivation type (time scale)</w:t>
            </w:r>
          </w:p>
        </w:tc>
        <w:tc>
          <w:tcPr>
            <w:tcW w:w="1423" w:type="pct"/>
            <w:shd w:val="clear" w:color="auto" w:fill="DDD9C3" w:themeFill="background2" w:themeFillShade="E6"/>
          </w:tcPr>
          <w:p w14:paraId="5738FD4F" w14:textId="77777777" w:rsidR="00873410" w:rsidRPr="006158E8" w:rsidRDefault="00873410" w:rsidP="003C2073">
            <w:pPr>
              <w:pStyle w:val="EFCFText"/>
              <w:rPr>
                <w:rFonts w:ascii="Times New Roman" w:hAnsi="Times New Roman" w:cs="Times New Roman"/>
                <w:b/>
                <w:szCs w:val="22"/>
              </w:rPr>
            </w:pPr>
            <w:r w:rsidRPr="006158E8">
              <w:rPr>
                <w:rFonts w:ascii="Times New Roman" w:hAnsi="Times New Roman" w:cs="Times New Roman"/>
                <w:b/>
                <w:szCs w:val="22"/>
              </w:rPr>
              <w:t>Mechanism(s)</w:t>
            </w:r>
          </w:p>
        </w:tc>
        <w:tc>
          <w:tcPr>
            <w:tcW w:w="786" w:type="pct"/>
            <w:shd w:val="clear" w:color="auto" w:fill="DDD9C3" w:themeFill="background2" w:themeFillShade="E6"/>
          </w:tcPr>
          <w:p w14:paraId="405AA527" w14:textId="77777777" w:rsidR="00873410" w:rsidRPr="006158E8" w:rsidRDefault="00873410" w:rsidP="003C2073">
            <w:pPr>
              <w:pStyle w:val="EFCFText"/>
              <w:rPr>
                <w:rFonts w:ascii="Times New Roman" w:hAnsi="Times New Roman" w:cs="Times New Roman"/>
                <w:b/>
                <w:szCs w:val="22"/>
              </w:rPr>
            </w:pPr>
            <w:r w:rsidRPr="006158E8">
              <w:rPr>
                <w:rFonts w:ascii="Times New Roman" w:hAnsi="Times New Roman" w:cs="Times New Roman"/>
                <w:b/>
                <w:szCs w:val="22"/>
              </w:rPr>
              <w:t>Impact on SOFC performance</w:t>
            </w:r>
          </w:p>
        </w:tc>
      </w:tr>
      <w:tr w:rsidR="00873410" w:rsidRPr="006158E8" w14:paraId="53AE7EA9" w14:textId="77777777" w:rsidTr="003C2073">
        <w:trPr>
          <w:jc w:val="center"/>
        </w:trPr>
        <w:tc>
          <w:tcPr>
            <w:tcW w:w="1391" w:type="pct"/>
          </w:tcPr>
          <w:p w14:paraId="44EA1947"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Sulfur (e.g., H</w:t>
            </w:r>
            <w:r w:rsidRPr="006158E8">
              <w:rPr>
                <w:rFonts w:ascii="Times New Roman" w:hAnsi="Times New Roman" w:cs="Times New Roman"/>
                <w:szCs w:val="22"/>
                <w:vertAlign w:val="subscript"/>
              </w:rPr>
              <w:t>2</w:t>
            </w:r>
            <w:r w:rsidRPr="006158E8">
              <w:rPr>
                <w:rFonts w:ascii="Times New Roman" w:hAnsi="Times New Roman" w:cs="Times New Roman"/>
                <w:szCs w:val="22"/>
              </w:rPr>
              <w:t>S)</w:t>
            </w:r>
          </w:p>
        </w:tc>
        <w:tc>
          <w:tcPr>
            <w:tcW w:w="1400" w:type="pct"/>
          </w:tcPr>
          <w:p w14:paraId="63D89AB9"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Adsorption of S on Ni sites (fast); Ni surface reconstruction (slow)</w:t>
            </w:r>
          </w:p>
        </w:tc>
        <w:tc>
          <w:tcPr>
            <w:tcW w:w="1423" w:type="pct"/>
          </w:tcPr>
          <w:p w14:paraId="07B4948F"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S-adsorption: almost fully reversible; performance drop depends on equilibrium S-coverage of Ni</w:t>
            </w:r>
          </w:p>
        </w:tc>
        <w:tc>
          <w:tcPr>
            <w:tcW w:w="786" w:type="pct"/>
          </w:tcPr>
          <w:p w14:paraId="35B3F443"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Mild</w:t>
            </w:r>
          </w:p>
        </w:tc>
      </w:tr>
      <w:tr w:rsidR="00873410" w:rsidRPr="006158E8" w14:paraId="7F1E611E" w14:textId="77777777" w:rsidTr="003C2073">
        <w:trPr>
          <w:jc w:val="center"/>
        </w:trPr>
        <w:tc>
          <w:tcPr>
            <w:tcW w:w="1391" w:type="pct"/>
          </w:tcPr>
          <w:p w14:paraId="683E0ECE"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Chlorine (HCl)</w:t>
            </w:r>
          </w:p>
        </w:tc>
        <w:tc>
          <w:tcPr>
            <w:tcW w:w="1400" w:type="pct"/>
          </w:tcPr>
          <w:p w14:paraId="2FCAE6E1"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Adsorption of Cl on Ni sites (fast); Ni surface reconstruction due enhanced Ni mobility (intermediate)</w:t>
            </w:r>
          </w:p>
        </w:tc>
        <w:tc>
          <w:tcPr>
            <w:tcW w:w="1423" w:type="pct"/>
          </w:tcPr>
          <w:p w14:paraId="16080AC0"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Cl-adsorption: reversible and with lower Ni coverage compared to S.</w:t>
            </w:r>
          </w:p>
          <w:p w14:paraId="4D912664"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Redistribution of Ni particles that might even enhances TPB rather than reducing it</w:t>
            </w:r>
          </w:p>
        </w:tc>
        <w:tc>
          <w:tcPr>
            <w:tcW w:w="786" w:type="pct"/>
          </w:tcPr>
          <w:p w14:paraId="547A9E79"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Low / Negligible</w:t>
            </w:r>
          </w:p>
        </w:tc>
      </w:tr>
      <w:tr w:rsidR="00873410" w:rsidRPr="006158E8" w14:paraId="18AA44E9" w14:textId="77777777" w:rsidTr="003C2073">
        <w:trPr>
          <w:jc w:val="center"/>
        </w:trPr>
        <w:tc>
          <w:tcPr>
            <w:tcW w:w="1391" w:type="pct"/>
          </w:tcPr>
          <w:p w14:paraId="4B80C1F2"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Siloxanes – linear and cyclic volatile methyl siloxanes (e.g., D4, D5)</w:t>
            </w:r>
          </w:p>
        </w:tc>
        <w:tc>
          <w:tcPr>
            <w:tcW w:w="1400" w:type="pct"/>
          </w:tcPr>
          <w:p w14:paraId="259D391B"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Silica condensation on Ni-anode and interconnector</w:t>
            </w:r>
          </w:p>
        </w:tc>
        <w:tc>
          <w:tcPr>
            <w:tcW w:w="1423" w:type="pct"/>
          </w:tcPr>
          <w:p w14:paraId="1BA492A2"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Siloxanes are thermally decomposed to form SiO</w:t>
            </w:r>
            <w:r w:rsidRPr="006158E8">
              <w:rPr>
                <w:rFonts w:ascii="Times New Roman" w:hAnsi="Times New Roman" w:cs="Times New Roman"/>
                <w:szCs w:val="22"/>
                <w:vertAlign w:val="subscript"/>
              </w:rPr>
              <w:t>2</w:t>
            </w:r>
            <w:r w:rsidRPr="006158E8">
              <w:rPr>
                <w:rFonts w:ascii="Times New Roman" w:hAnsi="Times New Roman" w:cs="Times New Roman"/>
                <w:szCs w:val="22"/>
              </w:rPr>
              <w:t xml:space="preserve"> on the anode surface (and the interconnector); irreversible degradation</w:t>
            </w:r>
          </w:p>
        </w:tc>
        <w:tc>
          <w:tcPr>
            <w:tcW w:w="786" w:type="pct"/>
          </w:tcPr>
          <w:p w14:paraId="139A11D1"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Very High</w:t>
            </w:r>
          </w:p>
        </w:tc>
      </w:tr>
      <w:tr w:rsidR="00873410" w:rsidRPr="006158E8" w14:paraId="739CD040" w14:textId="77777777" w:rsidTr="003C2073">
        <w:trPr>
          <w:jc w:val="center"/>
        </w:trPr>
        <w:tc>
          <w:tcPr>
            <w:tcW w:w="1391" w:type="pct"/>
            <w:tcBorders>
              <w:bottom w:val="single" w:sz="4" w:space="0" w:color="auto"/>
            </w:tcBorders>
          </w:tcPr>
          <w:p w14:paraId="57226B25"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Tars (toluene, naphthalene)</w:t>
            </w:r>
          </w:p>
        </w:tc>
        <w:tc>
          <w:tcPr>
            <w:tcW w:w="1400" w:type="pct"/>
            <w:tcBorders>
              <w:bottom w:val="single" w:sz="4" w:space="0" w:color="auto"/>
            </w:tcBorders>
          </w:tcPr>
          <w:p w14:paraId="5E7555BD"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Carbon deposition (fast); Ni deactivation due to coverage (fast)</w:t>
            </w:r>
          </w:p>
        </w:tc>
        <w:tc>
          <w:tcPr>
            <w:tcW w:w="1423" w:type="pct"/>
            <w:tcBorders>
              <w:bottom w:val="single" w:sz="4" w:space="0" w:color="auto"/>
            </w:tcBorders>
          </w:tcPr>
          <w:p w14:paraId="566711B2"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Carbon growth (whiskers, mostly) plugging and destroying the anode structure; Ni coverage by intermediates produced during the tar reforming is also observed for C</w:t>
            </w:r>
            <w:r w:rsidRPr="006158E8">
              <w:rPr>
                <w:rFonts w:ascii="Times New Roman" w:hAnsi="Times New Roman" w:cs="Times New Roman"/>
                <w:szCs w:val="22"/>
                <w:vertAlign w:val="subscript"/>
              </w:rPr>
              <w:t>10</w:t>
            </w:r>
            <w:r w:rsidRPr="006158E8">
              <w:rPr>
                <w:rFonts w:ascii="Times New Roman" w:hAnsi="Times New Roman" w:cs="Times New Roman"/>
                <w:szCs w:val="22"/>
              </w:rPr>
              <w:t>H</w:t>
            </w:r>
            <w:r w:rsidRPr="006158E8">
              <w:rPr>
                <w:rFonts w:ascii="Times New Roman" w:hAnsi="Times New Roman" w:cs="Times New Roman"/>
                <w:szCs w:val="22"/>
                <w:vertAlign w:val="subscript"/>
              </w:rPr>
              <w:t>8</w:t>
            </w:r>
            <w:r w:rsidRPr="006158E8">
              <w:rPr>
                <w:rFonts w:ascii="Times New Roman" w:hAnsi="Times New Roman" w:cs="Times New Roman"/>
                <w:szCs w:val="22"/>
              </w:rPr>
              <w:t xml:space="preserve"> </w:t>
            </w:r>
          </w:p>
        </w:tc>
        <w:tc>
          <w:tcPr>
            <w:tcW w:w="786" w:type="pct"/>
            <w:tcBorders>
              <w:bottom w:val="single" w:sz="4" w:space="0" w:color="auto"/>
            </w:tcBorders>
          </w:tcPr>
          <w:p w14:paraId="4B1EB1EE" w14:textId="77777777" w:rsidR="00873410" w:rsidRPr="006158E8" w:rsidRDefault="00873410" w:rsidP="003C2073">
            <w:pPr>
              <w:pStyle w:val="EFCFText"/>
              <w:rPr>
                <w:rFonts w:ascii="Times New Roman" w:hAnsi="Times New Roman" w:cs="Times New Roman"/>
                <w:szCs w:val="22"/>
              </w:rPr>
            </w:pPr>
            <w:r w:rsidRPr="006158E8">
              <w:rPr>
                <w:rFonts w:ascii="Times New Roman" w:hAnsi="Times New Roman" w:cs="Times New Roman"/>
                <w:szCs w:val="22"/>
              </w:rPr>
              <w:t>High</w:t>
            </w:r>
          </w:p>
        </w:tc>
      </w:tr>
      <w:tr w:rsidR="00873410" w:rsidRPr="00694420" w14:paraId="68FC9C99" w14:textId="77777777" w:rsidTr="003C2073">
        <w:trPr>
          <w:jc w:val="center"/>
        </w:trPr>
        <w:tc>
          <w:tcPr>
            <w:tcW w:w="1391" w:type="pct"/>
            <w:tcBorders>
              <w:bottom w:val="single" w:sz="4" w:space="0" w:color="auto"/>
            </w:tcBorders>
          </w:tcPr>
          <w:p w14:paraId="61EE0A74" w14:textId="77777777" w:rsidR="00873410" w:rsidRPr="00694420" w:rsidRDefault="00873410" w:rsidP="003C2073">
            <w:pPr>
              <w:pStyle w:val="EFCFText"/>
              <w:rPr>
                <w:rFonts w:ascii="Times New Roman" w:hAnsi="Times New Roman" w:cs="Times New Roman"/>
                <w:szCs w:val="22"/>
              </w:rPr>
            </w:pPr>
            <w:r w:rsidRPr="00694420">
              <w:rPr>
                <w:rFonts w:ascii="Times New Roman" w:hAnsi="Times New Roman" w:cs="Times New Roman"/>
                <w:szCs w:val="22"/>
              </w:rPr>
              <w:t>Carbon-containing species under particular conditions (i.e. low H</w:t>
            </w:r>
            <w:r w:rsidRPr="00694420">
              <w:rPr>
                <w:rFonts w:ascii="Times New Roman" w:hAnsi="Times New Roman" w:cs="Times New Roman"/>
                <w:szCs w:val="22"/>
                <w:vertAlign w:val="subscript"/>
              </w:rPr>
              <w:t>2</w:t>
            </w:r>
            <w:r w:rsidRPr="00694420">
              <w:rPr>
                <w:rFonts w:ascii="Times New Roman" w:hAnsi="Times New Roman" w:cs="Times New Roman"/>
                <w:szCs w:val="22"/>
              </w:rPr>
              <w:t>O:C</w:t>
            </w:r>
            <w:r w:rsidRPr="00694420">
              <w:rPr>
                <w:rFonts w:ascii="Times New Roman" w:hAnsi="Times New Roman" w:cs="Times New Roman"/>
                <w:szCs w:val="22"/>
                <w:vertAlign w:val="subscript"/>
              </w:rPr>
              <w:t>n</w:t>
            </w:r>
            <w:r w:rsidRPr="00694420">
              <w:rPr>
                <w:rFonts w:ascii="Times New Roman" w:hAnsi="Times New Roman" w:cs="Times New Roman"/>
                <w:szCs w:val="22"/>
              </w:rPr>
              <w:t>H</w:t>
            </w:r>
            <w:r w:rsidRPr="00694420">
              <w:rPr>
                <w:rFonts w:ascii="Times New Roman" w:hAnsi="Times New Roman" w:cs="Times New Roman"/>
                <w:szCs w:val="22"/>
                <w:vertAlign w:val="subscript"/>
              </w:rPr>
              <w:t>m</w:t>
            </w:r>
            <w:r w:rsidRPr="00694420">
              <w:rPr>
                <w:rFonts w:ascii="Times New Roman" w:hAnsi="Times New Roman" w:cs="Times New Roman"/>
                <w:szCs w:val="22"/>
              </w:rPr>
              <w:t xml:space="preserve"> ratio, temperature)  </w:t>
            </w:r>
          </w:p>
        </w:tc>
        <w:tc>
          <w:tcPr>
            <w:tcW w:w="1400" w:type="pct"/>
            <w:tcBorders>
              <w:bottom w:val="single" w:sz="4" w:space="0" w:color="auto"/>
            </w:tcBorders>
          </w:tcPr>
          <w:p w14:paraId="0413F0DE" w14:textId="77777777" w:rsidR="00873410" w:rsidRPr="00694420" w:rsidRDefault="00873410" w:rsidP="003C2073">
            <w:pPr>
              <w:pStyle w:val="EFCFText"/>
              <w:rPr>
                <w:rFonts w:ascii="Times New Roman" w:hAnsi="Times New Roman" w:cs="Times New Roman"/>
                <w:szCs w:val="22"/>
              </w:rPr>
            </w:pPr>
            <w:r w:rsidRPr="00694420">
              <w:rPr>
                <w:rFonts w:ascii="Times New Roman" w:hAnsi="Times New Roman" w:cs="Times New Roman"/>
                <w:szCs w:val="22"/>
              </w:rPr>
              <w:t>Carbon deposition (slow/fast depending on conditions); Ni deactivation due to coverage (slow/fast) and pore blocking (slow).</w:t>
            </w:r>
          </w:p>
        </w:tc>
        <w:tc>
          <w:tcPr>
            <w:tcW w:w="1423" w:type="pct"/>
            <w:tcBorders>
              <w:bottom w:val="single" w:sz="4" w:space="0" w:color="auto"/>
            </w:tcBorders>
          </w:tcPr>
          <w:p w14:paraId="0C0C1745" w14:textId="77777777" w:rsidR="00873410" w:rsidRPr="00694420" w:rsidRDefault="00873410" w:rsidP="003C2073">
            <w:pPr>
              <w:pStyle w:val="EFCFText"/>
              <w:rPr>
                <w:rFonts w:ascii="Times New Roman" w:hAnsi="Times New Roman" w:cs="Times New Roman"/>
                <w:szCs w:val="22"/>
              </w:rPr>
            </w:pPr>
            <w:r w:rsidRPr="00694420">
              <w:rPr>
                <w:rFonts w:ascii="Times New Roman" w:hAnsi="Times New Roman" w:cs="Times New Roman"/>
                <w:szCs w:val="22"/>
              </w:rPr>
              <w:t>Growth of carbon deposits either covering Ni surface (film) or plugging the anode structure (filaments); TPB deactivation (film) and increased gas diffusion losses (filaments).</w:t>
            </w:r>
          </w:p>
        </w:tc>
        <w:tc>
          <w:tcPr>
            <w:tcW w:w="786" w:type="pct"/>
            <w:tcBorders>
              <w:bottom w:val="single" w:sz="4" w:space="0" w:color="auto"/>
            </w:tcBorders>
          </w:tcPr>
          <w:p w14:paraId="46E56265" w14:textId="77777777" w:rsidR="00873410" w:rsidRPr="00694420" w:rsidRDefault="00873410" w:rsidP="003C2073">
            <w:pPr>
              <w:pStyle w:val="EFCFText"/>
              <w:rPr>
                <w:rFonts w:ascii="Times New Roman" w:hAnsi="Times New Roman" w:cs="Times New Roman"/>
                <w:szCs w:val="22"/>
              </w:rPr>
            </w:pPr>
            <w:r w:rsidRPr="00694420">
              <w:rPr>
                <w:rFonts w:ascii="Times New Roman" w:hAnsi="Times New Roman" w:cs="Times New Roman"/>
                <w:szCs w:val="22"/>
              </w:rPr>
              <w:t>Low/High (depending on conditions)</w:t>
            </w:r>
          </w:p>
        </w:tc>
      </w:tr>
      <w:tr w:rsidR="00873410" w:rsidRPr="00777178" w14:paraId="35F3CCAE" w14:textId="77777777" w:rsidTr="003C2073">
        <w:trPr>
          <w:jc w:val="center"/>
        </w:trPr>
        <w:tc>
          <w:tcPr>
            <w:tcW w:w="5000" w:type="pct"/>
            <w:gridSpan w:val="4"/>
            <w:tcBorders>
              <w:top w:val="single" w:sz="4" w:space="0" w:color="auto"/>
              <w:left w:val="nil"/>
              <w:bottom w:val="nil"/>
              <w:right w:val="nil"/>
            </w:tcBorders>
          </w:tcPr>
          <w:p w14:paraId="3E10869A" w14:textId="77777777" w:rsidR="00873410" w:rsidRPr="006158E8" w:rsidRDefault="00873410" w:rsidP="003C2073">
            <w:pPr>
              <w:pStyle w:val="EFCFText"/>
              <w:rPr>
                <w:rFonts w:ascii="Times New Roman" w:hAnsi="Times New Roman" w:cs="Times New Roman"/>
                <w:szCs w:val="22"/>
                <w:lang w:val="it-IT"/>
              </w:rPr>
            </w:pPr>
            <w:r w:rsidRPr="006158E8">
              <w:rPr>
                <w:rFonts w:ascii="Times New Roman" w:hAnsi="Times New Roman" w:cs="Times New Roman"/>
                <w:szCs w:val="22"/>
                <w:lang w:val="it-IT"/>
              </w:rPr>
              <w:t>D4 = C</w:t>
            </w:r>
            <w:r w:rsidRPr="006158E8">
              <w:rPr>
                <w:rFonts w:ascii="Times New Roman" w:hAnsi="Times New Roman" w:cs="Times New Roman"/>
                <w:szCs w:val="22"/>
                <w:vertAlign w:val="subscript"/>
                <w:lang w:val="it-IT"/>
              </w:rPr>
              <w:t>8</w:t>
            </w:r>
            <w:r w:rsidRPr="006158E8">
              <w:rPr>
                <w:rFonts w:ascii="Times New Roman" w:hAnsi="Times New Roman" w:cs="Times New Roman"/>
                <w:szCs w:val="22"/>
                <w:lang w:val="it-IT"/>
              </w:rPr>
              <w:t>H</w:t>
            </w:r>
            <w:r w:rsidRPr="006158E8">
              <w:rPr>
                <w:rFonts w:ascii="Times New Roman" w:hAnsi="Times New Roman" w:cs="Times New Roman"/>
                <w:szCs w:val="22"/>
                <w:vertAlign w:val="subscript"/>
                <w:lang w:val="it-IT"/>
              </w:rPr>
              <w:t>24</w:t>
            </w:r>
            <w:r w:rsidRPr="006158E8">
              <w:rPr>
                <w:rFonts w:ascii="Times New Roman" w:hAnsi="Times New Roman" w:cs="Times New Roman"/>
                <w:szCs w:val="22"/>
                <w:lang w:val="it-IT"/>
              </w:rPr>
              <w:t>O</w:t>
            </w:r>
            <w:r w:rsidRPr="006158E8">
              <w:rPr>
                <w:rFonts w:ascii="Times New Roman" w:hAnsi="Times New Roman" w:cs="Times New Roman"/>
                <w:szCs w:val="22"/>
                <w:vertAlign w:val="subscript"/>
                <w:lang w:val="it-IT"/>
              </w:rPr>
              <w:t>4</w:t>
            </w:r>
            <w:r w:rsidRPr="006158E8">
              <w:rPr>
                <w:rFonts w:ascii="Times New Roman" w:hAnsi="Times New Roman" w:cs="Times New Roman"/>
                <w:szCs w:val="22"/>
                <w:lang w:val="it-IT"/>
              </w:rPr>
              <w:t>Si</w:t>
            </w:r>
            <w:r w:rsidRPr="006158E8">
              <w:rPr>
                <w:rFonts w:ascii="Times New Roman" w:hAnsi="Times New Roman" w:cs="Times New Roman"/>
                <w:szCs w:val="22"/>
                <w:vertAlign w:val="subscript"/>
                <w:lang w:val="it-IT"/>
              </w:rPr>
              <w:t>4</w:t>
            </w:r>
            <w:r w:rsidRPr="006158E8">
              <w:rPr>
                <w:rFonts w:ascii="Times New Roman" w:hAnsi="Times New Roman" w:cs="Times New Roman"/>
                <w:szCs w:val="22"/>
                <w:lang w:val="it-IT"/>
              </w:rPr>
              <w:t>; D5= C</w:t>
            </w:r>
            <w:r w:rsidRPr="006158E8">
              <w:rPr>
                <w:rFonts w:ascii="Times New Roman" w:hAnsi="Times New Roman" w:cs="Times New Roman"/>
                <w:szCs w:val="22"/>
                <w:vertAlign w:val="subscript"/>
                <w:lang w:val="it-IT"/>
              </w:rPr>
              <w:t>10</w:t>
            </w:r>
            <w:r w:rsidRPr="006158E8">
              <w:rPr>
                <w:rFonts w:ascii="Times New Roman" w:hAnsi="Times New Roman" w:cs="Times New Roman"/>
                <w:szCs w:val="22"/>
                <w:lang w:val="it-IT"/>
              </w:rPr>
              <w:t>H</w:t>
            </w:r>
            <w:r w:rsidRPr="006158E8">
              <w:rPr>
                <w:rFonts w:ascii="Times New Roman" w:hAnsi="Times New Roman" w:cs="Times New Roman"/>
                <w:szCs w:val="22"/>
                <w:vertAlign w:val="subscript"/>
                <w:lang w:val="it-IT"/>
              </w:rPr>
              <w:t>30</w:t>
            </w:r>
            <w:r w:rsidRPr="006158E8">
              <w:rPr>
                <w:rFonts w:ascii="Times New Roman" w:hAnsi="Times New Roman" w:cs="Times New Roman"/>
                <w:szCs w:val="22"/>
                <w:lang w:val="it-IT"/>
              </w:rPr>
              <w:t>O</w:t>
            </w:r>
            <w:r w:rsidRPr="006158E8">
              <w:rPr>
                <w:rFonts w:ascii="Times New Roman" w:hAnsi="Times New Roman" w:cs="Times New Roman"/>
                <w:szCs w:val="22"/>
                <w:vertAlign w:val="subscript"/>
                <w:lang w:val="it-IT"/>
              </w:rPr>
              <w:t>5</w:t>
            </w:r>
            <w:r w:rsidRPr="006158E8">
              <w:rPr>
                <w:rFonts w:ascii="Times New Roman" w:hAnsi="Times New Roman" w:cs="Times New Roman"/>
                <w:szCs w:val="22"/>
                <w:lang w:val="it-IT"/>
              </w:rPr>
              <w:t>Si</w:t>
            </w:r>
            <w:r w:rsidRPr="006158E8">
              <w:rPr>
                <w:rFonts w:ascii="Times New Roman" w:hAnsi="Times New Roman" w:cs="Times New Roman"/>
                <w:szCs w:val="22"/>
                <w:vertAlign w:val="subscript"/>
                <w:lang w:val="it-IT"/>
              </w:rPr>
              <w:t>5</w:t>
            </w:r>
            <w:r w:rsidRPr="006158E8">
              <w:rPr>
                <w:rFonts w:ascii="Times New Roman" w:hAnsi="Times New Roman" w:cs="Times New Roman"/>
                <w:szCs w:val="22"/>
                <w:lang w:val="it-IT"/>
              </w:rPr>
              <w:t>; toluene = C</w:t>
            </w:r>
            <w:r w:rsidRPr="006158E8">
              <w:rPr>
                <w:rFonts w:ascii="Times New Roman" w:hAnsi="Times New Roman" w:cs="Times New Roman"/>
                <w:szCs w:val="22"/>
                <w:vertAlign w:val="subscript"/>
                <w:lang w:val="it-IT"/>
              </w:rPr>
              <w:t>7</w:t>
            </w:r>
            <w:r w:rsidRPr="006158E8">
              <w:rPr>
                <w:rFonts w:ascii="Times New Roman" w:hAnsi="Times New Roman" w:cs="Times New Roman"/>
                <w:szCs w:val="22"/>
                <w:lang w:val="it-IT"/>
              </w:rPr>
              <w:t>H</w:t>
            </w:r>
            <w:r w:rsidRPr="006158E8">
              <w:rPr>
                <w:rFonts w:ascii="Times New Roman" w:hAnsi="Times New Roman" w:cs="Times New Roman"/>
                <w:szCs w:val="22"/>
                <w:vertAlign w:val="subscript"/>
                <w:lang w:val="it-IT"/>
              </w:rPr>
              <w:t>8</w:t>
            </w:r>
            <w:r w:rsidRPr="006158E8">
              <w:rPr>
                <w:rFonts w:ascii="Times New Roman" w:hAnsi="Times New Roman" w:cs="Times New Roman"/>
                <w:szCs w:val="22"/>
                <w:lang w:val="it-IT"/>
              </w:rPr>
              <w:t>; naphthalene = C</w:t>
            </w:r>
            <w:r w:rsidRPr="006158E8">
              <w:rPr>
                <w:rFonts w:ascii="Times New Roman" w:hAnsi="Times New Roman" w:cs="Times New Roman"/>
                <w:szCs w:val="22"/>
                <w:vertAlign w:val="subscript"/>
                <w:lang w:val="it-IT"/>
              </w:rPr>
              <w:t>10</w:t>
            </w:r>
            <w:r w:rsidRPr="006158E8">
              <w:rPr>
                <w:rFonts w:ascii="Times New Roman" w:hAnsi="Times New Roman" w:cs="Times New Roman"/>
                <w:szCs w:val="22"/>
                <w:lang w:val="it-IT"/>
              </w:rPr>
              <w:t>H</w:t>
            </w:r>
            <w:r w:rsidRPr="006158E8">
              <w:rPr>
                <w:rFonts w:ascii="Times New Roman" w:hAnsi="Times New Roman" w:cs="Times New Roman"/>
                <w:szCs w:val="22"/>
                <w:vertAlign w:val="subscript"/>
                <w:lang w:val="it-IT"/>
              </w:rPr>
              <w:t>8</w:t>
            </w:r>
            <w:r w:rsidRPr="006158E8">
              <w:rPr>
                <w:rFonts w:ascii="Times New Roman" w:hAnsi="Times New Roman" w:cs="Times New Roman"/>
                <w:szCs w:val="22"/>
                <w:lang w:val="it-IT"/>
              </w:rPr>
              <w:t>.</w:t>
            </w:r>
          </w:p>
          <w:p w14:paraId="1B08A6CD" w14:textId="77777777" w:rsidR="00873410" w:rsidRPr="006158E8" w:rsidRDefault="00873410" w:rsidP="003C2073">
            <w:pPr>
              <w:pStyle w:val="EFCFText"/>
              <w:rPr>
                <w:rFonts w:ascii="Times New Roman" w:hAnsi="Times New Roman" w:cs="Times New Roman"/>
                <w:szCs w:val="22"/>
                <w:lang w:val="it-IT"/>
              </w:rPr>
            </w:pPr>
          </w:p>
        </w:tc>
      </w:tr>
    </w:tbl>
    <w:p w14:paraId="73F5C9A9" w14:textId="77777777" w:rsidR="00873410" w:rsidRPr="00873410" w:rsidRDefault="00873410" w:rsidP="00932A42">
      <w:pPr>
        <w:jc w:val="both"/>
        <w:rPr>
          <w:rFonts w:ascii="Times New Roman" w:hAnsi="Times New Roman" w:cs="Times New Roman"/>
          <w:sz w:val="24"/>
          <w:szCs w:val="24"/>
          <w:lang w:val="it-IT" w:bidi="fa-IR"/>
        </w:rPr>
      </w:pPr>
    </w:p>
    <w:p w14:paraId="3746408C" w14:textId="77777777" w:rsidR="00873410" w:rsidRPr="00873410" w:rsidRDefault="00873410" w:rsidP="00932A42">
      <w:pPr>
        <w:jc w:val="both"/>
        <w:rPr>
          <w:rFonts w:ascii="Times New Roman" w:hAnsi="Times New Roman" w:cs="Times New Roman"/>
          <w:sz w:val="24"/>
          <w:szCs w:val="24"/>
          <w:lang w:val="it-IT" w:bidi="fa-IR"/>
        </w:rPr>
      </w:pPr>
    </w:p>
    <w:p w14:paraId="1D2700EB" w14:textId="77777777" w:rsidR="00873410" w:rsidRPr="00873410" w:rsidRDefault="00873410" w:rsidP="00932A42">
      <w:pPr>
        <w:jc w:val="both"/>
        <w:rPr>
          <w:rFonts w:ascii="Times New Roman" w:hAnsi="Times New Roman" w:cs="Times New Roman"/>
          <w:sz w:val="24"/>
          <w:szCs w:val="24"/>
          <w:lang w:val="it-IT" w:bidi="fa-IR"/>
        </w:rPr>
      </w:pPr>
    </w:p>
    <w:p w14:paraId="66AD35AF" w14:textId="77777777" w:rsidR="002F6F1B" w:rsidRDefault="002F6F1B" w:rsidP="00932A42">
      <w:pPr>
        <w:jc w:val="both"/>
        <w:rPr>
          <w:rFonts w:ascii="Times New Roman" w:hAnsi="Times New Roman" w:cs="Times New Roman"/>
          <w:sz w:val="24"/>
          <w:szCs w:val="24"/>
          <w:lang w:val="it-IT" w:bidi="fa-IR"/>
        </w:rPr>
      </w:pPr>
    </w:p>
    <w:p w14:paraId="7F5E9C71" w14:textId="77777777" w:rsidR="000448B9" w:rsidRDefault="000448B9" w:rsidP="00932A42">
      <w:pPr>
        <w:jc w:val="both"/>
        <w:rPr>
          <w:rFonts w:ascii="Times New Roman" w:hAnsi="Times New Roman" w:cs="Times New Roman"/>
          <w:sz w:val="24"/>
          <w:szCs w:val="24"/>
          <w:lang w:val="it-IT" w:bidi="fa-IR"/>
        </w:rPr>
      </w:pPr>
    </w:p>
    <w:p w14:paraId="6BA48FC9" w14:textId="77777777" w:rsidR="000448B9" w:rsidRDefault="000448B9" w:rsidP="00932A42">
      <w:pPr>
        <w:jc w:val="both"/>
        <w:rPr>
          <w:rFonts w:ascii="Times New Roman" w:hAnsi="Times New Roman" w:cs="Times New Roman"/>
          <w:sz w:val="24"/>
          <w:szCs w:val="24"/>
          <w:lang w:val="it-IT" w:bidi="fa-IR"/>
        </w:rPr>
      </w:pPr>
    </w:p>
    <w:p w14:paraId="232D1239" w14:textId="77777777" w:rsidR="000448B9" w:rsidRDefault="000448B9" w:rsidP="00932A42">
      <w:pPr>
        <w:jc w:val="both"/>
        <w:rPr>
          <w:rFonts w:ascii="Times New Roman" w:hAnsi="Times New Roman" w:cs="Times New Roman"/>
          <w:sz w:val="24"/>
          <w:szCs w:val="24"/>
          <w:lang w:val="it-IT" w:bidi="fa-IR"/>
        </w:rPr>
      </w:pPr>
    </w:p>
    <w:p w14:paraId="1320E675" w14:textId="77777777" w:rsidR="000448B9" w:rsidRPr="00873410" w:rsidRDefault="000448B9" w:rsidP="00932A42">
      <w:pPr>
        <w:jc w:val="both"/>
        <w:rPr>
          <w:rFonts w:ascii="Times New Roman" w:hAnsi="Times New Roman" w:cs="Times New Roman"/>
          <w:sz w:val="24"/>
          <w:szCs w:val="24"/>
          <w:lang w:val="it-IT" w:bidi="fa-IR"/>
        </w:rPr>
      </w:pPr>
    </w:p>
    <w:p w14:paraId="1DF1619A" w14:textId="77777777" w:rsidR="002F6F1B" w:rsidRPr="00873410" w:rsidRDefault="002F6F1B" w:rsidP="002F6F1B">
      <w:pPr>
        <w:pStyle w:val="EFCFText"/>
        <w:rPr>
          <w:rFonts w:ascii="Times New Roman" w:hAnsi="Times New Roman" w:cs="Times New Roman"/>
          <w:lang w:val="it-IT"/>
        </w:rPr>
      </w:pPr>
    </w:p>
    <w:p w14:paraId="503A216B" w14:textId="77777777" w:rsidR="005F69F8" w:rsidRPr="00873410" w:rsidRDefault="005F69F8">
      <w:pPr>
        <w:pStyle w:val="EFCFText"/>
        <w:rPr>
          <w:rFonts w:ascii="Times New Roman" w:hAnsi="Times New Roman" w:cs="Times New Roman"/>
          <w:lang w:val="it-IT" w:bidi="fa-IR"/>
        </w:rPr>
      </w:pPr>
    </w:p>
    <w:p w14:paraId="4AE48342" w14:textId="77777777" w:rsidR="000448B9" w:rsidRPr="001C7EF5" w:rsidRDefault="000448B9" w:rsidP="000448B9">
      <w:pPr>
        <w:pStyle w:val="EFCFText"/>
        <w:jc w:val="center"/>
        <w:rPr>
          <w:rFonts w:ascii="Times New Roman" w:hAnsi="Times New Roman" w:cs="Times New Roman"/>
        </w:rPr>
      </w:pPr>
      <w:r w:rsidRPr="001C7EF5">
        <w:rPr>
          <w:rFonts w:ascii="Times New Roman" w:hAnsi="Times New Roman" w:cs="Times New Roman"/>
        </w:rPr>
        <w:t>Table 2. Kinetic data of sorbent materials for H</w:t>
      </w:r>
      <w:r w:rsidRPr="001C7EF5">
        <w:rPr>
          <w:rFonts w:ascii="Times New Roman" w:hAnsi="Times New Roman" w:cs="Times New Roman"/>
          <w:vertAlign w:val="subscript"/>
        </w:rPr>
        <w:t>2</w:t>
      </w:r>
      <w:r w:rsidRPr="001C7EF5">
        <w:rPr>
          <w:rFonts w:ascii="Times New Roman" w:hAnsi="Times New Roman" w:cs="Times New Roman"/>
        </w:rPr>
        <w:t>S and D4 removal; calculation of the breakthrough time</w:t>
      </w:r>
    </w:p>
    <w:tbl>
      <w:tblPr>
        <w:tblW w:w="83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4"/>
        <w:gridCol w:w="1505"/>
        <w:gridCol w:w="1425"/>
        <w:gridCol w:w="1390"/>
        <w:gridCol w:w="1399"/>
        <w:gridCol w:w="1043"/>
      </w:tblGrid>
      <w:tr w:rsidR="000448B9" w:rsidRPr="001C7EF5" w14:paraId="07EADEC9" w14:textId="77777777" w:rsidTr="003C2073">
        <w:trPr>
          <w:trHeight w:val="375"/>
          <w:jc w:val="center"/>
        </w:trPr>
        <w:tc>
          <w:tcPr>
            <w:tcW w:w="1564" w:type="dxa"/>
            <w:shd w:val="clear" w:color="auto" w:fill="auto"/>
            <w:noWrap/>
            <w:vAlign w:val="center"/>
            <w:hideMark/>
          </w:tcPr>
          <w:p w14:paraId="3B8C5EA2" w14:textId="77777777" w:rsidR="000448B9" w:rsidRPr="001C7EF5" w:rsidRDefault="000448B9" w:rsidP="003C2073">
            <w:pPr>
              <w:spacing w:before="240"/>
              <w:jc w:val="center"/>
              <w:rPr>
                <w:rFonts w:ascii="Times New Roman" w:hAnsi="Times New Roman" w:cs="Times New Roman"/>
                <w:sz w:val="24"/>
                <w:szCs w:val="24"/>
                <w:lang w:eastAsia="it-IT"/>
              </w:rPr>
            </w:pPr>
          </w:p>
        </w:tc>
        <w:tc>
          <w:tcPr>
            <w:tcW w:w="1505" w:type="dxa"/>
            <w:shd w:val="clear" w:color="auto" w:fill="auto"/>
            <w:noWrap/>
            <w:vAlign w:val="center"/>
            <w:hideMark/>
          </w:tcPr>
          <w:p w14:paraId="131736A9"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i/>
                <w:color w:val="000000"/>
                <w:sz w:val="24"/>
                <w:szCs w:val="24"/>
              </w:rPr>
              <w:t>C</w:t>
            </w:r>
            <w:r w:rsidRPr="001C7EF5">
              <w:rPr>
                <w:rFonts w:ascii="Times New Roman" w:hAnsi="Times New Roman" w:cs="Times New Roman"/>
                <w:i/>
                <w:color w:val="000000"/>
                <w:sz w:val="24"/>
                <w:szCs w:val="24"/>
                <w:vertAlign w:val="subscript"/>
              </w:rPr>
              <w:t>0</w:t>
            </w:r>
            <w:r w:rsidRPr="001C7EF5">
              <w:rPr>
                <w:rFonts w:ascii="Times New Roman" w:hAnsi="Times New Roman" w:cs="Times New Roman"/>
                <w:color w:val="000000"/>
                <w:sz w:val="24"/>
                <w:szCs w:val="24"/>
              </w:rPr>
              <w:t xml:space="preserve"> (mg m</w:t>
            </w:r>
            <w:r w:rsidRPr="001C7EF5">
              <w:rPr>
                <w:rFonts w:ascii="Times New Roman" w:hAnsi="Times New Roman" w:cs="Times New Roman"/>
                <w:color w:val="000000"/>
                <w:sz w:val="24"/>
                <w:szCs w:val="24"/>
                <w:vertAlign w:val="superscript"/>
              </w:rPr>
              <w:t>-3</w:t>
            </w:r>
            <w:r w:rsidRPr="001C7EF5">
              <w:rPr>
                <w:rFonts w:ascii="Times New Roman" w:hAnsi="Times New Roman" w:cs="Times New Roman"/>
                <w:color w:val="000000"/>
                <w:sz w:val="24"/>
                <w:szCs w:val="24"/>
              </w:rPr>
              <w:t>)</w:t>
            </w:r>
          </w:p>
        </w:tc>
        <w:tc>
          <w:tcPr>
            <w:tcW w:w="1425" w:type="dxa"/>
            <w:shd w:val="clear" w:color="auto" w:fill="auto"/>
            <w:noWrap/>
            <w:vAlign w:val="center"/>
            <w:hideMark/>
          </w:tcPr>
          <w:p w14:paraId="7C98A1A5"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i/>
                <w:color w:val="000000"/>
                <w:sz w:val="24"/>
                <w:szCs w:val="24"/>
              </w:rPr>
              <w:t>K</w:t>
            </w:r>
            <w:r w:rsidRPr="001C7EF5">
              <w:rPr>
                <w:rFonts w:ascii="Times New Roman" w:hAnsi="Times New Roman" w:cs="Times New Roman"/>
                <w:i/>
                <w:color w:val="000000"/>
                <w:sz w:val="24"/>
                <w:szCs w:val="24"/>
                <w:vertAlign w:val="subscript"/>
              </w:rPr>
              <w:t>L</w:t>
            </w:r>
            <w:r w:rsidRPr="001C7EF5">
              <w:rPr>
                <w:rFonts w:ascii="Times New Roman" w:hAnsi="Times New Roman" w:cs="Times New Roman"/>
                <w:color w:val="000000"/>
                <w:sz w:val="24"/>
                <w:szCs w:val="24"/>
              </w:rPr>
              <w:t xml:space="preserve"> (L mg</w:t>
            </w:r>
            <w:r w:rsidRPr="001C7EF5">
              <w:rPr>
                <w:rFonts w:ascii="Times New Roman" w:hAnsi="Times New Roman" w:cs="Times New Roman"/>
                <w:color w:val="000000"/>
                <w:sz w:val="24"/>
                <w:szCs w:val="24"/>
                <w:vertAlign w:val="superscript"/>
              </w:rPr>
              <w:t>-1</w:t>
            </w:r>
            <w:r w:rsidRPr="001C7EF5">
              <w:rPr>
                <w:rFonts w:ascii="Times New Roman" w:hAnsi="Times New Roman" w:cs="Times New Roman"/>
                <w:color w:val="000000"/>
                <w:sz w:val="24"/>
                <w:szCs w:val="24"/>
              </w:rPr>
              <w:t>)</w:t>
            </w:r>
          </w:p>
        </w:tc>
        <w:tc>
          <w:tcPr>
            <w:tcW w:w="1390" w:type="dxa"/>
            <w:shd w:val="clear" w:color="auto" w:fill="auto"/>
            <w:noWrap/>
            <w:vAlign w:val="center"/>
            <w:hideMark/>
          </w:tcPr>
          <w:p w14:paraId="067E3640"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i/>
                <w:color w:val="000000"/>
                <w:sz w:val="24"/>
                <w:szCs w:val="24"/>
              </w:rPr>
              <w:t>q</w:t>
            </w:r>
            <w:r w:rsidRPr="001C7EF5">
              <w:rPr>
                <w:rFonts w:ascii="Times New Roman" w:hAnsi="Times New Roman" w:cs="Times New Roman"/>
                <w:i/>
                <w:color w:val="000000"/>
                <w:sz w:val="24"/>
                <w:szCs w:val="24"/>
                <w:vertAlign w:val="subscript"/>
              </w:rPr>
              <w:t>s</w:t>
            </w:r>
            <w:r w:rsidRPr="001C7EF5">
              <w:rPr>
                <w:rFonts w:ascii="Times New Roman" w:hAnsi="Times New Roman" w:cs="Times New Roman"/>
                <w:color w:val="000000"/>
                <w:sz w:val="24"/>
                <w:szCs w:val="24"/>
              </w:rPr>
              <w:t xml:space="preserve"> (mg g</w:t>
            </w:r>
            <w:r w:rsidRPr="001C7EF5">
              <w:rPr>
                <w:rFonts w:ascii="Times New Roman" w:hAnsi="Times New Roman" w:cs="Times New Roman"/>
                <w:color w:val="000000"/>
                <w:sz w:val="24"/>
                <w:szCs w:val="24"/>
                <w:vertAlign w:val="superscript"/>
              </w:rPr>
              <w:t>-1</w:t>
            </w:r>
            <w:r w:rsidRPr="001C7EF5">
              <w:rPr>
                <w:rFonts w:ascii="Times New Roman" w:hAnsi="Times New Roman" w:cs="Times New Roman"/>
                <w:color w:val="000000"/>
                <w:sz w:val="24"/>
                <w:szCs w:val="24"/>
              </w:rPr>
              <w:t>)</w:t>
            </w:r>
          </w:p>
        </w:tc>
        <w:tc>
          <w:tcPr>
            <w:tcW w:w="1399" w:type="dxa"/>
            <w:shd w:val="clear" w:color="auto" w:fill="auto"/>
            <w:noWrap/>
            <w:vAlign w:val="center"/>
            <w:hideMark/>
          </w:tcPr>
          <w:p w14:paraId="32F3D9BE"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i/>
                <w:color w:val="000000"/>
                <w:sz w:val="24"/>
                <w:szCs w:val="24"/>
              </w:rPr>
              <w:t>q</w:t>
            </w:r>
            <w:r w:rsidRPr="001C7EF5">
              <w:rPr>
                <w:rFonts w:ascii="Times New Roman" w:hAnsi="Times New Roman" w:cs="Times New Roman"/>
                <w:i/>
                <w:color w:val="000000"/>
                <w:sz w:val="24"/>
                <w:szCs w:val="24"/>
                <w:vertAlign w:val="subscript"/>
              </w:rPr>
              <w:t>e</w:t>
            </w:r>
            <w:r w:rsidRPr="001C7EF5">
              <w:rPr>
                <w:rFonts w:ascii="Times New Roman" w:hAnsi="Times New Roman" w:cs="Times New Roman"/>
                <w:color w:val="000000"/>
                <w:sz w:val="24"/>
                <w:szCs w:val="24"/>
              </w:rPr>
              <w:t xml:space="preserve"> (mg g</w:t>
            </w:r>
            <w:r w:rsidRPr="001C7EF5">
              <w:rPr>
                <w:rFonts w:ascii="Times New Roman" w:hAnsi="Times New Roman" w:cs="Times New Roman"/>
                <w:color w:val="000000"/>
                <w:sz w:val="24"/>
                <w:szCs w:val="24"/>
                <w:vertAlign w:val="superscript"/>
              </w:rPr>
              <w:t>-1</w:t>
            </w:r>
            <w:r w:rsidRPr="001C7EF5">
              <w:rPr>
                <w:rFonts w:ascii="Times New Roman" w:hAnsi="Times New Roman" w:cs="Times New Roman"/>
                <w:color w:val="000000"/>
                <w:sz w:val="24"/>
                <w:szCs w:val="24"/>
              </w:rPr>
              <w:t>)</w:t>
            </w:r>
          </w:p>
        </w:tc>
        <w:tc>
          <w:tcPr>
            <w:tcW w:w="1043" w:type="dxa"/>
            <w:shd w:val="clear" w:color="auto" w:fill="auto"/>
            <w:noWrap/>
            <w:vAlign w:val="center"/>
            <w:hideMark/>
          </w:tcPr>
          <w:p w14:paraId="4FF5131B"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i/>
                <w:color w:val="000000"/>
                <w:sz w:val="24"/>
                <w:szCs w:val="24"/>
              </w:rPr>
              <w:t>t</w:t>
            </w:r>
            <w:r w:rsidRPr="001C7EF5">
              <w:rPr>
                <w:rFonts w:ascii="Times New Roman" w:hAnsi="Times New Roman" w:cs="Times New Roman"/>
                <w:i/>
                <w:color w:val="000000"/>
                <w:sz w:val="24"/>
                <w:szCs w:val="24"/>
                <w:vertAlign w:val="subscript"/>
              </w:rPr>
              <w:t>b</w:t>
            </w:r>
            <w:r w:rsidRPr="001C7EF5">
              <w:rPr>
                <w:rFonts w:ascii="Times New Roman" w:hAnsi="Times New Roman" w:cs="Times New Roman"/>
                <w:color w:val="000000"/>
                <w:sz w:val="24"/>
                <w:szCs w:val="24"/>
              </w:rPr>
              <w:t xml:space="preserve"> (day)</w:t>
            </w:r>
          </w:p>
        </w:tc>
      </w:tr>
      <w:tr w:rsidR="000448B9" w:rsidRPr="001C7EF5" w14:paraId="54E374A0" w14:textId="77777777" w:rsidTr="003C2073">
        <w:trPr>
          <w:trHeight w:val="375"/>
          <w:jc w:val="center"/>
        </w:trPr>
        <w:tc>
          <w:tcPr>
            <w:tcW w:w="1564" w:type="dxa"/>
            <w:shd w:val="clear" w:color="auto" w:fill="auto"/>
            <w:noWrap/>
            <w:vAlign w:val="center"/>
            <w:hideMark/>
          </w:tcPr>
          <w:p w14:paraId="58716EAE"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H</w:t>
            </w:r>
            <w:r w:rsidRPr="001C7EF5">
              <w:rPr>
                <w:rFonts w:ascii="Times New Roman" w:hAnsi="Times New Roman" w:cs="Times New Roman"/>
                <w:color w:val="000000"/>
                <w:sz w:val="24"/>
                <w:szCs w:val="24"/>
                <w:vertAlign w:val="subscript"/>
              </w:rPr>
              <w:t>2</w:t>
            </w:r>
            <w:r w:rsidRPr="001C7EF5">
              <w:rPr>
                <w:rFonts w:ascii="Times New Roman" w:hAnsi="Times New Roman" w:cs="Times New Roman"/>
                <w:color w:val="000000"/>
                <w:sz w:val="24"/>
                <w:szCs w:val="24"/>
              </w:rPr>
              <w:t>S sorbent</w:t>
            </w:r>
          </w:p>
        </w:tc>
        <w:tc>
          <w:tcPr>
            <w:tcW w:w="1505" w:type="dxa"/>
            <w:shd w:val="clear" w:color="auto" w:fill="auto"/>
            <w:noWrap/>
            <w:vAlign w:val="center"/>
            <w:hideMark/>
          </w:tcPr>
          <w:p w14:paraId="12AFE2C1"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30.0</w:t>
            </w:r>
          </w:p>
        </w:tc>
        <w:tc>
          <w:tcPr>
            <w:tcW w:w="1425" w:type="dxa"/>
            <w:shd w:val="clear" w:color="auto" w:fill="auto"/>
            <w:noWrap/>
            <w:vAlign w:val="center"/>
            <w:hideMark/>
          </w:tcPr>
          <w:p w14:paraId="009ABBEA"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18.0</w:t>
            </w:r>
          </w:p>
        </w:tc>
        <w:tc>
          <w:tcPr>
            <w:tcW w:w="1390" w:type="dxa"/>
            <w:shd w:val="clear" w:color="auto" w:fill="auto"/>
            <w:noWrap/>
            <w:vAlign w:val="center"/>
            <w:hideMark/>
          </w:tcPr>
          <w:p w14:paraId="4B27C385"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9.4</w:t>
            </w:r>
          </w:p>
        </w:tc>
        <w:tc>
          <w:tcPr>
            <w:tcW w:w="1399" w:type="dxa"/>
            <w:shd w:val="clear" w:color="auto" w:fill="auto"/>
            <w:noWrap/>
            <w:vAlign w:val="center"/>
            <w:hideMark/>
          </w:tcPr>
          <w:p w14:paraId="4F84920B"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3.3</w:t>
            </w:r>
          </w:p>
        </w:tc>
        <w:tc>
          <w:tcPr>
            <w:tcW w:w="1043" w:type="dxa"/>
            <w:shd w:val="clear" w:color="auto" w:fill="auto"/>
            <w:noWrap/>
            <w:vAlign w:val="center"/>
            <w:hideMark/>
          </w:tcPr>
          <w:p w14:paraId="2BE3954D"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22.4</w:t>
            </w:r>
          </w:p>
        </w:tc>
      </w:tr>
      <w:tr w:rsidR="000448B9" w:rsidRPr="001C7EF5" w14:paraId="695C5B13" w14:textId="77777777" w:rsidTr="003C2073">
        <w:trPr>
          <w:trHeight w:val="300"/>
          <w:jc w:val="center"/>
        </w:trPr>
        <w:tc>
          <w:tcPr>
            <w:tcW w:w="1564" w:type="dxa"/>
            <w:shd w:val="clear" w:color="auto" w:fill="auto"/>
            <w:noWrap/>
            <w:vAlign w:val="center"/>
            <w:hideMark/>
          </w:tcPr>
          <w:p w14:paraId="34FE0D2B"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D4 sorbent</w:t>
            </w:r>
          </w:p>
        </w:tc>
        <w:tc>
          <w:tcPr>
            <w:tcW w:w="1505" w:type="dxa"/>
            <w:shd w:val="clear" w:color="auto" w:fill="auto"/>
            <w:noWrap/>
            <w:vAlign w:val="center"/>
            <w:hideMark/>
          </w:tcPr>
          <w:p w14:paraId="114C0BCE"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13.2</w:t>
            </w:r>
          </w:p>
        </w:tc>
        <w:tc>
          <w:tcPr>
            <w:tcW w:w="1425" w:type="dxa"/>
            <w:shd w:val="clear" w:color="auto" w:fill="auto"/>
            <w:noWrap/>
            <w:vAlign w:val="center"/>
            <w:hideMark/>
          </w:tcPr>
          <w:p w14:paraId="2D6DA7DE"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0.23</w:t>
            </w:r>
          </w:p>
        </w:tc>
        <w:tc>
          <w:tcPr>
            <w:tcW w:w="1390" w:type="dxa"/>
            <w:shd w:val="clear" w:color="auto" w:fill="auto"/>
            <w:noWrap/>
            <w:vAlign w:val="center"/>
            <w:hideMark/>
          </w:tcPr>
          <w:p w14:paraId="62CDB4CE"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1667.0</w:t>
            </w:r>
          </w:p>
        </w:tc>
        <w:tc>
          <w:tcPr>
            <w:tcW w:w="1399" w:type="dxa"/>
            <w:shd w:val="clear" w:color="auto" w:fill="auto"/>
            <w:noWrap/>
            <w:vAlign w:val="center"/>
            <w:hideMark/>
          </w:tcPr>
          <w:p w14:paraId="089E35C8"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5.1</w:t>
            </w:r>
          </w:p>
        </w:tc>
        <w:tc>
          <w:tcPr>
            <w:tcW w:w="1043" w:type="dxa"/>
            <w:shd w:val="clear" w:color="auto" w:fill="auto"/>
            <w:noWrap/>
            <w:vAlign w:val="center"/>
            <w:hideMark/>
          </w:tcPr>
          <w:p w14:paraId="3881DF32" w14:textId="77777777" w:rsidR="000448B9" w:rsidRPr="001C7EF5" w:rsidRDefault="000448B9" w:rsidP="003C2073">
            <w:pPr>
              <w:spacing w:before="240"/>
              <w:jc w:val="center"/>
              <w:rPr>
                <w:rFonts w:ascii="Times New Roman" w:hAnsi="Times New Roman" w:cs="Times New Roman"/>
                <w:color w:val="000000"/>
                <w:sz w:val="24"/>
                <w:szCs w:val="24"/>
              </w:rPr>
            </w:pPr>
            <w:r w:rsidRPr="001C7EF5">
              <w:rPr>
                <w:rFonts w:ascii="Times New Roman" w:hAnsi="Times New Roman" w:cs="Times New Roman"/>
                <w:color w:val="000000"/>
                <w:sz w:val="24"/>
                <w:szCs w:val="24"/>
              </w:rPr>
              <w:t>78.1</w:t>
            </w:r>
          </w:p>
        </w:tc>
      </w:tr>
    </w:tbl>
    <w:p w14:paraId="6120E2DB" w14:textId="77777777" w:rsidR="00050AD2" w:rsidRDefault="00050AD2">
      <w:pPr>
        <w:pStyle w:val="EFCFText"/>
        <w:rPr>
          <w:lang w:val="it-IT" w:bidi="fa-IR"/>
        </w:rPr>
      </w:pPr>
    </w:p>
    <w:p w14:paraId="7035D07F" w14:textId="77777777" w:rsidR="000448B9" w:rsidRDefault="000448B9">
      <w:pPr>
        <w:pStyle w:val="EFCFText"/>
        <w:rPr>
          <w:lang w:val="it-IT" w:bidi="fa-IR"/>
        </w:rPr>
      </w:pPr>
    </w:p>
    <w:p w14:paraId="5B8C889A" w14:textId="77777777" w:rsidR="000448B9" w:rsidRDefault="000448B9">
      <w:pPr>
        <w:pStyle w:val="EFCFText"/>
        <w:rPr>
          <w:lang w:val="it-IT" w:bidi="fa-IR"/>
        </w:rPr>
      </w:pPr>
    </w:p>
    <w:p w14:paraId="5EBF92B7" w14:textId="77777777" w:rsidR="001747D5" w:rsidRDefault="001747D5">
      <w:pPr>
        <w:rPr>
          <w:rFonts w:ascii="Times New Roman" w:eastAsia="Times New Roman" w:hAnsi="Times New Roman" w:cs="Times New Roman"/>
          <w:sz w:val="24"/>
          <w:szCs w:val="24"/>
        </w:rPr>
      </w:pPr>
      <w:r>
        <w:rPr>
          <w:rFonts w:ascii="Times New Roman" w:hAnsi="Times New Roman" w:cs="Times New Roman"/>
        </w:rPr>
        <w:br w:type="page"/>
      </w:r>
    </w:p>
    <w:p w14:paraId="766C6B4A" w14:textId="77777777" w:rsidR="001747D5" w:rsidRDefault="001747D5" w:rsidP="000448B9">
      <w:pPr>
        <w:pStyle w:val="EFCFText"/>
        <w:spacing w:line="480" w:lineRule="auto"/>
        <w:jc w:val="center"/>
        <w:rPr>
          <w:rFonts w:ascii="Times New Roman" w:hAnsi="Times New Roman" w:cs="Times New Roman"/>
        </w:rPr>
      </w:pPr>
    </w:p>
    <w:p w14:paraId="385CFCE8" w14:textId="77777777" w:rsidR="001747D5" w:rsidRDefault="001747D5" w:rsidP="000448B9">
      <w:pPr>
        <w:pStyle w:val="EFCFText"/>
        <w:spacing w:line="480" w:lineRule="auto"/>
        <w:jc w:val="center"/>
        <w:rPr>
          <w:rFonts w:ascii="Times New Roman" w:hAnsi="Times New Roman" w:cs="Times New Roman"/>
        </w:rPr>
      </w:pPr>
    </w:p>
    <w:p w14:paraId="625F100B" w14:textId="77777777" w:rsidR="001747D5" w:rsidRDefault="001747D5" w:rsidP="000448B9">
      <w:pPr>
        <w:pStyle w:val="EFCFText"/>
        <w:spacing w:line="480" w:lineRule="auto"/>
        <w:jc w:val="center"/>
        <w:rPr>
          <w:rFonts w:ascii="Times New Roman" w:hAnsi="Times New Roman" w:cs="Times New Roman"/>
        </w:rPr>
      </w:pPr>
    </w:p>
    <w:p w14:paraId="73F765F0" w14:textId="77777777" w:rsidR="001747D5" w:rsidRDefault="001747D5" w:rsidP="000448B9">
      <w:pPr>
        <w:pStyle w:val="EFCFText"/>
        <w:spacing w:line="480" w:lineRule="auto"/>
        <w:jc w:val="center"/>
        <w:rPr>
          <w:rFonts w:ascii="Times New Roman" w:hAnsi="Times New Roman" w:cs="Times New Roman"/>
        </w:rPr>
      </w:pPr>
    </w:p>
    <w:p w14:paraId="69D96703" w14:textId="7930C341" w:rsidR="000448B9" w:rsidRPr="001C7EF5" w:rsidRDefault="000448B9" w:rsidP="000448B9">
      <w:pPr>
        <w:pStyle w:val="EFCFText"/>
        <w:spacing w:line="480" w:lineRule="auto"/>
        <w:jc w:val="center"/>
        <w:rPr>
          <w:rFonts w:ascii="Times New Roman" w:hAnsi="Times New Roman" w:cs="Times New Roman"/>
        </w:rPr>
      </w:pPr>
      <w:r w:rsidRPr="001C7EF5">
        <w:rPr>
          <w:rFonts w:ascii="Times New Roman" w:hAnsi="Times New Roman" w:cs="Times New Roman"/>
        </w:rPr>
        <w:t>Table 3. Economic considerations for the operating cost (OPEX) of the clean-up beds</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0"/>
        <w:gridCol w:w="960"/>
        <w:gridCol w:w="2800"/>
        <w:gridCol w:w="2083"/>
        <w:gridCol w:w="1710"/>
      </w:tblGrid>
      <w:tr w:rsidR="000448B9" w:rsidRPr="001C7EF5" w14:paraId="701A2684" w14:textId="77777777" w:rsidTr="003C2073">
        <w:trPr>
          <w:trHeight w:val="375"/>
          <w:jc w:val="center"/>
        </w:trPr>
        <w:tc>
          <w:tcPr>
            <w:tcW w:w="1680" w:type="dxa"/>
            <w:shd w:val="clear" w:color="auto" w:fill="auto"/>
            <w:noWrap/>
            <w:vAlign w:val="center"/>
            <w:hideMark/>
          </w:tcPr>
          <w:p w14:paraId="5451CC9C" w14:textId="77777777" w:rsidR="000448B9" w:rsidRPr="001C7EF5" w:rsidRDefault="000448B9" w:rsidP="003C2073">
            <w:pPr>
              <w:spacing w:before="240"/>
              <w:jc w:val="center"/>
              <w:rPr>
                <w:rFonts w:ascii="Times New Roman" w:hAnsi="Times New Roman" w:cs="Times New Roman"/>
                <w:sz w:val="24"/>
                <w:szCs w:val="20"/>
                <w:lang w:eastAsia="it-IT"/>
              </w:rPr>
            </w:pPr>
          </w:p>
        </w:tc>
        <w:tc>
          <w:tcPr>
            <w:tcW w:w="960" w:type="dxa"/>
            <w:shd w:val="clear" w:color="auto" w:fill="auto"/>
            <w:noWrap/>
            <w:vAlign w:val="center"/>
            <w:hideMark/>
          </w:tcPr>
          <w:p w14:paraId="61235370"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i/>
                <w:color w:val="000000"/>
                <w:sz w:val="24"/>
              </w:rPr>
              <w:t>t</w:t>
            </w:r>
            <w:r w:rsidRPr="001C7EF5">
              <w:rPr>
                <w:rFonts w:ascii="Times New Roman" w:hAnsi="Times New Roman" w:cs="Times New Roman"/>
                <w:i/>
                <w:color w:val="000000"/>
                <w:sz w:val="24"/>
                <w:vertAlign w:val="subscript"/>
              </w:rPr>
              <w:t>b</w:t>
            </w:r>
            <w:r w:rsidRPr="001C7EF5">
              <w:rPr>
                <w:rFonts w:ascii="Times New Roman" w:hAnsi="Times New Roman" w:cs="Times New Roman"/>
                <w:color w:val="000000"/>
                <w:sz w:val="24"/>
              </w:rPr>
              <w:t xml:space="preserve"> (day)</w:t>
            </w:r>
          </w:p>
        </w:tc>
        <w:tc>
          <w:tcPr>
            <w:tcW w:w="2800" w:type="dxa"/>
            <w:shd w:val="clear" w:color="auto" w:fill="auto"/>
            <w:noWrap/>
            <w:vAlign w:val="center"/>
            <w:hideMark/>
          </w:tcPr>
          <w:p w14:paraId="2344D691"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Consumption (kg yr</w:t>
            </w:r>
            <w:r w:rsidRPr="001C7EF5">
              <w:rPr>
                <w:rFonts w:ascii="Times New Roman" w:hAnsi="Times New Roman" w:cs="Times New Roman"/>
                <w:color w:val="000000"/>
                <w:sz w:val="24"/>
                <w:vertAlign w:val="superscript"/>
              </w:rPr>
              <w:t>-1</w:t>
            </w:r>
            <w:r w:rsidRPr="001C7EF5">
              <w:rPr>
                <w:rFonts w:ascii="Times New Roman" w:hAnsi="Times New Roman" w:cs="Times New Roman"/>
                <w:color w:val="000000"/>
                <w:sz w:val="24"/>
              </w:rPr>
              <w:t>)</w:t>
            </w:r>
          </w:p>
        </w:tc>
        <w:tc>
          <w:tcPr>
            <w:tcW w:w="2083" w:type="dxa"/>
            <w:shd w:val="clear" w:color="auto" w:fill="auto"/>
            <w:noWrap/>
            <w:vAlign w:val="center"/>
            <w:hideMark/>
          </w:tcPr>
          <w:p w14:paraId="22E83B37"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Unit Cost ($ kg</w:t>
            </w:r>
            <w:r w:rsidRPr="001C7EF5">
              <w:rPr>
                <w:rFonts w:ascii="Times New Roman" w:hAnsi="Times New Roman" w:cs="Times New Roman"/>
                <w:color w:val="000000"/>
                <w:sz w:val="24"/>
                <w:vertAlign w:val="superscript"/>
              </w:rPr>
              <w:t>-1</w:t>
            </w:r>
            <w:r w:rsidRPr="001C7EF5">
              <w:rPr>
                <w:rFonts w:ascii="Times New Roman" w:hAnsi="Times New Roman" w:cs="Times New Roman"/>
                <w:color w:val="000000"/>
                <w:sz w:val="24"/>
              </w:rPr>
              <w:t>)</w:t>
            </w:r>
          </w:p>
        </w:tc>
        <w:tc>
          <w:tcPr>
            <w:tcW w:w="1710" w:type="dxa"/>
            <w:shd w:val="clear" w:color="auto" w:fill="auto"/>
            <w:noWrap/>
            <w:vAlign w:val="center"/>
            <w:hideMark/>
          </w:tcPr>
          <w:p w14:paraId="42346BD8"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OPEX ($ yr</w:t>
            </w:r>
            <w:r w:rsidRPr="001C7EF5">
              <w:rPr>
                <w:rFonts w:ascii="Times New Roman" w:hAnsi="Times New Roman" w:cs="Times New Roman"/>
                <w:color w:val="000000"/>
                <w:sz w:val="24"/>
                <w:vertAlign w:val="superscript"/>
              </w:rPr>
              <w:t>-1</w:t>
            </w:r>
            <w:r w:rsidRPr="001C7EF5">
              <w:rPr>
                <w:rFonts w:ascii="Times New Roman" w:hAnsi="Times New Roman" w:cs="Times New Roman"/>
                <w:color w:val="000000"/>
                <w:sz w:val="24"/>
              </w:rPr>
              <w:t>)</w:t>
            </w:r>
          </w:p>
        </w:tc>
      </w:tr>
      <w:tr w:rsidR="000448B9" w:rsidRPr="001C7EF5" w14:paraId="0172958F" w14:textId="77777777" w:rsidTr="003C2073">
        <w:trPr>
          <w:trHeight w:val="375"/>
          <w:jc w:val="center"/>
        </w:trPr>
        <w:tc>
          <w:tcPr>
            <w:tcW w:w="1680" w:type="dxa"/>
            <w:shd w:val="clear" w:color="auto" w:fill="auto"/>
            <w:noWrap/>
            <w:vAlign w:val="center"/>
            <w:hideMark/>
          </w:tcPr>
          <w:p w14:paraId="3644891E"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H</w:t>
            </w:r>
            <w:r w:rsidRPr="001C7EF5">
              <w:rPr>
                <w:rFonts w:ascii="Times New Roman" w:hAnsi="Times New Roman" w:cs="Times New Roman"/>
                <w:color w:val="000000"/>
                <w:sz w:val="24"/>
                <w:vertAlign w:val="subscript"/>
              </w:rPr>
              <w:t>2</w:t>
            </w:r>
            <w:r w:rsidRPr="001C7EF5">
              <w:rPr>
                <w:rFonts w:ascii="Times New Roman" w:hAnsi="Times New Roman" w:cs="Times New Roman"/>
                <w:color w:val="000000"/>
                <w:sz w:val="24"/>
              </w:rPr>
              <w:t>S sorbent</w:t>
            </w:r>
          </w:p>
        </w:tc>
        <w:tc>
          <w:tcPr>
            <w:tcW w:w="960" w:type="dxa"/>
            <w:shd w:val="clear" w:color="auto" w:fill="auto"/>
            <w:noWrap/>
            <w:vAlign w:val="center"/>
            <w:hideMark/>
          </w:tcPr>
          <w:p w14:paraId="7E4D24C7"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22.4</w:t>
            </w:r>
          </w:p>
        </w:tc>
        <w:tc>
          <w:tcPr>
            <w:tcW w:w="2800" w:type="dxa"/>
            <w:shd w:val="clear" w:color="auto" w:fill="auto"/>
            <w:noWrap/>
            <w:vAlign w:val="center"/>
            <w:hideMark/>
          </w:tcPr>
          <w:p w14:paraId="7088E12C"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4,066</w:t>
            </w:r>
          </w:p>
        </w:tc>
        <w:tc>
          <w:tcPr>
            <w:tcW w:w="2083" w:type="dxa"/>
            <w:shd w:val="clear" w:color="auto" w:fill="auto"/>
            <w:noWrap/>
            <w:vAlign w:val="center"/>
            <w:hideMark/>
          </w:tcPr>
          <w:p w14:paraId="4E3350FD"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7.5</w:t>
            </w:r>
          </w:p>
        </w:tc>
        <w:tc>
          <w:tcPr>
            <w:tcW w:w="1710" w:type="dxa"/>
            <w:shd w:val="clear" w:color="auto" w:fill="auto"/>
            <w:noWrap/>
            <w:vAlign w:val="center"/>
            <w:hideMark/>
          </w:tcPr>
          <w:p w14:paraId="21B6EB6E"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30,497</w:t>
            </w:r>
          </w:p>
        </w:tc>
      </w:tr>
      <w:tr w:rsidR="000448B9" w:rsidRPr="001C7EF5" w14:paraId="304CF5D2" w14:textId="77777777" w:rsidTr="003C2073">
        <w:trPr>
          <w:trHeight w:val="300"/>
          <w:jc w:val="center"/>
        </w:trPr>
        <w:tc>
          <w:tcPr>
            <w:tcW w:w="1680" w:type="dxa"/>
            <w:shd w:val="clear" w:color="auto" w:fill="auto"/>
            <w:noWrap/>
            <w:vAlign w:val="center"/>
            <w:hideMark/>
          </w:tcPr>
          <w:p w14:paraId="23E04413"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D4 sorbent</w:t>
            </w:r>
          </w:p>
        </w:tc>
        <w:tc>
          <w:tcPr>
            <w:tcW w:w="960" w:type="dxa"/>
            <w:shd w:val="clear" w:color="auto" w:fill="auto"/>
            <w:noWrap/>
            <w:vAlign w:val="center"/>
            <w:hideMark/>
          </w:tcPr>
          <w:p w14:paraId="6DA05E6C"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78.1</w:t>
            </w:r>
          </w:p>
        </w:tc>
        <w:tc>
          <w:tcPr>
            <w:tcW w:w="2800" w:type="dxa"/>
            <w:shd w:val="clear" w:color="auto" w:fill="auto"/>
            <w:noWrap/>
            <w:vAlign w:val="center"/>
            <w:hideMark/>
          </w:tcPr>
          <w:p w14:paraId="3C53528D"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1,169</w:t>
            </w:r>
          </w:p>
        </w:tc>
        <w:tc>
          <w:tcPr>
            <w:tcW w:w="2083" w:type="dxa"/>
            <w:shd w:val="clear" w:color="auto" w:fill="auto"/>
            <w:noWrap/>
            <w:vAlign w:val="center"/>
            <w:hideMark/>
          </w:tcPr>
          <w:p w14:paraId="6392D073"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3.5</w:t>
            </w:r>
          </w:p>
        </w:tc>
        <w:tc>
          <w:tcPr>
            <w:tcW w:w="1710" w:type="dxa"/>
            <w:shd w:val="clear" w:color="auto" w:fill="auto"/>
            <w:noWrap/>
            <w:vAlign w:val="center"/>
            <w:hideMark/>
          </w:tcPr>
          <w:p w14:paraId="1253B4D4" w14:textId="77777777" w:rsidR="000448B9" w:rsidRPr="001C7EF5" w:rsidRDefault="000448B9" w:rsidP="003C2073">
            <w:pPr>
              <w:spacing w:before="240"/>
              <w:jc w:val="center"/>
              <w:rPr>
                <w:rFonts w:ascii="Times New Roman" w:hAnsi="Times New Roman" w:cs="Times New Roman"/>
                <w:color w:val="000000"/>
                <w:sz w:val="24"/>
              </w:rPr>
            </w:pPr>
            <w:r w:rsidRPr="001C7EF5">
              <w:rPr>
                <w:rFonts w:ascii="Times New Roman" w:hAnsi="Times New Roman" w:cs="Times New Roman"/>
                <w:color w:val="000000"/>
                <w:sz w:val="24"/>
              </w:rPr>
              <w:t>4,091</w:t>
            </w:r>
          </w:p>
        </w:tc>
      </w:tr>
    </w:tbl>
    <w:p w14:paraId="39616E83" w14:textId="77777777" w:rsidR="000448B9" w:rsidRDefault="000448B9">
      <w:pPr>
        <w:pStyle w:val="EFCFText"/>
        <w:rPr>
          <w:lang w:val="it-IT" w:bidi="fa-IR"/>
        </w:rPr>
      </w:pPr>
    </w:p>
    <w:p w14:paraId="35D97F10" w14:textId="77777777" w:rsidR="006C1229" w:rsidRDefault="006C1229">
      <w:pPr>
        <w:pStyle w:val="EFCFText"/>
        <w:rPr>
          <w:lang w:val="it-IT" w:bidi="fa-IR"/>
        </w:rPr>
      </w:pPr>
    </w:p>
    <w:p w14:paraId="73EC4E45" w14:textId="4B839584" w:rsidR="006C1229" w:rsidRDefault="006C1229">
      <w:pPr>
        <w:rPr>
          <w:rFonts w:ascii="Arial" w:eastAsia="Times New Roman" w:hAnsi="Arial" w:cs="Arial"/>
          <w:sz w:val="24"/>
          <w:szCs w:val="24"/>
          <w:lang w:val="it-IT" w:bidi="fa-IR"/>
        </w:rPr>
      </w:pPr>
      <w:r>
        <w:rPr>
          <w:lang w:val="it-IT" w:bidi="fa-IR"/>
        </w:rPr>
        <w:br w:type="page"/>
      </w:r>
    </w:p>
    <w:p w14:paraId="120BCAE3" w14:textId="69732973" w:rsidR="006C1229" w:rsidRDefault="006C1229">
      <w:pPr>
        <w:pStyle w:val="EFCFText"/>
        <w:rPr>
          <w:rFonts w:ascii="Times New Roman" w:hAnsi="Times New Roman" w:cs="Times New Roman"/>
          <w:b/>
          <w:lang w:val="it-IT" w:bidi="fa-IR"/>
        </w:rPr>
      </w:pPr>
      <w:r w:rsidRPr="006C1229">
        <w:rPr>
          <w:rFonts w:ascii="Times New Roman" w:hAnsi="Times New Roman" w:cs="Times New Roman"/>
          <w:b/>
          <w:lang w:val="it-IT" w:bidi="fa-IR"/>
        </w:rPr>
        <w:lastRenderedPageBreak/>
        <w:t>Figure captions</w:t>
      </w:r>
    </w:p>
    <w:p w14:paraId="3D13AE82" w14:textId="77777777" w:rsidR="006C1229" w:rsidRDefault="006C1229">
      <w:pPr>
        <w:pStyle w:val="EFCFText"/>
        <w:rPr>
          <w:rFonts w:ascii="Times New Roman" w:hAnsi="Times New Roman" w:cs="Times New Roman"/>
          <w:b/>
          <w:lang w:val="it-IT" w:bidi="fa-IR"/>
        </w:rPr>
      </w:pPr>
    </w:p>
    <w:p w14:paraId="0F30AA0B" w14:textId="77777777" w:rsidR="006C1229" w:rsidRDefault="006C1229" w:rsidP="006C1229">
      <w:pPr>
        <w:pStyle w:val="EFCFText"/>
        <w:spacing w:line="480" w:lineRule="auto"/>
        <w:jc w:val="left"/>
        <w:rPr>
          <w:rFonts w:ascii="Times New Roman" w:hAnsi="Times New Roman" w:cs="Times New Roman"/>
        </w:rPr>
      </w:pPr>
      <w:r w:rsidRPr="001B29DF">
        <w:rPr>
          <w:rFonts w:ascii="Times New Roman" w:hAnsi="Times New Roman" w:cs="Times New Roman"/>
        </w:rPr>
        <w:t xml:space="preserve">Figure 1. </w:t>
      </w:r>
      <w:r>
        <w:rPr>
          <w:rFonts w:ascii="Times New Roman" w:hAnsi="Times New Roman" w:cs="Times New Roman"/>
          <w:noProof/>
        </w:rPr>
        <w:t>The i</w:t>
      </w:r>
      <w:r w:rsidRPr="00873410">
        <w:rPr>
          <w:rFonts w:ascii="Times New Roman" w:hAnsi="Times New Roman" w:cs="Times New Roman"/>
          <w:noProof/>
        </w:rPr>
        <w:t>ntrinsic</w:t>
      </w:r>
      <w:r w:rsidRPr="001B29DF">
        <w:rPr>
          <w:rFonts w:ascii="Times New Roman" w:hAnsi="Times New Roman" w:cs="Times New Roman"/>
        </w:rPr>
        <w:t xml:space="preserve"> degradation rate of Ni-anode fuel cell in the presence of siloxanes (operating temperature = 750 °C).</w:t>
      </w:r>
    </w:p>
    <w:p w14:paraId="73361067" w14:textId="77777777" w:rsidR="006C1229" w:rsidRDefault="006C1229" w:rsidP="006C1229">
      <w:pPr>
        <w:pStyle w:val="EFCFText"/>
        <w:tabs>
          <w:tab w:val="left" w:pos="1797"/>
        </w:tabs>
        <w:spacing w:line="480" w:lineRule="auto"/>
        <w:jc w:val="left"/>
        <w:rPr>
          <w:rFonts w:ascii="Times New Roman" w:hAnsi="Times New Roman" w:cs="Times New Roman"/>
        </w:rPr>
      </w:pPr>
      <w:r w:rsidRPr="001B29DF">
        <w:rPr>
          <w:rFonts w:ascii="Times New Roman" w:hAnsi="Times New Roman" w:cs="Times New Roman"/>
        </w:rPr>
        <w:t>Figure 2. Ni-anode deactivation in the presence of H</w:t>
      </w:r>
      <w:r w:rsidRPr="001B29DF">
        <w:rPr>
          <w:rFonts w:ascii="Times New Roman" w:hAnsi="Times New Roman" w:cs="Times New Roman"/>
          <w:vertAlign w:val="subscript"/>
        </w:rPr>
        <w:t>2</w:t>
      </w:r>
      <w:r w:rsidRPr="001B29DF">
        <w:rPr>
          <w:rFonts w:ascii="Times New Roman" w:hAnsi="Times New Roman" w:cs="Times New Roman"/>
        </w:rPr>
        <w:t>S, HCl, C</w:t>
      </w:r>
      <w:r w:rsidRPr="001B29DF">
        <w:rPr>
          <w:rFonts w:ascii="Times New Roman" w:hAnsi="Times New Roman" w:cs="Times New Roman"/>
          <w:vertAlign w:val="subscript"/>
        </w:rPr>
        <w:t>7</w:t>
      </w:r>
      <w:r w:rsidRPr="001B29DF">
        <w:rPr>
          <w:rFonts w:ascii="Times New Roman" w:hAnsi="Times New Roman" w:cs="Times New Roman"/>
        </w:rPr>
        <w:t>H</w:t>
      </w:r>
      <w:r w:rsidRPr="001B29DF">
        <w:rPr>
          <w:rFonts w:ascii="Times New Roman" w:hAnsi="Times New Roman" w:cs="Times New Roman"/>
          <w:vertAlign w:val="subscript"/>
        </w:rPr>
        <w:t>8</w:t>
      </w:r>
      <w:r w:rsidRPr="001B29DF">
        <w:rPr>
          <w:rFonts w:ascii="Times New Roman" w:hAnsi="Times New Roman" w:cs="Times New Roman"/>
        </w:rPr>
        <w:t xml:space="preserve"> and C</w:t>
      </w:r>
      <w:r w:rsidRPr="001B29DF">
        <w:rPr>
          <w:rFonts w:ascii="Times New Roman" w:hAnsi="Times New Roman" w:cs="Times New Roman"/>
          <w:vertAlign w:val="subscript"/>
        </w:rPr>
        <w:t>10</w:t>
      </w:r>
      <w:r w:rsidRPr="001B29DF">
        <w:rPr>
          <w:rFonts w:ascii="Times New Roman" w:hAnsi="Times New Roman" w:cs="Times New Roman"/>
        </w:rPr>
        <w:t>H</w:t>
      </w:r>
      <w:r w:rsidRPr="001B29DF">
        <w:rPr>
          <w:rFonts w:ascii="Times New Roman" w:hAnsi="Times New Roman" w:cs="Times New Roman"/>
          <w:vertAlign w:val="subscript"/>
        </w:rPr>
        <w:t>8</w:t>
      </w:r>
      <w:r w:rsidRPr="001B29DF">
        <w:rPr>
          <w:rFonts w:ascii="Times New Roman" w:hAnsi="Times New Roman" w:cs="Times New Roman"/>
        </w:rPr>
        <w:t>.</w:t>
      </w:r>
    </w:p>
    <w:p w14:paraId="134EEC52" w14:textId="77777777" w:rsidR="008C4570" w:rsidRPr="00662193" w:rsidRDefault="008C4570" w:rsidP="008C4570">
      <w:pPr>
        <w:autoSpaceDE w:val="0"/>
        <w:autoSpaceDN w:val="0"/>
        <w:adjustRightInd w:val="0"/>
        <w:spacing w:after="0" w:line="240" w:lineRule="auto"/>
        <w:rPr>
          <w:rFonts w:ascii="Times New Roman" w:hAnsi="Times New Roman" w:cs="Times New Roman"/>
          <w:sz w:val="24"/>
        </w:rPr>
      </w:pPr>
      <w:r w:rsidRPr="00662193">
        <w:rPr>
          <w:rFonts w:ascii="Times New Roman" w:hAnsi="Times New Roman" w:cs="Times New Roman"/>
          <w:sz w:val="24"/>
        </w:rPr>
        <w:t>Figure 3. Intrinsic degradation rate in the presence of carbon deposition (cell inlet).</w:t>
      </w:r>
    </w:p>
    <w:p w14:paraId="71801843" w14:textId="77777777" w:rsidR="006C1229" w:rsidRDefault="006C1229" w:rsidP="006C1229">
      <w:pPr>
        <w:autoSpaceDE w:val="0"/>
        <w:autoSpaceDN w:val="0"/>
        <w:adjustRightInd w:val="0"/>
        <w:spacing w:after="0" w:line="240" w:lineRule="auto"/>
        <w:rPr>
          <w:rFonts w:ascii="Times New Roman" w:hAnsi="Times New Roman" w:cs="Times New Roman"/>
          <w:sz w:val="24"/>
        </w:rPr>
      </w:pPr>
    </w:p>
    <w:p w14:paraId="3FE84384" w14:textId="77777777" w:rsidR="006C1229" w:rsidRPr="0092369A" w:rsidRDefault="006C1229" w:rsidP="006C1229">
      <w:pPr>
        <w:autoSpaceDE w:val="0"/>
        <w:autoSpaceDN w:val="0"/>
        <w:adjustRightInd w:val="0"/>
        <w:spacing w:after="0" w:line="240" w:lineRule="auto"/>
        <w:rPr>
          <w:rFonts w:ascii="Arial" w:hAnsi="Arial" w:cs="Arial"/>
        </w:rPr>
      </w:pPr>
      <w:r w:rsidRPr="00662193">
        <w:rPr>
          <w:rFonts w:ascii="Times New Roman" w:hAnsi="Times New Roman" w:cs="Times New Roman"/>
          <w:sz w:val="24"/>
        </w:rPr>
        <w:t>Figure 4. Time evolution of intrinsic degradation curves at different C/H ratios.</w:t>
      </w:r>
    </w:p>
    <w:p w14:paraId="1B845CC9" w14:textId="77777777" w:rsidR="006C1229" w:rsidRPr="001B29DF" w:rsidRDefault="006C1229" w:rsidP="006C1229">
      <w:pPr>
        <w:pStyle w:val="EFCFText"/>
        <w:tabs>
          <w:tab w:val="left" w:pos="1797"/>
        </w:tabs>
        <w:spacing w:line="480" w:lineRule="auto"/>
        <w:jc w:val="left"/>
        <w:rPr>
          <w:rFonts w:ascii="Times New Roman" w:hAnsi="Times New Roman" w:cs="Times New Roman"/>
        </w:rPr>
      </w:pPr>
    </w:p>
    <w:p w14:paraId="4BB82A28" w14:textId="77777777" w:rsidR="006C1229" w:rsidRDefault="006C1229" w:rsidP="006C1229">
      <w:pPr>
        <w:pStyle w:val="EFCFText"/>
        <w:spacing w:line="480" w:lineRule="auto"/>
        <w:jc w:val="left"/>
        <w:rPr>
          <w:rFonts w:ascii="Times New Roman" w:hAnsi="Times New Roman" w:cs="Times New Roman"/>
        </w:rPr>
      </w:pPr>
    </w:p>
    <w:p w14:paraId="58F8195F" w14:textId="77777777" w:rsidR="006C1229" w:rsidRPr="001B29DF" w:rsidRDefault="006C1229" w:rsidP="006C1229">
      <w:pPr>
        <w:pStyle w:val="EFCFText"/>
        <w:spacing w:line="480" w:lineRule="auto"/>
        <w:jc w:val="left"/>
        <w:rPr>
          <w:rFonts w:ascii="Times New Roman" w:hAnsi="Times New Roman" w:cs="Times New Roman"/>
        </w:rPr>
      </w:pPr>
    </w:p>
    <w:p w14:paraId="371A836C" w14:textId="77777777" w:rsidR="006C1229" w:rsidRPr="006C1229" w:rsidRDefault="006C1229">
      <w:pPr>
        <w:pStyle w:val="EFCFText"/>
        <w:rPr>
          <w:rFonts w:ascii="Times New Roman" w:hAnsi="Times New Roman" w:cs="Times New Roman"/>
          <w:b/>
          <w:lang w:bidi="fa-IR"/>
        </w:rPr>
      </w:pPr>
    </w:p>
    <w:sectPr w:rsidR="006C1229" w:rsidRPr="006C1229" w:rsidSect="003C1013">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CC20A8" w14:textId="77777777" w:rsidR="009442A0" w:rsidRDefault="009442A0" w:rsidP="00A32F25">
      <w:pPr>
        <w:spacing w:after="0" w:line="240" w:lineRule="auto"/>
      </w:pPr>
      <w:r>
        <w:separator/>
      </w:r>
    </w:p>
  </w:endnote>
  <w:endnote w:type="continuationSeparator" w:id="0">
    <w:p w14:paraId="5A98DEB6" w14:textId="77777777" w:rsidR="009442A0" w:rsidRDefault="009442A0" w:rsidP="00A32F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0871656"/>
      <w:docPartObj>
        <w:docPartGallery w:val="Page Numbers (Bottom of Page)"/>
        <w:docPartUnique/>
      </w:docPartObj>
    </w:sdtPr>
    <w:sdtEndPr>
      <w:rPr>
        <w:rFonts w:ascii="Times New Roman" w:hAnsi="Times New Roman" w:cs="Times New Roman"/>
        <w:noProof/>
      </w:rPr>
    </w:sdtEndPr>
    <w:sdtContent>
      <w:p w14:paraId="6942A27F" w14:textId="66CD4F58" w:rsidR="002F6841" w:rsidRPr="00A32F25" w:rsidRDefault="002F6841">
        <w:pPr>
          <w:pStyle w:val="Pidipagina"/>
          <w:jc w:val="center"/>
          <w:rPr>
            <w:rFonts w:ascii="Times New Roman" w:hAnsi="Times New Roman" w:cs="Times New Roman"/>
          </w:rPr>
        </w:pPr>
        <w:r w:rsidRPr="00A32F25">
          <w:rPr>
            <w:rFonts w:ascii="Times New Roman" w:hAnsi="Times New Roman" w:cs="Times New Roman"/>
          </w:rPr>
          <w:fldChar w:fldCharType="begin"/>
        </w:r>
        <w:r w:rsidRPr="00A32F25">
          <w:rPr>
            <w:rFonts w:ascii="Times New Roman" w:hAnsi="Times New Roman" w:cs="Times New Roman"/>
          </w:rPr>
          <w:instrText xml:space="preserve"> PAGE   \* MERGEFORMAT </w:instrText>
        </w:r>
        <w:r w:rsidRPr="00A32F25">
          <w:rPr>
            <w:rFonts w:ascii="Times New Roman" w:hAnsi="Times New Roman" w:cs="Times New Roman"/>
          </w:rPr>
          <w:fldChar w:fldCharType="separate"/>
        </w:r>
        <w:r w:rsidR="00640ADF">
          <w:rPr>
            <w:rFonts w:ascii="Times New Roman" w:hAnsi="Times New Roman" w:cs="Times New Roman"/>
            <w:noProof/>
          </w:rPr>
          <w:t>2</w:t>
        </w:r>
        <w:r w:rsidRPr="00A32F25">
          <w:rPr>
            <w:rFonts w:ascii="Times New Roman" w:hAnsi="Times New Roman" w:cs="Times New Roman"/>
            <w:noProof/>
          </w:rPr>
          <w:fldChar w:fldCharType="end"/>
        </w:r>
      </w:p>
    </w:sdtContent>
  </w:sdt>
  <w:p w14:paraId="1AE29CA8" w14:textId="77777777" w:rsidR="002F6841" w:rsidRDefault="002F6841">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630E30" w14:textId="77777777" w:rsidR="009442A0" w:rsidRDefault="009442A0" w:rsidP="00A32F25">
      <w:pPr>
        <w:spacing w:after="0" w:line="240" w:lineRule="auto"/>
      </w:pPr>
      <w:r>
        <w:separator/>
      </w:r>
    </w:p>
  </w:footnote>
  <w:footnote w:type="continuationSeparator" w:id="0">
    <w:p w14:paraId="540FC127" w14:textId="77777777" w:rsidR="009442A0" w:rsidRDefault="009442A0" w:rsidP="00A32F2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rA0NDSxMDAyN7Y0MbdU0lEKTi0uzszPAykwqQUAcOqEpCwAAAA="/>
  </w:docVars>
  <w:rsids>
    <w:rsidRoot w:val="00AC4C6E"/>
    <w:rsid w:val="000448B9"/>
    <w:rsid w:val="000465A6"/>
    <w:rsid w:val="00050AD2"/>
    <w:rsid w:val="00063CDE"/>
    <w:rsid w:val="000676F7"/>
    <w:rsid w:val="0009258B"/>
    <w:rsid w:val="000A0FDC"/>
    <w:rsid w:val="000B3B21"/>
    <w:rsid w:val="000C63EB"/>
    <w:rsid w:val="000D1676"/>
    <w:rsid w:val="000D6E81"/>
    <w:rsid w:val="00111252"/>
    <w:rsid w:val="001176F2"/>
    <w:rsid w:val="00133C66"/>
    <w:rsid w:val="001410B2"/>
    <w:rsid w:val="00154357"/>
    <w:rsid w:val="00174158"/>
    <w:rsid w:val="001747D5"/>
    <w:rsid w:val="0017554B"/>
    <w:rsid w:val="00196E2F"/>
    <w:rsid w:val="001A2B85"/>
    <w:rsid w:val="001B29DF"/>
    <w:rsid w:val="001B4999"/>
    <w:rsid w:val="001C1C39"/>
    <w:rsid w:val="001C7EF5"/>
    <w:rsid w:val="001E56C6"/>
    <w:rsid w:val="001E6249"/>
    <w:rsid w:val="002067A9"/>
    <w:rsid w:val="0021247B"/>
    <w:rsid w:val="0022016F"/>
    <w:rsid w:val="00253A6C"/>
    <w:rsid w:val="002769E5"/>
    <w:rsid w:val="00283215"/>
    <w:rsid w:val="00297932"/>
    <w:rsid w:val="002D5303"/>
    <w:rsid w:val="002E07BC"/>
    <w:rsid w:val="002F539D"/>
    <w:rsid w:val="002F6841"/>
    <w:rsid w:val="002F6F1B"/>
    <w:rsid w:val="00307047"/>
    <w:rsid w:val="00340967"/>
    <w:rsid w:val="00344C5C"/>
    <w:rsid w:val="00344DB4"/>
    <w:rsid w:val="0036378E"/>
    <w:rsid w:val="00365961"/>
    <w:rsid w:val="00393E77"/>
    <w:rsid w:val="003973D9"/>
    <w:rsid w:val="003A5555"/>
    <w:rsid w:val="003C1013"/>
    <w:rsid w:val="003C249D"/>
    <w:rsid w:val="003C2539"/>
    <w:rsid w:val="003C2D3E"/>
    <w:rsid w:val="003C44EC"/>
    <w:rsid w:val="003E0E4A"/>
    <w:rsid w:val="003F5AA4"/>
    <w:rsid w:val="004049C3"/>
    <w:rsid w:val="004147EE"/>
    <w:rsid w:val="00432C4A"/>
    <w:rsid w:val="0043336D"/>
    <w:rsid w:val="004355F9"/>
    <w:rsid w:val="00473F70"/>
    <w:rsid w:val="004B1FF0"/>
    <w:rsid w:val="004C3199"/>
    <w:rsid w:val="004D2895"/>
    <w:rsid w:val="004E32F9"/>
    <w:rsid w:val="0050388A"/>
    <w:rsid w:val="00516CCC"/>
    <w:rsid w:val="00517A2F"/>
    <w:rsid w:val="00520420"/>
    <w:rsid w:val="005661D6"/>
    <w:rsid w:val="005706E7"/>
    <w:rsid w:val="00581F21"/>
    <w:rsid w:val="005F69F8"/>
    <w:rsid w:val="006141CA"/>
    <w:rsid w:val="006158E8"/>
    <w:rsid w:val="0062233C"/>
    <w:rsid w:val="00625AF1"/>
    <w:rsid w:val="00640ADF"/>
    <w:rsid w:val="00662193"/>
    <w:rsid w:val="00694420"/>
    <w:rsid w:val="00697533"/>
    <w:rsid w:val="006B77C6"/>
    <w:rsid w:val="006B7A58"/>
    <w:rsid w:val="006C1229"/>
    <w:rsid w:val="006C16FD"/>
    <w:rsid w:val="006D71EB"/>
    <w:rsid w:val="006E1361"/>
    <w:rsid w:val="00704905"/>
    <w:rsid w:val="00711D2D"/>
    <w:rsid w:val="00713A79"/>
    <w:rsid w:val="0072263C"/>
    <w:rsid w:val="00744876"/>
    <w:rsid w:val="00771CB7"/>
    <w:rsid w:val="00777178"/>
    <w:rsid w:val="007C45C9"/>
    <w:rsid w:val="007C4612"/>
    <w:rsid w:val="007D2A82"/>
    <w:rsid w:val="007E3490"/>
    <w:rsid w:val="007F4A33"/>
    <w:rsid w:val="00870B7E"/>
    <w:rsid w:val="008719F8"/>
    <w:rsid w:val="00873410"/>
    <w:rsid w:val="00887E4B"/>
    <w:rsid w:val="00897E3D"/>
    <w:rsid w:val="008C4570"/>
    <w:rsid w:val="008D4B3E"/>
    <w:rsid w:val="008E6A71"/>
    <w:rsid w:val="00910FE3"/>
    <w:rsid w:val="00917C37"/>
    <w:rsid w:val="00920C5E"/>
    <w:rsid w:val="00927D32"/>
    <w:rsid w:val="00932A42"/>
    <w:rsid w:val="009442A0"/>
    <w:rsid w:val="00946C9C"/>
    <w:rsid w:val="00950D2C"/>
    <w:rsid w:val="00983A4E"/>
    <w:rsid w:val="009A218B"/>
    <w:rsid w:val="009A35DA"/>
    <w:rsid w:val="009B2A6C"/>
    <w:rsid w:val="009B2AED"/>
    <w:rsid w:val="009C4C92"/>
    <w:rsid w:val="009F1F28"/>
    <w:rsid w:val="00A17AC9"/>
    <w:rsid w:val="00A3170E"/>
    <w:rsid w:val="00A32F25"/>
    <w:rsid w:val="00A6464B"/>
    <w:rsid w:val="00A70414"/>
    <w:rsid w:val="00A878DE"/>
    <w:rsid w:val="00AC4C6E"/>
    <w:rsid w:val="00AC5451"/>
    <w:rsid w:val="00AD24A4"/>
    <w:rsid w:val="00AE43ED"/>
    <w:rsid w:val="00B25165"/>
    <w:rsid w:val="00B44725"/>
    <w:rsid w:val="00BE6A51"/>
    <w:rsid w:val="00C3719B"/>
    <w:rsid w:val="00C616FA"/>
    <w:rsid w:val="00C86AE1"/>
    <w:rsid w:val="00C92827"/>
    <w:rsid w:val="00CB461D"/>
    <w:rsid w:val="00CB7FB5"/>
    <w:rsid w:val="00CD70AA"/>
    <w:rsid w:val="00CE1107"/>
    <w:rsid w:val="00D01150"/>
    <w:rsid w:val="00D175B4"/>
    <w:rsid w:val="00D23D3C"/>
    <w:rsid w:val="00D51F75"/>
    <w:rsid w:val="00D53E85"/>
    <w:rsid w:val="00D56D7E"/>
    <w:rsid w:val="00D661F1"/>
    <w:rsid w:val="00DB0024"/>
    <w:rsid w:val="00DB7E4F"/>
    <w:rsid w:val="00DD40E2"/>
    <w:rsid w:val="00DE28EC"/>
    <w:rsid w:val="00DF76A0"/>
    <w:rsid w:val="00E161BB"/>
    <w:rsid w:val="00E53BF0"/>
    <w:rsid w:val="00E91BBB"/>
    <w:rsid w:val="00EA195D"/>
    <w:rsid w:val="00EB3919"/>
    <w:rsid w:val="00ED691E"/>
    <w:rsid w:val="00F04092"/>
    <w:rsid w:val="00F04612"/>
    <w:rsid w:val="00F13731"/>
    <w:rsid w:val="00F20695"/>
    <w:rsid w:val="00F21B8D"/>
    <w:rsid w:val="00F270AF"/>
    <w:rsid w:val="00F621AC"/>
    <w:rsid w:val="00F740B4"/>
    <w:rsid w:val="00F8104A"/>
    <w:rsid w:val="00F87C08"/>
    <w:rsid w:val="00FA59F9"/>
    <w:rsid w:val="00FE2B71"/>
    <w:rsid w:val="00FE3088"/>
    <w:rsid w:val="00FF5D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0D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FCFText">
    <w:name w:val="EFCF_Text"/>
    <w:basedOn w:val="Normale"/>
    <w:qFormat/>
    <w:rsid w:val="00393E77"/>
    <w:pPr>
      <w:spacing w:after="0" w:line="240" w:lineRule="auto"/>
      <w:jc w:val="both"/>
    </w:pPr>
    <w:rPr>
      <w:rFonts w:ascii="Arial" w:eastAsia="Times New Roman" w:hAnsi="Arial" w:cs="Arial"/>
      <w:sz w:val="24"/>
      <w:szCs w:val="24"/>
    </w:rPr>
  </w:style>
  <w:style w:type="paragraph" w:styleId="Testofumetto">
    <w:name w:val="Balloon Text"/>
    <w:basedOn w:val="Normale"/>
    <w:link w:val="TestofumettoCarattere"/>
    <w:uiPriority w:val="99"/>
    <w:semiHidden/>
    <w:unhideWhenUsed/>
    <w:rsid w:val="00393E7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93E77"/>
    <w:rPr>
      <w:rFonts w:ascii="Tahoma" w:hAnsi="Tahoma" w:cs="Tahoma"/>
      <w:sz w:val="16"/>
      <w:szCs w:val="16"/>
    </w:rPr>
  </w:style>
  <w:style w:type="paragraph" w:customStyle="1" w:styleId="EFCFTitle">
    <w:name w:val="EFCF_Title"/>
    <w:basedOn w:val="Normale"/>
    <w:next w:val="Normale"/>
    <w:qFormat/>
    <w:rsid w:val="00B25165"/>
    <w:pPr>
      <w:spacing w:after="0" w:line="240" w:lineRule="auto"/>
      <w:jc w:val="center"/>
    </w:pPr>
    <w:rPr>
      <w:rFonts w:ascii="Arial" w:eastAsia="Times New Roman" w:hAnsi="Arial" w:cs="Arial"/>
      <w:b/>
      <w:bCs/>
      <w:sz w:val="36"/>
      <w:szCs w:val="36"/>
    </w:rPr>
  </w:style>
  <w:style w:type="paragraph" w:customStyle="1" w:styleId="Default">
    <w:name w:val="Default"/>
    <w:rsid w:val="0021247B"/>
    <w:pPr>
      <w:autoSpaceDE w:val="0"/>
      <w:autoSpaceDN w:val="0"/>
      <w:adjustRightInd w:val="0"/>
      <w:spacing w:after="0" w:line="240" w:lineRule="auto"/>
    </w:pPr>
    <w:rPr>
      <w:rFonts w:ascii="Arial" w:hAnsi="Arial" w:cs="Arial"/>
      <w:color w:val="000000"/>
      <w:sz w:val="24"/>
      <w:szCs w:val="24"/>
    </w:rPr>
  </w:style>
  <w:style w:type="table" w:styleId="Grigliatabella">
    <w:name w:val="Table Grid"/>
    <w:basedOn w:val="Tabellanormale"/>
    <w:uiPriority w:val="59"/>
    <w:rsid w:val="0021247B"/>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CFSubtitle1">
    <w:name w:val="EFCF_Subtitle1"/>
    <w:basedOn w:val="Normale"/>
    <w:next w:val="EFCFText"/>
    <w:qFormat/>
    <w:rsid w:val="00F13731"/>
    <w:pPr>
      <w:spacing w:after="0" w:line="240" w:lineRule="auto"/>
      <w:jc w:val="center"/>
    </w:pPr>
    <w:rPr>
      <w:rFonts w:ascii="Arial" w:eastAsia="Times New Roman" w:hAnsi="Arial" w:cs="Arial"/>
      <w:b/>
      <w:bCs/>
      <w:sz w:val="28"/>
      <w:szCs w:val="28"/>
    </w:rPr>
  </w:style>
  <w:style w:type="character" w:styleId="Rimandocommento">
    <w:name w:val="annotation reference"/>
    <w:basedOn w:val="Carpredefinitoparagrafo"/>
    <w:uiPriority w:val="99"/>
    <w:semiHidden/>
    <w:unhideWhenUsed/>
    <w:rsid w:val="004D2895"/>
    <w:rPr>
      <w:sz w:val="16"/>
      <w:szCs w:val="16"/>
    </w:rPr>
  </w:style>
  <w:style w:type="paragraph" w:styleId="Testocommento">
    <w:name w:val="annotation text"/>
    <w:basedOn w:val="Normale"/>
    <w:link w:val="TestocommentoCarattere"/>
    <w:uiPriority w:val="99"/>
    <w:semiHidden/>
    <w:unhideWhenUsed/>
    <w:rsid w:val="004D289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D2895"/>
    <w:rPr>
      <w:sz w:val="20"/>
      <w:szCs w:val="20"/>
    </w:rPr>
  </w:style>
  <w:style w:type="paragraph" w:styleId="Soggettocommento">
    <w:name w:val="annotation subject"/>
    <w:basedOn w:val="Testocommento"/>
    <w:next w:val="Testocommento"/>
    <w:link w:val="SoggettocommentoCarattere"/>
    <w:uiPriority w:val="99"/>
    <w:semiHidden/>
    <w:unhideWhenUsed/>
    <w:rsid w:val="004D2895"/>
    <w:rPr>
      <w:b/>
      <w:bCs/>
    </w:rPr>
  </w:style>
  <w:style w:type="character" w:customStyle="1" w:styleId="SoggettocommentoCarattere">
    <w:name w:val="Soggetto commento Carattere"/>
    <w:basedOn w:val="TestocommentoCarattere"/>
    <w:link w:val="Soggettocommento"/>
    <w:uiPriority w:val="99"/>
    <w:semiHidden/>
    <w:rsid w:val="004D2895"/>
    <w:rPr>
      <w:b/>
      <w:bCs/>
      <w:sz w:val="20"/>
      <w:szCs w:val="20"/>
    </w:rPr>
  </w:style>
  <w:style w:type="paragraph" w:customStyle="1" w:styleId="Text">
    <w:name w:val="Text"/>
    <w:basedOn w:val="Normale"/>
    <w:rsid w:val="000B3B21"/>
    <w:pPr>
      <w:widowControl w:val="0"/>
      <w:spacing w:after="0" w:line="252" w:lineRule="auto"/>
      <w:ind w:firstLine="227"/>
      <w:jc w:val="both"/>
    </w:pPr>
    <w:rPr>
      <w:rFonts w:ascii="Times New Roman" w:eastAsia="Times New Roman" w:hAnsi="Times New Roman" w:cs="Times New Roman"/>
      <w:sz w:val="20"/>
      <w:szCs w:val="20"/>
    </w:rPr>
  </w:style>
  <w:style w:type="paragraph" w:styleId="Intestazione">
    <w:name w:val="header"/>
    <w:basedOn w:val="Normale"/>
    <w:link w:val="IntestazioneCarattere"/>
    <w:uiPriority w:val="99"/>
    <w:unhideWhenUsed/>
    <w:rsid w:val="00A6464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464B"/>
  </w:style>
  <w:style w:type="paragraph" w:styleId="Pidipagina">
    <w:name w:val="footer"/>
    <w:basedOn w:val="Normale"/>
    <w:link w:val="PidipaginaCarattere"/>
    <w:uiPriority w:val="99"/>
    <w:unhideWhenUsed/>
    <w:rsid w:val="00A6464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464B"/>
  </w:style>
  <w:style w:type="character" w:styleId="Numeropagina">
    <w:name w:val="page number"/>
    <w:basedOn w:val="Carpredefinitoparagrafo"/>
    <w:rsid w:val="00A6464B"/>
  </w:style>
  <w:style w:type="paragraph" w:customStyle="1" w:styleId="CISM-HeaderEvenPage">
    <w:name w:val="CISM - Header Even Page"/>
    <w:basedOn w:val="Intestazione"/>
    <w:rsid w:val="00A6464B"/>
    <w:pPr>
      <w:pBdr>
        <w:bottom w:val="single" w:sz="8" w:space="1" w:color="auto"/>
      </w:pBdr>
      <w:tabs>
        <w:tab w:val="clear" w:pos="4819"/>
        <w:tab w:val="clear" w:pos="9638"/>
        <w:tab w:val="right" w:pos="6521"/>
      </w:tabs>
      <w:autoSpaceDE w:val="0"/>
      <w:autoSpaceDN w:val="0"/>
      <w:spacing w:before="2160" w:line="240" w:lineRule="exact"/>
    </w:pPr>
    <w:rPr>
      <w:rFonts w:ascii="Times New Roman" w:eastAsia="SimSun" w:hAnsi="Times New Roman" w:cs="Times New Roman"/>
      <w:sz w:val="20"/>
      <w:szCs w:val="20"/>
      <w:lang w:eastAsia="it-IT"/>
    </w:rPr>
  </w:style>
  <w:style w:type="character" w:styleId="Collegamentoipertestuale">
    <w:name w:val="Hyperlink"/>
    <w:rsid w:val="00307047"/>
    <w:rPr>
      <w:color w:val="0000FF"/>
      <w:u w:val="single"/>
    </w:rPr>
  </w:style>
  <w:style w:type="paragraph" w:customStyle="1" w:styleId="EFCFAuthors">
    <w:name w:val="EFCF_Authors"/>
    <w:basedOn w:val="Normale"/>
    <w:qFormat/>
    <w:rsid w:val="00307047"/>
    <w:pPr>
      <w:spacing w:after="0" w:line="240" w:lineRule="auto"/>
      <w:jc w:val="center"/>
    </w:pPr>
    <w:rPr>
      <w:rFonts w:ascii="Arial" w:eastAsia="Times New Roman" w:hAnsi="Arial" w:cs="Arial"/>
      <w:b/>
      <w:bCs/>
      <w:sz w:val="24"/>
      <w:szCs w:val="24"/>
    </w:rPr>
  </w:style>
  <w:style w:type="paragraph" w:customStyle="1" w:styleId="EFCFAdress">
    <w:name w:val="EFCF_Adress"/>
    <w:basedOn w:val="Normale"/>
    <w:qFormat/>
    <w:rsid w:val="00307047"/>
    <w:pPr>
      <w:spacing w:after="0" w:line="240" w:lineRule="auto"/>
      <w:jc w:val="center"/>
    </w:pPr>
    <w:rPr>
      <w:rFonts w:ascii="Arial" w:eastAsia="Times New Roman" w:hAnsi="Arial" w:cs="Arial"/>
      <w:sz w:val="24"/>
      <w:szCs w:val="24"/>
    </w:rPr>
  </w:style>
  <w:style w:type="paragraph" w:customStyle="1" w:styleId="EFCFTelFax">
    <w:name w:val="EFCF_TelFax"/>
    <w:basedOn w:val="Normale"/>
    <w:qFormat/>
    <w:rsid w:val="00307047"/>
    <w:pPr>
      <w:spacing w:after="0" w:line="240" w:lineRule="auto"/>
      <w:jc w:val="center"/>
    </w:pPr>
    <w:rPr>
      <w:rFonts w:ascii="Arial" w:eastAsia="Times New Roman" w:hAnsi="Arial" w:cs="Arial"/>
      <w:sz w:val="20"/>
      <w:szCs w:val="20"/>
    </w:rPr>
  </w:style>
  <w:style w:type="paragraph" w:customStyle="1" w:styleId="EFCFemail">
    <w:name w:val="EFCF_email"/>
    <w:basedOn w:val="Normale"/>
    <w:next w:val="EFCFText"/>
    <w:qFormat/>
    <w:rsid w:val="00307047"/>
    <w:pPr>
      <w:spacing w:after="0" w:line="240" w:lineRule="auto"/>
      <w:jc w:val="center"/>
    </w:pPr>
    <w:rPr>
      <w:rFonts w:ascii="Arial" w:eastAsia="Times New Roman" w:hAnsi="Arial" w:cs="Arial"/>
      <w:sz w:val="20"/>
      <w:szCs w:val="20"/>
    </w:rPr>
  </w:style>
  <w:style w:type="character" w:styleId="Testosegnaposto">
    <w:name w:val="Placeholder Text"/>
    <w:basedOn w:val="Carpredefinitoparagrafo"/>
    <w:uiPriority w:val="99"/>
    <w:semiHidden/>
    <w:rsid w:val="009B2AE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FCFText">
    <w:name w:val="EFCF_Text"/>
    <w:basedOn w:val="Normale"/>
    <w:qFormat/>
    <w:rsid w:val="00393E77"/>
    <w:pPr>
      <w:spacing w:after="0" w:line="240" w:lineRule="auto"/>
      <w:jc w:val="both"/>
    </w:pPr>
    <w:rPr>
      <w:rFonts w:ascii="Arial" w:eastAsia="Times New Roman" w:hAnsi="Arial" w:cs="Arial"/>
      <w:sz w:val="24"/>
      <w:szCs w:val="24"/>
    </w:rPr>
  </w:style>
  <w:style w:type="paragraph" w:styleId="Testofumetto">
    <w:name w:val="Balloon Text"/>
    <w:basedOn w:val="Normale"/>
    <w:link w:val="TestofumettoCarattere"/>
    <w:uiPriority w:val="99"/>
    <w:semiHidden/>
    <w:unhideWhenUsed/>
    <w:rsid w:val="00393E7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93E77"/>
    <w:rPr>
      <w:rFonts w:ascii="Tahoma" w:hAnsi="Tahoma" w:cs="Tahoma"/>
      <w:sz w:val="16"/>
      <w:szCs w:val="16"/>
    </w:rPr>
  </w:style>
  <w:style w:type="paragraph" w:customStyle="1" w:styleId="EFCFTitle">
    <w:name w:val="EFCF_Title"/>
    <w:basedOn w:val="Normale"/>
    <w:next w:val="Normale"/>
    <w:qFormat/>
    <w:rsid w:val="00B25165"/>
    <w:pPr>
      <w:spacing w:after="0" w:line="240" w:lineRule="auto"/>
      <w:jc w:val="center"/>
    </w:pPr>
    <w:rPr>
      <w:rFonts w:ascii="Arial" w:eastAsia="Times New Roman" w:hAnsi="Arial" w:cs="Arial"/>
      <w:b/>
      <w:bCs/>
      <w:sz w:val="36"/>
      <w:szCs w:val="36"/>
    </w:rPr>
  </w:style>
  <w:style w:type="paragraph" w:customStyle="1" w:styleId="Default">
    <w:name w:val="Default"/>
    <w:rsid w:val="0021247B"/>
    <w:pPr>
      <w:autoSpaceDE w:val="0"/>
      <w:autoSpaceDN w:val="0"/>
      <w:adjustRightInd w:val="0"/>
      <w:spacing w:after="0" w:line="240" w:lineRule="auto"/>
    </w:pPr>
    <w:rPr>
      <w:rFonts w:ascii="Arial" w:hAnsi="Arial" w:cs="Arial"/>
      <w:color w:val="000000"/>
      <w:sz w:val="24"/>
      <w:szCs w:val="24"/>
    </w:rPr>
  </w:style>
  <w:style w:type="table" w:styleId="Grigliatabella">
    <w:name w:val="Table Grid"/>
    <w:basedOn w:val="Tabellanormale"/>
    <w:uiPriority w:val="59"/>
    <w:rsid w:val="0021247B"/>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CFSubtitle1">
    <w:name w:val="EFCF_Subtitle1"/>
    <w:basedOn w:val="Normale"/>
    <w:next w:val="EFCFText"/>
    <w:qFormat/>
    <w:rsid w:val="00F13731"/>
    <w:pPr>
      <w:spacing w:after="0" w:line="240" w:lineRule="auto"/>
      <w:jc w:val="center"/>
    </w:pPr>
    <w:rPr>
      <w:rFonts w:ascii="Arial" w:eastAsia="Times New Roman" w:hAnsi="Arial" w:cs="Arial"/>
      <w:b/>
      <w:bCs/>
      <w:sz w:val="28"/>
      <w:szCs w:val="28"/>
    </w:rPr>
  </w:style>
  <w:style w:type="character" w:styleId="Rimandocommento">
    <w:name w:val="annotation reference"/>
    <w:basedOn w:val="Carpredefinitoparagrafo"/>
    <w:uiPriority w:val="99"/>
    <w:semiHidden/>
    <w:unhideWhenUsed/>
    <w:rsid w:val="004D2895"/>
    <w:rPr>
      <w:sz w:val="16"/>
      <w:szCs w:val="16"/>
    </w:rPr>
  </w:style>
  <w:style w:type="paragraph" w:styleId="Testocommento">
    <w:name w:val="annotation text"/>
    <w:basedOn w:val="Normale"/>
    <w:link w:val="TestocommentoCarattere"/>
    <w:uiPriority w:val="99"/>
    <w:semiHidden/>
    <w:unhideWhenUsed/>
    <w:rsid w:val="004D289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D2895"/>
    <w:rPr>
      <w:sz w:val="20"/>
      <w:szCs w:val="20"/>
    </w:rPr>
  </w:style>
  <w:style w:type="paragraph" w:styleId="Soggettocommento">
    <w:name w:val="annotation subject"/>
    <w:basedOn w:val="Testocommento"/>
    <w:next w:val="Testocommento"/>
    <w:link w:val="SoggettocommentoCarattere"/>
    <w:uiPriority w:val="99"/>
    <w:semiHidden/>
    <w:unhideWhenUsed/>
    <w:rsid w:val="004D2895"/>
    <w:rPr>
      <w:b/>
      <w:bCs/>
    </w:rPr>
  </w:style>
  <w:style w:type="character" w:customStyle="1" w:styleId="SoggettocommentoCarattere">
    <w:name w:val="Soggetto commento Carattere"/>
    <w:basedOn w:val="TestocommentoCarattere"/>
    <w:link w:val="Soggettocommento"/>
    <w:uiPriority w:val="99"/>
    <w:semiHidden/>
    <w:rsid w:val="004D2895"/>
    <w:rPr>
      <w:b/>
      <w:bCs/>
      <w:sz w:val="20"/>
      <w:szCs w:val="20"/>
    </w:rPr>
  </w:style>
  <w:style w:type="paragraph" w:customStyle="1" w:styleId="Text">
    <w:name w:val="Text"/>
    <w:basedOn w:val="Normale"/>
    <w:rsid w:val="000B3B21"/>
    <w:pPr>
      <w:widowControl w:val="0"/>
      <w:spacing w:after="0" w:line="252" w:lineRule="auto"/>
      <w:ind w:firstLine="227"/>
      <w:jc w:val="both"/>
    </w:pPr>
    <w:rPr>
      <w:rFonts w:ascii="Times New Roman" w:eastAsia="Times New Roman" w:hAnsi="Times New Roman" w:cs="Times New Roman"/>
      <w:sz w:val="20"/>
      <w:szCs w:val="20"/>
    </w:rPr>
  </w:style>
  <w:style w:type="paragraph" w:styleId="Intestazione">
    <w:name w:val="header"/>
    <w:basedOn w:val="Normale"/>
    <w:link w:val="IntestazioneCarattere"/>
    <w:uiPriority w:val="99"/>
    <w:unhideWhenUsed/>
    <w:rsid w:val="00A6464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464B"/>
  </w:style>
  <w:style w:type="paragraph" w:styleId="Pidipagina">
    <w:name w:val="footer"/>
    <w:basedOn w:val="Normale"/>
    <w:link w:val="PidipaginaCarattere"/>
    <w:uiPriority w:val="99"/>
    <w:unhideWhenUsed/>
    <w:rsid w:val="00A6464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464B"/>
  </w:style>
  <w:style w:type="character" w:styleId="Numeropagina">
    <w:name w:val="page number"/>
    <w:basedOn w:val="Carpredefinitoparagrafo"/>
    <w:rsid w:val="00A6464B"/>
  </w:style>
  <w:style w:type="paragraph" w:customStyle="1" w:styleId="CISM-HeaderEvenPage">
    <w:name w:val="CISM - Header Even Page"/>
    <w:basedOn w:val="Intestazione"/>
    <w:rsid w:val="00A6464B"/>
    <w:pPr>
      <w:pBdr>
        <w:bottom w:val="single" w:sz="8" w:space="1" w:color="auto"/>
      </w:pBdr>
      <w:tabs>
        <w:tab w:val="clear" w:pos="4819"/>
        <w:tab w:val="clear" w:pos="9638"/>
        <w:tab w:val="right" w:pos="6521"/>
      </w:tabs>
      <w:autoSpaceDE w:val="0"/>
      <w:autoSpaceDN w:val="0"/>
      <w:spacing w:before="2160" w:line="240" w:lineRule="exact"/>
    </w:pPr>
    <w:rPr>
      <w:rFonts w:ascii="Times New Roman" w:eastAsia="SimSun" w:hAnsi="Times New Roman" w:cs="Times New Roman"/>
      <w:sz w:val="20"/>
      <w:szCs w:val="20"/>
      <w:lang w:eastAsia="it-IT"/>
    </w:rPr>
  </w:style>
  <w:style w:type="character" w:styleId="Collegamentoipertestuale">
    <w:name w:val="Hyperlink"/>
    <w:rsid w:val="00307047"/>
    <w:rPr>
      <w:color w:val="0000FF"/>
      <w:u w:val="single"/>
    </w:rPr>
  </w:style>
  <w:style w:type="paragraph" w:customStyle="1" w:styleId="EFCFAuthors">
    <w:name w:val="EFCF_Authors"/>
    <w:basedOn w:val="Normale"/>
    <w:qFormat/>
    <w:rsid w:val="00307047"/>
    <w:pPr>
      <w:spacing w:after="0" w:line="240" w:lineRule="auto"/>
      <w:jc w:val="center"/>
    </w:pPr>
    <w:rPr>
      <w:rFonts w:ascii="Arial" w:eastAsia="Times New Roman" w:hAnsi="Arial" w:cs="Arial"/>
      <w:b/>
      <w:bCs/>
      <w:sz w:val="24"/>
      <w:szCs w:val="24"/>
    </w:rPr>
  </w:style>
  <w:style w:type="paragraph" w:customStyle="1" w:styleId="EFCFAdress">
    <w:name w:val="EFCF_Adress"/>
    <w:basedOn w:val="Normale"/>
    <w:qFormat/>
    <w:rsid w:val="00307047"/>
    <w:pPr>
      <w:spacing w:after="0" w:line="240" w:lineRule="auto"/>
      <w:jc w:val="center"/>
    </w:pPr>
    <w:rPr>
      <w:rFonts w:ascii="Arial" w:eastAsia="Times New Roman" w:hAnsi="Arial" w:cs="Arial"/>
      <w:sz w:val="24"/>
      <w:szCs w:val="24"/>
    </w:rPr>
  </w:style>
  <w:style w:type="paragraph" w:customStyle="1" w:styleId="EFCFTelFax">
    <w:name w:val="EFCF_TelFax"/>
    <w:basedOn w:val="Normale"/>
    <w:qFormat/>
    <w:rsid w:val="00307047"/>
    <w:pPr>
      <w:spacing w:after="0" w:line="240" w:lineRule="auto"/>
      <w:jc w:val="center"/>
    </w:pPr>
    <w:rPr>
      <w:rFonts w:ascii="Arial" w:eastAsia="Times New Roman" w:hAnsi="Arial" w:cs="Arial"/>
      <w:sz w:val="20"/>
      <w:szCs w:val="20"/>
    </w:rPr>
  </w:style>
  <w:style w:type="paragraph" w:customStyle="1" w:styleId="EFCFemail">
    <w:name w:val="EFCF_email"/>
    <w:basedOn w:val="Normale"/>
    <w:next w:val="EFCFText"/>
    <w:qFormat/>
    <w:rsid w:val="00307047"/>
    <w:pPr>
      <w:spacing w:after="0" w:line="240" w:lineRule="auto"/>
      <w:jc w:val="center"/>
    </w:pPr>
    <w:rPr>
      <w:rFonts w:ascii="Arial" w:eastAsia="Times New Roman" w:hAnsi="Arial" w:cs="Arial"/>
      <w:sz w:val="20"/>
      <w:szCs w:val="20"/>
    </w:rPr>
  </w:style>
  <w:style w:type="character" w:styleId="Testosegnaposto">
    <w:name w:val="Placeholder Text"/>
    <w:basedOn w:val="Carpredefinitoparagrafo"/>
    <w:uiPriority w:val="99"/>
    <w:semiHidden/>
    <w:rsid w:val="009B2A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523374">
      <w:bodyDiv w:val="1"/>
      <w:marLeft w:val="0"/>
      <w:marRight w:val="0"/>
      <w:marTop w:val="0"/>
      <w:marBottom w:val="0"/>
      <w:divBdr>
        <w:top w:val="none" w:sz="0" w:space="0" w:color="auto"/>
        <w:left w:val="none" w:sz="0" w:space="0" w:color="auto"/>
        <w:bottom w:val="none" w:sz="0" w:space="0" w:color="auto"/>
        <w:right w:val="none" w:sz="0" w:space="0" w:color="auto"/>
      </w:divBdr>
    </w:div>
    <w:div w:id="1880123112">
      <w:bodyDiv w:val="1"/>
      <w:marLeft w:val="0"/>
      <w:marRight w:val="0"/>
      <w:marTop w:val="0"/>
      <w:marBottom w:val="0"/>
      <w:divBdr>
        <w:top w:val="none" w:sz="0" w:space="0" w:color="auto"/>
        <w:left w:val="none" w:sz="0" w:space="0" w:color="auto"/>
        <w:bottom w:val="none" w:sz="0" w:space="0" w:color="auto"/>
        <w:right w:val="none" w:sz="0" w:space="0" w:color="auto"/>
      </w:divBdr>
      <w:divsChild>
        <w:div w:id="13305957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fcom.e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5897486D-D9B5-4E27-B2B5-F8204E6E8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29098</Words>
  <Characters>165860</Characters>
  <Application>Microsoft Office Word</Application>
  <DocSecurity>0</DocSecurity>
  <Lines>1382</Lines>
  <Paragraphs>389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194569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Domenico Ferrero</dc:creator>
  <cp:lastModifiedBy>d003715</cp:lastModifiedBy>
  <cp:revision>2</cp:revision>
  <cp:lastPrinted>2016-10-13T13:47:00Z</cp:lastPrinted>
  <dcterms:created xsi:type="dcterms:W3CDTF">2019-03-28T11:23:00Z</dcterms:created>
  <dcterms:modified xsi:type="dcterms:W3CDTF">2019-03-28T11:23:00Z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http://www.zotero.org/styles/energy</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http://www.zotero.org/styles/energy</vt:lpwstr>
  </property>
  <property fmtid="{D5CDD505-2E9C-101B-9397-08002B2CF9AE}" pid="13" name="Mendeley Recent Style Name 4_1">
    <vt:lpwstr>Energy</vt:lpwstr>
  </property>
  <property fmtid="{D5CDD505-2E9C-101B-9397-08002B2CF9AE}" pid="14" name="Mendeley Recent Style Id 5_1">
    <vt:lpwstr>http://www.zotero.org/styles/fuel-processing-technology</vt:lpwstr>
  </property>
  <property fmtid="{D5CDD505-2E9C-101B-9397-08002B2CF9AE}" pid="15" name="Mendeley Recent Style Name 5_1">
    <vt:lpwstr>Fuel Processing Technology</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e17e8825-ff50-30f7-9569-5e81d19b5967</vt:lpwstr>
  </property>
</Properties>
</file>