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7E3E" w:rsidRPr="00600BF3" w:rsidRDefault="00604BBF" w:rsidP="00DA7E3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Variable Kinematic</w:t>
      </w:r>
      <w:r w:rsidR="004F4029">
        <w:rPr>
          <w:b/>
          <w:sz w:val="28"/>
          <w:szCs w:val="28"/>
        </w:rPr>
        <w:t>s</w:t>
      </w:r>
      <w:r>
        <w:rPr>
          <w:b/>
          <w:sz w:val="28"/>
          <w:szCs w:val="28"/>
        </w:rPr>
        <w:t xml:space="preserve"> and Component-Wise </w:t>
      </w:r>
      <w:r w:rsidR="003C4E9E">
        <w:rPr>
          <w:b/>
          <w:sz w:val="28"/>
          <w:szCs w:val="28"/>
        </w:rPr>
        <w:t xml:space="preserve">Models </w:t>
      </w:r>
      <w:r>
        <w:rPr>
          <w:b/>
          <w:sz w:val="28"/>
          <w:szCs w:val="28"/>
        </w:rPr>
        <w:t>for Failure Analysis of Composite Structures</w:t>
      </w:r>
      <w:r w:rsidR="00DA7E3E" w:rsidRPr="00600BF3">
        <w:rPr>
          <w:b/>
          <w:sz w:val="28"/>
          <w:szCs w:val="28"/>
        </w:rPr>
        <w:br/>
      </w:r>
    </w:p>
    <w:p w:rsidR="00DA7E3E" w:rsidRPr="00604BBF" w:rsidRDefault="00604BBF" w:rsidP="00DA7E3E">
      <w:pPr>
        <w:jc w:val="center"/>
        <w:rPr>
          <w:i/>
          <w:sz w:val="28"/>
          <w:szCs w:val="28"/>
          <w:vertAlign w:val="superscript"/>
          <w:lang w:val="it-IT"/>
        </w:rPr>
      </w:pPr>
      <w:r w:rsidRPr="00604BBF">
        <w:rPr>
          <w:i/>
          <w:sz w:val="28"/>
          <w:szCs w:val="28"/>
          <w:lang w:val="it-IT"/>
        </w:rPr>
        <w:t xml:space="preserve">E. Carrera, M. </w:t>
      </w:r>
      <w:proofErr w:type="spellStart"/>
      <w:r w:rsidRPr="00604BBF">
        <w:rPr>
          <w:i/>
          <w:sz w:val="28"/>
          <w:szCs w:val="28"/>
          <w:lang w:val="it-IT"/>
        </w:rPr>
        <w:t>Cinefra</w:t>
      </w:r>
      <w:proofErr w:type="spellEnd"/>
      <w:r w:rsidRPr="00604BBF">
        <w:rPr>
          <w:i/>
          <w:sz w:val="28"/>
          <w:szCs w:val="28"/>
          <w:lang w:val="it-IT"/>
        </w:rPr>
        <w:t xml:space="preserve">, M. </w:t>
      </w:r>
      <w:proofErr w:type="spellStart"/>
      <w:r>
        <w:rPr>
          <w:i/>
          <w:sz w:val="28"/>
          <w:szCs w:val="28"/>
          <w:lang w:val="it-IT"/>
        </w:rPr>
        <w:t>Petrolo</w:t>
      </w:r>
      <w:proofErr w:type="spellEnd"/>
      <w:r>
        <w:rPr>
          <w:i/>
          <w:sz w:val="28"/>
          <w:szCs w:val="28"/>
          <w:lang w:val="it-IT"/>
        </w:rPr>
        <w:t xml:space="preserve"> and A. Pagani</w:t>
      </w:r>
    </w:p>
    <w:p w:rsidR="00706B1C" w:rsidRPr="00604BBF" w:rsidRDefault="00706B1C" w:rsidP="00DA7E3E">
      <w:pPr>
        <w:jc w:val="center"/>
        <w:rPr>
          <w:i/>
          <w:sz w:val="28"/>
          <w:szCs w:val="28"/>
          <w:lang w:val="it-IT"/>
        </w:rPr>
      </w:pPr>
    </w:p>
    <w:p w:rsidR="00DA7E3E" w:rsidRPr="00604BBF" w:rsidRDefault="00DA7E3E" w:rsidP="00DA7E3E">
      <w:pPr>
        <w:jc w:val="center"/>
        <w:rPr>
          <w:sz w:val="28"/>
          <w:szCs w:val="28"/>
          <w:lang w:val="it-IT"/>
        </w:rPr>
      </w:pPr>
    </w:p>
    <w:p w:rsidR="008744F2" w:rsidRPr="00600BF3" w:rsidRDefault="00604BBF" w:rsidP="00194EF5">
      <w:pPr>
        <w:jc w:val="center"/>
        <w:rPr>
          <w:sz w:val="22"/>
          <w:szCs w:val="22"/>
        </w:rPr>
      </w:pPr>
      <w:r>
        <w:rPr>
          <w:i/>
          <w:sz w:val="22"/>
          <w:szCs w:val="22"/>
        </w:rPr>
        <w:t xml:space="preserve">Department of Mechanics and Aerospace Engineering, </w:t>
      </w:r>
      <w:proofErr w:type="spellStart"/>
      <w:r>
        <w:rPr>
          <w:i/>
          <w:sz w:val="22"/>
          <w:szCs w:val="22"/>
        </w:rPr>
        <w:t>Politecnico</w:t>
      </w:r>
      <w:proofErr w:type="spellEnd"/>
      <w:r>
        <w:rPr>
          <w:i/>
          <w:sz w:val="22"/>
          <w:szCs w:val="22"/>
        </w:rPr>
        <w:t xml:space="preserve"> di Torino, Italy</w:t>
      </w:r>
    </w:p>
    <w:p w:rsidR="00DA7E3E" w:rsidRPr="00600BF3" w:rsidRDefault="00DA7E3E" w:rsidP="00DA7E3E">
      <w:pPr>
        <w:jc w:val="center"/>
        <w:rPr>
          <w:sz w:val="28"/>
          <w:szCs w:val="28"/>
        </w:rPr>
      </w:pPr>
    </w:p>
    <w:p w:rsidR="00600BF3" w:rsidRPr="00600BF3" w:rsidRDefault="00D87A30" w:rsidP="00DA7E3E">
      <w:pPr>
        <w:jc w:val="center"/>
        <w:rPr>
          <w:sz w:val="28"/>
          <w:szCs w:val="28"/>
        </w:rPr>
      </w:pPr>
      <w:r>
        <w:rPr>
          <w:sz w:val="28"/>
          <w:szCs w:val="28"/>
        </w:rPr>
        <w:t>Abstract</w:t>
      </w:r>
    </w:p>
    <w:p w:rsidR="00600BF3" w:rsidRPr="00600BF3" w:rsidRDefault="00600BF3" w:rsidP="00DA7E3E">
      <w:pPr>
        <w:jc w:val="center"/>
        <w:rPr>
          <w:sz w:val="28"/>
          <w:szCs w:val="28"/>
        </w:rPr>
      </w:pPr>
    </w:p>
    <w:p w:rsidR="00DA7965" w:rsidRDefault="004C5459" w:rsidP="008A4ABA">
      <w:pPr>
        <w:autoSpaceDE w:val="0"/>
        <w:autoSpaceDN w:val="0"/>
        <w:adjustRightInd w:val="0"/>
      </w:pPr>
      <w:r>
        <w:t>C</w:t>
      </w:r>
      <w:r w:rsidR="008A4ABA" w:rsidRPr="008A4ABA">
        <w:t>omposite materials present a nature more complex than</w:t>
      </w:r>
      <w:r w:rsidR="008A4ABA">
        <w:t xml:space="preserve"> </w:t>
      </w:r>
      <w:r w:rsidR="008A4ABA" w:rsidRPr="008A4ABA">
        <w:t>classic</w:t>
      </w:r>
      <w:r w:rsidR="00722134">
        <w:t>al materials. Therefore,</w:t>
      </w:r>
      <w:r w:rsidR="00DF3A05">
        <w:t xml:space="preserve"> h</w:t>
      </w:r>
      <w:r w:rsidR="008A4ABA" w:rsidRPr="008A4ABA">
        <w:t xml:space="preserve">ighly </w:t>
      </w:r>
      <w:r w:rsidR="00DF3A05">
        <w:t xml:space="preserve">accurate mechanical models are </w:t>
      </w:r>
      <w:r w:rsidR="008A4ABA" w:rsidRPr="008A4ABA">
        <w:t>required</w:t>
      </w:r>
      <w:r w:rsidR="008A4ABA">
        <w:t xml:space="preserve"> </w:t>
      </w:r>
      <w:r w:rsidR="008A4ABA" w:rsidRPr="008A4ABA">
        <w:t>to effectively describe the</w:t>
      </w:r>
      <w:r w:rsidR="00DF3A05">
        <w:t xml:space="preserve"> </w:t>
      </w:r>
      <w:r w:rsidR="008A4ABA" w:rsidRPr="008A4ABA">
        <w:t xml:space="preserve"> mechanics of </w:t>
      </w:r>
      <w:r w:rsidR="00DF3A05">
        <w:t xml:space="preserve">laminated </w:t>
      </w:r>
      <w:r w:rsidR="008A4ABA" w:rsidRPr="008A4ABA">
        <w:t>composite structures</w:t>
      </w:r>
      <w:r w:rsidR="008A4ABA">
        <w:t xml:space="preserve"> </w:t>
      </w:r>
      <w:r w:rsidR="008A4ABA" w:rsidRPr="008A4ABA">
        <w:t>and their failure.</w:t>
      </w:r>
    </w:p>
    <w:p w:rsidR="00404F6A" w:rsidRDefault="00B45BA2" w:rsidP="00404F6A">
      <w:pPr>
        <w:autoSpaceDE w:val="0"/>
        <w:autoSpaceDN w:val="0"/>
        <w:adjustRightInd w:val="0"/>
      </w:pPr>
      <w:r w:rsidRPr="00B45BA2">
        <w:t>Many techniques are available to compute accurate stress/strain fields in the different components of a laminated structure</w:t>
      </w:r>
      <w:r w:rsidR="00FA7341">
        <w:t>. Many consist</w:t>
      </w:r>
      <w:r w:rsidRPr="00B45BA2">
        <w:t xml:space="preserve"> of using 3D solid finite elements</w:t>
      </w:r>
      <w:r w:rsidR="00A04A10">
        <w:t xml:space="preserve">, but the </w:t>
      </w:r>
      <w:r w:rsidR="00FA7341">
        <w:t>computational effort</w:t>
      </w:r>
      <w:r w:rsidRPr="00B45BA2">
        <w:t xml:space="preserve"> of a solid model could be prohibitive. </w:t>
      </w:r>
      <w:r w:rsidR="009E4868">
        <w:t>The Component-Wise approach</w:t>
      </w:r>
      <w:r w:rsidR="00404F6A">
        <w:t xml:space="preserve"> (see Fig.1)</w:t>
      </w:r>
      <w:r w:rsidR="009E4868">
        <w:t xml:space="preserve">, here proposed, </w:t>
      </w:r>
      <w:r w:rsidR="00DC6FD5">
        <w:t xml:space="preserve">separately models </w:t>
      </w:r>
      <w:r w:rsidR="00DC6FD5" w:rsidRPr="00B45BA2">
        <w:t>each typical component of a composite structures (i.e. layers, fibers and matrices)</w:t>
      </w:r>
      <w:r w:rsidR="00DC6FD5">
        <w:t xml:space="preserve"> </w:t>
      </w:r>
      <w:r w:rsidR="00A04A10" w:rsidRPr="00B44A8E">
        <w:t>wit</w:t>
      </w:r>
      <w:r w:rsidR="00810E4D">
        <w:t>h convenient computational costs</w:t>
      </w:r>
      <w:r w:rsidR="00A04A10" w:rsidRPr="00B44A8E">
        <w:t>.</w:t>
      </w:r>
      <w:r w:rsidR="00810E4D">
        <w:t xml:space="preserve"> </w:t>
      </w:r>
      <w:r w:rsidR="0053042F">
        <w:t xml:space="preserve">This </w:t>
      </w:r>
      <w:r w:rsidRPr="00B45BA2">
        <w:t xml:space="preserve">method is based on higher-order 1D models; moreover, different scale components can be used simultaneously, that is, homogenized laminates or </w:t>
      </w:r>
      <w:proofErr w:type="spellStart"/>
      <w:r w:rsidRPr="00B45BA2">
        <w:t>laminae</w:t>
      </w:r>
      <w:proofErr w:type="spellEnd"/>
      <w:r w:rsidR="00810E4D">
        <w:t>,</w:t>
      </w:r>
      <w:r w:rsidRPr="00B45BA2">
        <w:t xml:space="preserve"> </w:t>
      </w:r>
      <w:r w:rsidR="00FA7341">
        <w:t>modeled by 2D models</w:t>
      </w:r>
      <w:r w:rsidR="0053042F">
        <w:t xml:space="preserve"> (</w:t>
      </w:r>
      <w:r w:rsidR="0053042F" w:rsidRPr="00B45BA2">
        <w:t>Equivalent Single Layer models (ESL) and Layer Wise models (LW</w:t>
      </w:r>
      <w:r w:rsidR="0053042F">
        <w:t>))</w:t>
      </w:r>
      <w:r w:rsidR="00810E4D">
        <w:t>,</w:t>
      </w:r>
      <w:r w:rsidR="00FA7341">
        <w:t xml:space="preserve"> </w:t>
      </w:r>
      <w:r w:rsidRPr="00B45BA2">
        <w:t xml:space="preserve">can be interfaced with fibers and matrices. It could be seen as a “global-local” model since it can be used either to create a global model </w:t>
      </w:r>
      <w:r w:rsidR="00810E4D">
        <w:t>for</w:t>
      </w:r>
      <w:r w:rsidRPr="00B45BA2">
        <w:t xml:space="preserve"> the full laminate </w:t>
      </w:r>
      <w:r w:rsidR="00810E4D">
        <w:t>or</w:t>
      </w:r>
      <w:r w:rsidRPr="00B45BA2">
        <w:t xml:space="preserve"> a local model </w:t>
      </w:r>
      <w:r w:rsidR="00810E4D">
        <w:t>for</w:t>
      </w:r>
      <w:r w:rsidRPr="00B45BA2">
        <w:t xml:space="preserve"> those parts of the structure which could be most likely affected by failure. </w:t>
      </w:r>
    </w:p>
    <w:p w:rsidR="00404F6A" w:rsidRDefault="00FA7341" w:rsidP="007C6C68">
      <w:pPr>
        <w:autoSpaceDE w:val="0"/>
        <w:autoSpaceDN w:val="0"/>
        <w:adjustRightInd w:val="0"/>
        <w:rPr>
          <w:rFonts w:ascii="CMR10" w:hAnsi="CMR10" w:cs="CMR10"/>
          <w:noProof/>
          <w:sz w:val="20"/>
          <w:lang w:eastAsia="it-IT"/>
        </w:rPr>
      </w:pPr>
      <w:r>
        <w:t>The</w:t>
      </w:r>
      <w:r w:rsidR="00B44A8E" w:rsidRPr="00B44A8E">
        <w:t xml:space="preserve"> Carrera Unified Formulation</w:t>
      </w:r>
      <w:r w:rsidR="00B44A8E">
        <w:t xml:space="preserve"> </w:t>
      </w:r>
      <w:r w:rsidR="00B44A8E" w:rsidRPr="00B44A8E">
        <w:t>(CUF</w:t>
      </w:r>
      <w:r w:rsidR="008A4934">
        <w:t>)</w:t>
      </w:r>
      <w:r>
        <w:t xml:space="preserve"> is here used</w:t>
      </w:r>
      <w:r w:rsidR="00B45BA2" w:rsidRPr="00B44A8E">
        <w:t xml:space="preserve"> to derive </w:t>
      </w:r>
      <w:r w:rsidR="0053042F">
        <w:t xml:space="preserve">in a systematic way </w:t>
      </w:r>
      <w:r w:rsidR="00B45BA2" w:rsidRPr="00B44A8E">
        <w:t xml:space="preserve">several </w:t>
      </w:r>
      <w:r w:rsidR="00DC6FD5">
        <w:t xml:space="preserve">one- and </w:t>
      </w:r>
      <w:r w:rsidR="00B45BA2" w:rsidRPr="00B44A8E">
        <w:t>two</w:t>
      </w:r>
      <w:r w:rsidR="00DC6FD5">
        <w:t>-</w:t>
      </w:r>
      <w:r w:rsidR="00B45BA2" w:rsidRPr="00B44A8E">
        <w:t>dimensional</w:t>
      </w:r>
      <w:r w:rsidR="00B45BA2">
        <w:t xml:space="preserve"> </w:t>
      </w:r>
      <w:r w:rsidR="00B45BA2" w:rsidRPr="00B44A8E">
        <w:t>models</w:t>
      </w:r>
      <w:r>
        <w:t xml:space="preserve"> </w:t>
      </w:r>
      <w:r w:rsidR="004F4029">
        <w:t xml:space="preserve">with </w:t>
      </w:r>
      <w:r w:rsidR="00810E4D">
        <w:t>different</w:t>
      </w:r>
      <w:r w:rsidR="004F4029">
        <w:t xml:space="preserve"> kinematics</w:t>
      </w:r>
      <w:r>
        <w:t xml:space="preserve">. </w:t>
      </w:r>
      <w:r w:rsidR="00B45BA2" w:rsidRPr="00B44A8E">
        <w:t>Classical theories</w:t>
      </w:r>
      <w:r w:rsidR="00F53604">
        <w:t>, such as Classical Lamination Theory (CLT) and First-order Shear Deformation Theory (FSDT)</w:t>
      </w:r>
      <w:r w:rsidR="00302140">
        <w:t>,</w:t>
      </w:r>
      <w:r w:rsidR="00B45BA2" w:rsidRPr="00B44A8E">
        <w:t xml:space="preserve"> can be obtained as particular</w:t>
      </w:r>
      <w:r w:rsidR="00B45BA2">
        <w:t xml:space="preserve"> </w:t>
      </w:r>
      <w:r w:rsidR="00B45BA2" w:rsidRPr="00B44A8E">
        <w:t xml:space="preserve">cases. </w:t>
      </w:r>
      <w:r w:rsidR="00445939" w:rsidRPr="00445939">
        <w:t>The academic software MUL2 (</w:t>
      </w:r>
      <w:r w:rsidR="00810E4D">
        <w:t xml:space="preserve">a </w:t>
      </w:r>
      <w:r w:rsidR="00445939" w:rsidRPr="00445939">
        <w:t xml:space="preserve">finite element code based on </w:t>
      </w:r>
      <w:r w:rsidR="00F53604">
        <w:t>the</w:t>
      </w:r>
      <w:r w:rsidR="00445939" w:rsidRPr="00445939">
        <w:t xml:space="preserve"> theories</w:t>
      </w:r>
      <w:r w:rsidR="00F53604">
        <w:t xml:space="preserve"> of CUF</w:t>
      </w:r>
      <w:r w:rsidR="00404F6A">
        <w:t xml:space="preserve"> [1]</w:t>
      </w:r>
      <w:r w:rsidR="00445939" w:rsidRPr="00445939">
        <w:t xml:space="preserve">) has been </w:t>
      </w:r>
      <w:r w:rsidR="004F4029">
        <w:t xml:space="preserve">also </w:t>
      </w:r>
      <w:r w:rsidR="00445939" w:rsidRPr="00445939">
        <w:t xml:space="preserve">interfaced with the commercial software </w:t>
      </w:r>
      <w:proofErr w:type="spellStart"/>
      <w:r w:rsidR="00445939" w:rsidRPr="00445939">
        <w:t>MSC.Patran</w:t>
      </w:r>
      <w:proofErr w:type="spellEnd"/>
      <w:r w:rsidR="00445939" w:rsidRPr="00445939">
        <w:t>/Nastran</w:t>
      </w:r>
      <w:r w:rsidR="004C5459">
        <w:t xml:space="preserve"> (among the</w:t>
      </w:r>
      <w:r w:rsidR="005F244F">
        <w:t xml:space="preserve"> others: ABAQUS, ANSYS, etc.</w:t>
      </w:r>
      <w:r w:rsidR="004C5459">
        <w:t>)</w:t>
      </w:r>
      <w:r w:rsidR="00445939" w:rsidRPr="00445939">
        <w:t xml:space="preserve"> in</w:t>
      </w:r>
      <w:bookmarkStart w:id="0" w:name="_GoBack"/>
      <w:bookmarkEnd w:id="0"/>
      <w:r w:rsidR="00445939" w:rsidRPr="00445939">
        <w:t xml:space="preserve"> order to perform the global/local analysis</w:t>
      </w:r>
      <w:r w:rsidR="00F53604">
        <w:t xml:space="preserve"> of </w:t>
      </w:r>
      <w:r w:rsidR="004F4029">
        <w:t xml:space="preserve">complex </w:t>
      </w:r>
      <w:r w:rsidR="00F53604">
        <w:t xml:space="preserve">composite structures. This code employees </w:t>
      </w:r>
      <w:r w:rsidR="00445939" w:rsidRPr="00445939">
        <w:t xml:space="preserve">3D failure criteria for the calculation of the Failure Index (FI) in the matrix, fibers and </w:t>
      </w:r>
      <w:proofErr w:type="spellStart"/>
      <w:r w:rsidR="00445939" w:rsidRPr="00445939">
        <w:t>interlaminar</w:t>
      </w:r>
      <w:proofErr w:type="spellEnd"/>
      <w:r w:rsidR="00445939" w:rsidRPr="00445939">
        <w:t xml:space="preserve"> zones </w:t>
      </w:r>
      <w:r w:rsidR="00F53604">
        <w:t xml:space="preserve">of </w:t>
      </w:r>
      <w:r w:rsidR="00445939" w:rsidRPr="00445939">
        <w:t>composite</w:t>
      </w:r>
      <w:r w:rsidR="00F53604">
        <w:t xml:space="preserve"> structures.</w:t>
      </w:r>
      <w:r w:rsidR="00DE3E6D" w:rsidRPr="00A04A10">
        <w:rPr>
          <w:rFonts w:ascii="CMR10" w:hAnsi="CMR10" w:cs="CMR10"/>
          <w:noProof/>
          <w:sz w:val="20"/>
          <w:lang w:eastAsia="it-IT"/>
        </w:rPr>
        <w:t xml:space="preserve"> </w:t>
      </w:r>
    </w:p>
    <w:p w:rsidR="00DE3E6D" w:rsidRPr="00F53604" w:rsidRDefault="00DE3E6D" w:rsidP="007C6C68">
      <w:pPr>
        <w:autoSpaceDE w:val="0"/>
        <w:autoSpaceDN w:val="0"/>
        <w:adjustRightInd w:val="0"/>
        <w:rPr>
          <w:rFonts w:ascii="CMR10" w:hAnsi="CMR10" w:cs="CMR10"/>
          <w:noProof/>
          <w:sz w:val="20"/>
          <w:lang w:eastAsia="it-IT"/>
        </w:rPr>
      </w:pPr>
      <w:r w:rsidRPr="00A04A10">
        <w:rPr>
          <w:rFonts w:ascii="CMR10" w:hAnsi="CMR10" w:cs="CMR10"/>
          <w:noProof/>
          <w:sz w:val="20"/>
          <w:lang w:eastAsia="it-IT"/>
        </w:rPr>
        <w:t xml:space="preserve">     </w:t>
      </w:r>
    </w:p>
    <w:p w:rsidR="00316932" w:rsidRPr="0053042F" w:rsidRDefault="0053042F" w:rsidP="007C6C68">
      <w:pPr>
        <w:autoSpaceDE w:val="0"/>
        <w:autoSpaceDN w:val="0"/>
        <w:adjustRightInd w:val="0"/>
        <w:rPr>
          <w:rFonts w:cs="Arial"/>
          <w:b/>
          <w:noProof/>
          <w:sz w:val="22"/>
          <w:szCs w:val="22"/>
          <w:lang w:eastAsia="it-IT"/>
        </w:rPr>
      </w:pPr>
      <w:r w:rsidRPr="0053042F">
        <w:rPr>
          <w:rFonts w:cs="Arial"/>
          <w:b/>
          <w:noProof/>
          <w:sz w:val="22"/>
          <w:szCs w:val="22"/>
          <w:lang w:eastAsia="it-IT"/>
        </w:rPr>
        <w:t xml:space="preserve">           </w:t>
      </w:r>
      <w:r w:rsidR="00810E4D">
        <w:rPr>
          <w:rFonts w:cs="Arial"/>
          <w:b/>
          <w:noProof/>
          <w:sz w:val="22"/>
          <w:szCs w:val="22"/>
          <w:lang w:eastAsia="it-IT"/>
        </w:rPr>
        <w:t xml:space="preserve">  </w:t>
      </w:r>
      <w:r w:rsidR="004F4029" w:rsidRPr="0053042F">
        <w:rPr>
          <w:rFonts w:cs="Arial"/>
          <w:b/>
          <w:noProof/>
          <w:sz w:val="22"/>
          <w:szCs w:val="22"/>
          <w:lang w:eastAsia="it-IT"/>
        </w:rPr>
        <w:t xml:space="preserve">  </w:t>
      </w:r>
      <w:r w:rsidR="00316932">
        <w:rPr>
          <w:rFonts w:cs="Arial"/>
          <w:b/>
          <w:noProof/>
          <w:sz w:val="22"/>
          <w:szCs w:val="22"/>
          <w:lang w:val="it-IT" w:eastAsia="it-IT"/>
        </w:rPr>
        <w:drawing>
          <wp:inline distT="0" distB="0" distL="0" distR="0">
            <wp:extent cx="4238625" cy="1384043"/>
            <wp:effectExtent l="0" t="0" r="0" b="6985"/>
            <wp:docPr id="3" name="Immagine 3" descr="multiscal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multiscala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8625" cy="13840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0E4D" w:rsidRDefault="0053042F" w:rsidP="007C6C68">
      <w:pPr>
        <w:autoSpaceDE w:val="0"/>
        <w:autoSpaceDN w:val="0"/>
        <w:adjustRightInd w:val="0"/>
        <w:rPr>
          <w:rFonts w:cs="Arial"/>
          <w:b/>
          <w:noProof/>
          <w:sz w:val="22"/>
          <w:szCs w:val="22"/>
          <w:lang w:eastAsia="it-IT"/>
        </w:rPr>
      </w:pPr>
      <w:r>
        <w:rPr>
          <w:rFonts w:cs="Arial"/>
          <w:b/>
          <w:noProof/>
          <w:sz w:val="22"/>
          <w:szCs w:val="22"/>
          <w:lang w:eastAsia="it-IT"/>
        </w:rPr>
        <w:t xml:space="preserve">                                    </w:t>
      </w:r>
      <w:r w:rsidR="00203E95">
        <w:rPr>
          <w:rFonts w:cs="Arial"/>
          <w:b/>
          <w:noProof/>
          <w:sz w:val="22"/>
          <w:szCs w:val="22"/>
          <w:lang w:eastAsia="it-IT"/>
        </w:rPr>
        <w:t xml:space="preserve">   </w:t>
      </w:r>
    </w:p>
    <w:p w:rsidR="0053042F" w:rsidRDefault="00810E4D" w:rsidP="007C6C68">
      <w:pPr>
        <w:autoSpaceDE w:val="0"/>
        <w:autoSpaceDN w:val="0"/>
        <w:adjustRightInd w:val="0"/>
        <w:rPr>
          <w:rFonts w:cs="Arial"/>
          <w:sz w:val="22"/>
          <w:szCs w:val="22"/>
          <w:lang w:eastAsia="it-IT"/>
        </w:rPr>
      </w:pPr>
      <w:r>
        <w:rPr>
          <w:rFonts w:cs="Arial"/>
          <w:b/>
          <w:noProof/>
          <w:sz w:val="22"/>
          <w:szCs w:val="22"/>
          <w:lang w:eastAsia="it-IT"/>
        </w:rPr>
        <w:t xml:space="preserve">                                   </w:t>
      </w:r>
      <w:r w:rsidR="00203E95">
        <w:rPr>
          <w:rFonts w:cs="Arial"/>
          <w:b/>
          <w:noProof/>
          <w:sz w:val="22"/>
          <w:szCs w:val="22"/>
          <w:lang w:eastAsia="it-IT"/>
        </w:rPr>
        <w:t xml:space="preserve"> </w:t>
      </w:r>
      <w:r w:rsidR="0053042F" w:rsidRPr="00203E95">
        <w:rPr>
          <w:rFonts w:cs="Arial"/>
          <w:noProof/>
          <w:sz w:val="22"/>
          <w:szCs w:val="22"/>
          <w:lang w:val="it-IT" w:eastAsia="it-IT"/>
        </w:rPr>
        <w:t xml:space="preserve">Figure 1: </w:t>
      </w:r>
      <w:r w:rsidR="0053042F" w:rsidRPr="00203E95">
        <w:rPr>
          <w:rFonts w:cs="Arial"/>
          <w:sz w:val="22"/>
          <w:szCs w:val="22"/>
          <w:lang w:eastAsia="it-IT"/>
        </w:rPr>
        <w:t>Component-Wise method description</w:t>
      </w:r>
    </w:p>
    <w:p w:rsidR="00404F6A" w:rsidRDefault="00404F6A" w:rsidP="007C6C68">
      <w:pPr>
        <w:autoSpaceDE w:val="0"/>
        <w:autoSpaceDN w:val="0"/>
        <w:adjustRightInd w:val="0"/>
        <w:rPr>
          <w:rFonts w:cs="Arial"/>
          <w:sz w:val="22"/>
          <w:szCs w:val="22"/>
          <w:lang w:eastAsia="it-IT"/>
        </w:rPr>
      </w:pPr>
    </w:p>
    <w:p w:rsidR="00404F6A" w:rsidRPr="00203E95" w:rsidRDefault="00404F6A" w:rsidP="007C6C68">
      <w:pPr>
        <w:autoSpaceDE w:val="0"/>
        <w:autoSpaceDN w:val="0"/>
        <w:adjustRightInd w:val="0"/>
        <w:rPr>
          <w:rFonts w:cs="Arial"/>
          <w:noProof/>
          <w:sz w:val="22"/>
          <w:szCs w:val="22"/>
          <w:lang w:eastAsia="it-IT"/>
        </w:rPr>
      </w:pPr>
      <w:r>
        <w:rPr>
          <w:bCs/>
        </w:rPr>
        <w:t xml:space="preserve">[1] </w:t>
      </w:r>
      <w:r w:rsidRPr="00404F6A">
        <w:rPr>
          <w:bCs/>
        </w:rPr>
        <w:t xml:space="preserve">Carrera E., </w:t>
      </w:r>
      <w:proofErr w:type="spellStart"/>
      <w:r w:rsidRPr="00404F6A">
        <w:rPr>
          <w:bCs/>
        </w:rPr>
        <w:t>Cinefra</w:t>
      </w:r>
      <w:proofErr w:type="spellEnd"/>
      <w:r w:rsidRPr="00404F6A">
        <w:rPr>
          <w:bCs/>
        </w:rPr>
        <w:t xml:space="preserve"> M., </w:t>
      </w:r>
      <w:proofErr w:type="spellStart"/>
      <w:r w:rsidRPr="00404F6A">
        <w:rPr>
          <w:bCs/>
        </w:rPr>
        <w:t>Petrolo</w:t>
      </w:r>
      <w:proofErr w:type="spellEnd"/>
      <w:r w:rsidRPr="00404F6A">
        <w:rPr>
          <w:bCs/>
        </w:rPr>
        <w:t xml:space="preserve"> M., </w:t>
      </w:r>
      <w:proofErr w:type="spellStart"/>
      <w:r w:rsidRPr="00404F6A">
        <w:rPr>
          <w:bCs/>
        </w:rPr>
        <w:t>Zappino</w:t>
      </w:r>
      <w:proofErr w:type="spellEnd"/>
      <w:r w:rsidRPr="00404F6A">
        <w:rPr>
          <w:bCs/>
        </w:rPr>
        <w:t xml:space="preserve"> E., </w:t>
      </w:r>
      <w:r w:rsidRPr="00404F6A">
        <w:rPr>
          <w:bCs/>
          <w:i/>
        </w:rPr>
        <w:t xml:space="preserve">Finite Element Analysis of Structures through the Carrera Unified Formulation, </w:t>
      </w:r>
      <w:r w:rsidRPr="00404F6A">
        <w:rPr>
          <w:bCs/>
        </w:rPr>
        <w:t>John Wiley &amp; Sons, UK, 2014</w:t>
      </w:r>
      <w:r>
        <w:rPr>
          <w:bCs/>
        </w:rPr>
        <w:t>.</w:t>
      </w:r>
    </w:p>
    <w:sectPr w:rsidR="00404F6A" w:rsidRPr="00203E95" w:rsidSect="00C767D8">
      <w:headerReference w:type="default" r:id="rId9"/>
      <w:pgSz w:w="11907" w:h="16839" w:code="9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7573" w:rsidRDefault="00087573" w:rsidP="00F40BAC">
      <w:r>
        <w:separator/>
      </w:r>
    </w:p>
  </w:endnote>
  <w:endnote w:type="continuationSeparator" w:id="0">
    <w:p w:rsidR="00087573" w:rsidRDefault="00087573" w:rsidP="00F40B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MR10">
    <w:altName w:val="MS Mincho"/>
    <w:panose1 w:val="00000000000000000000"/>
    <w:charset w:val="00"/>
    <w:family w:val="auto"/>
    <w:notTrueType/>
    <w:pitch w:val="default"/>
    <w:sig w:usb0="00000003" w:usb1="08070000" w:usb2="00000010" w:usb3="00000000" w:csb0="0002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7573" w:rsidRDefault="00087573" w:rsidP="00F40BAC">
      <w:r>
        <w:separator/>
      </w:r>
    </w:p>
  </w:footnote>
  <w:footnote w:type="continuationSeparator" w:id="0">
    <w:p w:rsidR="00087573" w:rsidRDefault="00087573" w:rsidP="00F40B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BAC" w:rsidRDefault="00F40BAC">
    <w:pPr>
      <w:pStyle w:val="Intestazione"/>
    </w:pPr>
    <w:r>
      <w:rPr>
        <w:lang w:val="en-GB"/>
      </w:rPr>
      <w:t xml:space="preserve">Abstract for a proposed presentation at the </w:t>
    </w:r>
    <w:r w:rsidRPr="00AD4AA2">
      <w:t>Technical Interchange Meeting (TIM) on Fracture Control of Spacecraft, Launchers and thei</w:t>
    </w:r>
    <w:r w:rsidR="00BC4555">
      <w:t>r Payloads and Experiments (2015</w:t>
    </w:r>
    <w:r w:rsidRPr="00AD4AA2">
      <w:t>)</w:t>
    </w:r>
  </w:p>
  <w:p w:rsidR="00F40BAC" w:rsidRPr="00F40BAC" w:rsidRDefault="00F40BAC">
    <w:pPr>
      <w:pStyle w:val="Intestazione"/>
      <w:rPr>
        <w:lang w:val="en-GB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2ED675E"/>
    <w:multiLevelType w:val="hybridMultilevel"/>
    <w:tmpl w:val="39D4E6EA"/>
    <w:lvl w:ilvl="0" w:tplc="398E7A5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0"/>
        <w:szCs w:val="2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7E3E"/>
    <w:rsid w:val="00010C0A"/>
    <w:rsid w:val="00030FC0"/>
    <w:rsid w:val="00081FC3"/>
    <w:rsid w:val="00087573"/>
    <w:rsid w:val="0009184B"/>
    <w:rsid w:val="00107AFE"/>
    <w:rsid w:val="00194EF5"/>
    <w:rsid w:val="00203E95"/>
    <w:rsid w:val="00267FF2"/>
    <w:rsid w:val="00302140"/>
    <w:rsid w:val="00307468"/>
    <w:rsid w:val="00316932"/>
    <w:rsid w:val="00346217"/>
    <w:rsid w:val="00372523"/>
    <w:rsid w:val="003774CC"/>
    <w:rsid w:val="003A158D"/>
    <w:rsid w:val="003C4E9E"/>
    <w:rsid w:val="00404F6A"/>
    <w:rsid w:val="00445939"/>
    <w:rsid w:val="004C5459"/>
    <w:rsid w:val="004F2100"/>
    <w:rsid w:val="004F4029"/>
    <w:rsid w:val="00507D1E"/>
    <w:rsid w:val="0053042F"/>
    <w:rsid w:val="00557131"/>
    <w:rsid w:val="005B09CE"/>
    <w:rsid w:val="005F244F"/>
    <w:rsid w:val="00600BF3"/>
    <w:rsid w:val="00604BBF"/>
    <w:rsid w:val="006323BB"/>
    <w:rsid w:val="00706B1C"/>
    <w:rsid w:val="00722134"/>
    <w:rsid w:val="0074229E"/>
    <w:rsid w:val="00771057"/>
    <w:rsid w:val="00791F46"/>
    <w:rsid w:val="007C6C68"/>
    <w:rsid w:val="00810E4D"/>
    <w:rsid w:val="008744F2"/>
    <w:rsid w:val="008A4934"/>
    <w:rsid w:val="008A4ABA"/>
    <w:rsid w:val="008F3A9D"/>
    <w:rsid w:val="00932CB8"/>
    <w:rsid w:val="009E4868"/>
    <w:rsid w:val="009E7A24"/>
    <w:rsid w:val="00A04A10"/>
    <w:rsid w:val="00A25890"/>
    <w:rsid w:val="00A41228"/>
    <w:rsid w:val="00A4662A"/>
    <w:rsid w:val="00AA0B20"/>
    <w:rsid w:val="00B41FE3"/>
    <w:rsid w:val="00B4438E"/>
    <w:rsid w:val="00B44A8E"/>
    <w:rsid w:val="00B45BA2"/>
    <w:rsid w:val="00B709B5"/>
    <w:rsid w:val="00BA2EF1"/>
    <w:rsid w:val="00BB595E"/>
    <w:rsid w:val="00BC4555"/>
    <w:rsid w:val="00C17560"/>
    <w:rsid w:val="00C30B4D"/>
    <w:rsid w:val="00C767D8"/>
    <w:rsid w:val="00C96BF1"/>
    <w:rsid w:val="00D13F1B"/>
    <w:rsid w:val="00D45B1C"/>
    <w:rsid w:val="00D8184D"/>
    <w:rsid w:val="00D87A30"/>
    <w:rsid w:val="00DA7965"/>
    <w:rsid w:val="00DA7E3E"/>
    <w:rsid w:val="00DC6FD5"/>
    <w:rsid w:val="00DE3E6D"/>
    <w:rsid w:val="00DF3A05"/>
    <w:rsid w:val="00EA0FE3"/>
    <w:rsid w:val="00F40BAC"/>
    <w:rsid w:val="00F53604"/>
    <w:rsid w:val="00F6188B"/>
    <w:rsid w:val="00FA7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F40BAC"/>
    <w:pPr>
      <w:tabs>
        <w:tab w:val="center" w:pos="4680"/>
        <w:tab w:val="right" w:pos="9360"/>
      </w:tabs>
    </w:pPr>
  </w:style>
  <w:style w:type="character" w:customStyle="1" w:styleId="IntestazioneCarattere">
    <w:name w:val="Intestazione Carattere"/>
    <w:link w:val="Intestazione"/>
    <w:rsid w:val="00F40BAC"/>
    <w:rPr>
      <w:sz w:val="24"/>
      <w:szCs w:val="24"/>
      <w:lang w:val="en-US" w:eastAsia="en-US"/>
    </w:rPr>
  </w:style>
  <w:style w:type="paragraph" w:styleId="Pidipagina">
    <w:name w:val="footer"/>
    <w:basedOn w:val="Normale"/>
    <w:link w:val="PidipaginaCarattere"/>
    <w:rsid w:val="00F40BAC"/>
    <w:pPr>
      <w:tabs>
        <w:tab w:val="center" w:pos="4680"/>
        <w:tab w:val="right" w:pos="9360"/>
      </w:tabs>
    </w:pPr>
  </w:style>
  <w:style w:type="character" w:customStyle="1" w:styleId="PidipaginaCarattere">
    <w:name w:val="Piè di pagina Carattere"/>
    <w:link w:val="Pidipagina"/>
    <w:rsid w:val="00F40BAC"/>
    <w:rPr>
      <w:sz w:val="24"/>
      <w:szCs w:val="24"/>
      <w:lang w:val="en-US" w:eastAsia="en-US"/>
    </w:rPr>
  </w:style>
  <w:style w:type="paragraph" w:styleId="Testofumetto">
    <w:name w:val="Balloon Text"/>
    <w:basedOn w:val="Normale"/>
    <w:link w:val="TestofumettoCarattere"/>
    <w:rsid w:val="00DE3E6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DE3E6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F40BAC"/>
    <w:pPr>
      <w:tabs>
        <w:tab w:val="center" w:pos="4680"/>
        <w:tab w:val="right" w:pos="9360"/>
      </w:tabs>
    </w:pPr>
  </w:style>
  <w:style w:type="character" w:customStyle="1" w:styleId="IntestazioneCarattere">
    <w:name w:val="Intestazione Carattere"/>
    <w:link w:val="Intestazione"/>
    <w:rsid w:val="00F40BAC"/>
    <w:rPr>
      <w:sz w:val="24"/>
      <w:szCs w:val="24"/>
      <w:lang w:val="en-US" w:eastAsia="en-US"/>
    </w:rPr>
  </w:style>
  <w:style w:type="paragraph" w:styleId="Pidipagina">
    <w:name w:val="footer"/>
    <w:basedOn w:val="Normale"/>
    <w:link w:val="PidipaginaCarattere"/>
    <w:rsid w:val="00F40BAC"/>
    <w:pPr>
      <w:tabs>
        <w:tab w:val="center" w:pos="4680"/>
        <w:tab w:val="right" w:pos="9360"/>
      </w:tabs>
    </w:pPr>
  </w:style>
  <w:style w:type="character" w:customStyle="1" w:styleId="PidipaginaCarattere">
    <w:name w:val="Piè di pagina Carattere"/>
    <w:link w:val="Pidipagina"/>
    <w:rsid w:val="00F40BAC"/>
    <w:rPr>
      <w:sz w:val="24"/>
      <w:szCs w:val="24"/>
      <w:lang w:val="en-US" w:eastAsia="en-US"/>
    </w:rPr>
  </w:style>
  <w:style w:type="paragraph" w:styleId="Testofumetto">
    <w:name w:val="Balloon Text"/>
    <w:basedOn w:val="Normale"/>
    <w:link w:val="TestofumettoCarattere"/>
    <w:rsid w:val="00DE3E6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DE3E6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805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77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912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091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9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1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400</TotalTime>
  <Pages>1</Pages>
  <Words>363</Words>
  <Characters>2071</Characters>
  <Application>Microsoft Office Word</Application>
  <DocSecurity>0</DocSecurity>
  <Lines>17</Lines>
  <Paragraphs>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Damage Torerance Design for ISS Solar Project</vt:lpstr>
      <vt:lpstr>Damage Torerance Design for ISS Solar Project</vt:lpstr>
    </vt:vector>
  </TitlesOfParts>
  <Company>TAS-I</Company>
  <LinksUpToDate>false</LinksUpToDate>
  <CharactersWithSpaces>2430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Damage Torerance Design for ISS Solar Project</dc:title>
  <dc:creator>pluto</dc:creator>
  <cp:lastModifiedBy>Mirella</cp:lastModifiedBy>
  <cp:revision>30</cp:revision>
  <dcterms:created xsi:type="dcterms:W3CDTF">2015-07-20T21:49:00Z</dcterms:created>
  <dcterms:modified xsi:type="dcterms:W3CDTF">2015-10-05T16:39:00Z</dcterms:modified>
</cp:coreProperties>
</file>