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4E95" w:rsidRDefault="00714E95" w:rsidP="00C2679F">
      <w:pPr>
        <w:pStyle w:val="AuthorsName"/>
        <w:rPr>
          <w:rFonts w:ascii="Arial" w:hAnsi="Arial"/>
          <w:b/>
          <w:caps/>
          <w:sz w:val="24"/>
        </w:rPr>
      </w:pPr>
      <w:r w:rsidRPr="00714E95">
        <w:rPr>
          <w:rFonts w:ascii="Arial" w:hAnsi="Arial"/>
          <w:b/>
          <w:caps/>
          <w:sz w:val="24"/>
        </w:rPr>
        <w:t>Governance and business models for regional freight villages and terminals: the case study of Piedmont</w:t>
      </w:r>
    </w:p>
    <w:p w:rsidR="00C2679F" w:rsidRDefault="00714E95" w:rsidP="00C2679F">
      <w:pPr>
        <w:pStyle w:val="AuthorsName"/>
      </w:pPr>
      <w:r>
        <w:t>Giovanni Zenezini</w:t>
      </w:r>
    </w:p>
    <w:p w:rsidR="00714E95" w:rsidRPr="00714E95" w:rsidRDefault="00714E95" w:rsidP="00C2679F">
      <w:pPr>
        <w:pStyle w:val="AuthorsName"/>
        <w:rPr>
          <w:lang w:val="it-IT"/>
        </w:rPr>
      </w:pPr>
      <w:r w:rsidRPr="00714E95">
        <w:rPr>
          <w:lang w:val="it-IT"/>
        </w:rPr>
        <w:t>Alberto De Marco</w:t>
      </w:r>
    </w:p>
    <w:p w:rsidR="00C2679F" w:rsidRPr="00714E95" w:rsidRDefault="00714E95" w:rsidP="00C2679F">
      <w:pPr>
        <w:pStyle w:val="AuthorsName"/>
      </w:pPr>
      <w:r w:rsidRPr="00714E95">
        <w:t xml:space="preserve">Dept. of Management and Production Engineering, </w:t>
      </w:r>
      <w:proofErr w:type="spellStart"/>
      <w:r w:rsidRPr="00714E95">
        <w:t>Politecnico</w:t>
      </w:r>
      <w:proofErr w:type="spellEnd"/>
      <w:r w:rsidRPr="00714E95">
        <w:t xml:space="preserve"> di Torino</w:t>
      </w:r>
    </w:p>
    <w:p w:rsidR="00C2679F" w:rsidRDefault="00714E95" w:rsidP="00C2679F">
      <w:pPr>
        <w:pStyle w:val="AuthorsName"/>
        <w:rPr>
          <w:lang w:val="it-IT"/>
        </w:rPr>
      </w:pPr>
      <w:r w:rsidRPr="00714E95">
        <w:rPr>
          <w:lang w:val="it-IT"/>
        </w:rPr>
        <w:t xml:space="preserve">Tiziana </w:t>
      </w:r>
      <w:proofErr w:type="spellStart"/>
      <w:r w:rsidRPr="00714E95">
        <w:rPr>
          <w:lang w:val="it-IT"/>
        </w:rPr>
        <w:t>D</w:t>
      </w:r>
      <w:r>
        <w:rPr>
          <w:lang w:val="it-IT"/>
        </w:rPr>
        <w:t>elmastro</w:t>
      </w:r>
      <w:proofErr w:type="spellEnd"/>
    </w:p>
    <w:p w:rsidR="00714E95" w:rsidRPr="00714E95" w:rsidRDefault="00714E95" w:rsidP="00C2679F">
      <w:pPr>
        <w:pStyle w:val="AuthorsName"/>
        <w:rPr>
          <w:lang w:val="it-IT"/>
        </w:rPr>
      </w:pPr>
      <w:r w:rsidRPr="00714E95">
        <w:rPr>
          <w:lang w:val="it-IT"/>
        </w:rPr>
        <w:t>Maurizio Arnone</w:t>
      </w:r>
    </w:p>
    <w:p w:rsidR="00C2679F" w:rsidRPr="00E320E1" w:rsidRDefault="00714E95" w:rsidP="00C2679F">
      <w:pPr>
        <w:pStyle w:val="AuthorsName"/>
      </w:pPr>
      <w:proofErr w:type="spellStart"/>
      <w:r w:rsidRPr="00E320E1">
        <w:t>SiTI</w:t>
      </w:r>
      <w:proofErr w:type="spellEnd"/>
      <w:proofErr w:type="gramStart"/>
      <w:r w:rsidRPr="00E320E1">
        <w:t>,</w:t>
      </w:r>
      <w:r w:rsidR="00E320E1" w:rsidRPr="00E320E1">
        <w:t>-</w:t>
      </w:r>
      <w:proofErr w:type="gramEnd"/>
      <w:r w:rsidR="00E320E1" w:rsidRPr="00E320E1">
        <w:t xml:space="preserve"> Higher Institute on Territorial Systems for Innovation</w:t>
      </w:r>
    </w:p>
    <w:p w:rsidR="00C2679F" w:rsidRPr="00035763" w:rsidRDefault="00C2679F" w:rsidP="00C2679F">
      <w:pPr>
        <w:jc w:val="both"/>
        <w:rPr>
          <w:rFonts w:ascii="Calibri" w:hAnsi="Calibri"/>
          <w:sz w:val="22"/>
          <w:szCs w:val="22"/>
        </w:rPr>
      </w:pPr>
    </w:p>
    <w:p w:rsidR="00C2679F" w:rsidRPr="0068012F" w:rsidRDefault="00714E95" w:rsidP="0040093A">
      <w:pPr>
        <w:pStyle w:val="Titolo1"/>
        <w:ind w:left="0" w:hanging="567"/>
      </w:pPr>
      <w:r>
        <w:t>INTRODUCTION</w:t>
      </w:r>
    </w:p>
    <w:p w:rsidR="0040093A" w:rsidRPr="0040093A" w:rsidRDefault="00714E95" w:rsidP="00714E95">
      <w:pPr>
        <w:pStyle w:val="Text"/>
        <w:rPr>
          <w:color w:val="FF0000"/>
        </w:rPr>
      </w:pPr>
      <w:r>
        <w:t xml:space="preserve">Current trends, such as containerization of international trades, incentives to the differentiation of the mode of transport and multimodal shipping, and the rising bargaining power of the oceanic shipping companies have brought major changes to regional logistics systems. </w:t>
      </w:r>
      <w:proofErr w:type="spellStart"/>
      <w:r w:rsidR="0040093A">
        <w:rPr>
          <w:color w:val="FF0000"/>
        </w:rPr>
        <w:t>Inserire</w:t>
      </w:r>
      <w:proofErr w:type="spellEnd"/>
      <w:r w:rsidR="0040093A">
        <w:rPr>
          <w:color w:val="FF0000"/>
        </w:rPr>
        <w:t xml:space="preserve"> </w:t>
      </w:r>
      <w:proofErr w:type="spellStart"/>
      <w:r w:rsidR="0040093A">
        <w:rPr>
          <w:color w:val="FF0000"/>
        </w:rPr>
        <w:t>qualche</w:t>
      </w:r>
      <w:proofErr w:type="spellEnd"/>
      <w:r w:rsidR="0040093A">
        <w:rPr>
          <w:color w:val="FF0000"/>
        </w:rPr>
        <w:t xml:space="preserve"> </w:t>
      </w:r>
      <w:proofErr w:type="spellStart"/>
      <w:r w:rsidR="0040093A">
        <w:rPr>
          <w:color w:val="FF0000"/>
        </w:rPr>
        <w:t>dato</w:t>
      </w:r>
      <w:proofErr w:type="spellEnd"/>
      <w:r w:rsidR="0040093A">
        <w:rPr>
          <w:color w:val="FF0000"/>
        </w:rPr>
        <w:t xml:space="preserve">, da </w:t>
      </w:r>
      <w:proofErr w:type="spellStart"/>
      <w:r w:rsidR="0040093A">
        <w:rPr>
          <w:color w:val="FF0000"/>
        </w:rPr>
        <w:t>presentazioni</w:t>
      </w:r>
      <w:proofErr w:type="spellEnd"/>
      <w:r w:rsidR="0040093A">
        <w:rPr>
          <w:color w:val="FF0000"/>
        </w:rPr>
        <w:t xml:space="preserve"> </w:t>
      </w:r>
      <w:proofErr w:type="spellStart"/>
      <w:r w:rsidR="0040093A">
        <w:rPr>
          <w:color w:val="FF0000"/>
        </w:rPr>
        <w:t>SiTI</w:t>
      </w:r>
      <w:proofErr w:type="spellEnd"/>
      <w:r w:rsidR="0040093A">
        <w:rPr>
          <w:color w:val="FF0000"/>
        </w:rPr>
        <w:t xml:space="preserve">. </w:t>
      </w:r>
    </w:p>
    <w:p w:rsidR="00714E95" w:rsidRPr="0040093A" w:rsidRDefault="00714E95" w:rsidP="00714E95">
      <w:pPr>
        <w:pStyle w:val="Text"/>
        <w:rPr>
          <w:color w:val="FF0000"/>
        </w:rPr>
      </w:pPr>
      <w:r>
        <w:t>In this context, many freight villages and terminals have been specializing their mission and activities into different business and governance models, such as either intermodal operations or value added logistics services.</w:t>
      </w:r>
      <w:r w:rsidR="0040093A">
        <w:t xml:space="preserve"> </w:t>
      </w:r>
      <w:proofErr w:type="spellStart"/>
      <w:r w:rsidR="0040093A">
        <w:rPr>
          <w:color w:val="FF0000"/>
        </w:rPr>
        <w:t>Qualche</w:t>
      </w:r>
      <w:proofErr w:type="spellEnd"/>
      <w:r w:rsidR="0040093A">
        <w:rPr>
          <w:color w:val="FF0000"/>
        </w:rPr>
        <w:t xml:space="preserve"> </w:t>
      </w:r>
      <w:proofErr w:type="spellStart"/>
      <w:r w:rsidR="0040093A">
        <w:rPr>
          <w:color w:val="FF0000"/>
        </w:rPr>
        <w:t>esempio</w:t>
      </w:r>
      <w:proofErr w:type="spellEnd"/>
      <w:r w:rsidR="0040093A">
        <w:rPr>
          <w:color w:val="FF0000"/>
        </w:rPr>
        <w:t xml:space="preserve"> </w:t>
      </w:r>
      <w:proofErr w:type="spellStart"/>
      <w:r w:rsidR="0040093A">
        <w:rPr>
          <w:color w:val="FF0000"/>
        </w:rPr>
        <w:t>pratico</w:t>
      </w:r>
      <w:proofErr w:type="spellEnd"/>
      <w:r w:rsidR="0040093A">
        <w:rPr>
          <w:color w:val="FF0000"/>
        </w:rPr>
        <w:t>, e reference (</w:t>
      </w:r>
      <w:proofErr w:type="spellStart"/>
      <w:r w:rsidR="0040093A">
        <w:rPr>
          <w:color w:val="FF0000"/>
        </w:rPr>
        <w:t>es</w:t>
      </w:r>
      <w:proofErr w:type="spellEnd"/>
      <w:r w:rsidR="0040093A">
        <w:rPr>
          <w:color w:val="FF0000"/>
        </w:rPr>
        <w:t xml:space="preserve">. Inland port actors and functions). </w:t>
      </w:r>
      <w:proofErr w:type="spellStart"/>
      <w:r w:rsidR="0040093A">
        <w:rPr>
          <w:color w:val="FF0000"/>
        </w:rPr>
        <w:t>Focalizzarsi</w:t>
      </w:r>
      <w:proofErr w:type="spellEnd"/>
      <w:r w:rsidR="0040093A">
        <w:rPr>
          <w:color w:val="FF0000"/>
        </w:rPr>
        <w:t xml:space="preserve"> </w:t>
      </w:r>
      <w:proofErr w:type="spellStart"/>
      <w:r w:rsidR="0040093A">
        <w:rPr>
          <w:color w:val="FF0000"/>
        </w:rPr>
        <w:t>sugli</w:t>
      </w:r>
      <w:proofErr w:type="spellEnd"/>
      <w:r w:rsidR="0040093A">
        <w:rPr>
          <w:color w:val="FF0000"/>
        </w:rPr>
        <w:t xml:space="preserve"> </w:t>
      </w:r>
      <w:proofErr w:type="spellStart"/>
      <w:r w:rsidR="0040093A">
        <w:rPr>
          <w:color w:val="FF0000"/>
        </w:rPr>
        <w:t>impatti</w:t>
      </w:r>
      <w:proofErr w:type="spellEnd"/>
      <w:r w:rsidR="0040093A">
        <w:rPr>
          <w:color w:val="FF0000"/>
        </w:rPr>
        <w:t xml:space="preserve"> </w:t>
      </w:r>
      <w:proofErr w:type="spellStart"/>
      <w:r w:rsidR="0040093A">
        <w:rPr>
          <w:color w:val="FF0000"/>
        </w:rPr>
        <w:t>dei</w:t>
      </w:r>
      <w:proofErr w:type="spellEnd"/>
      <w:r w:rsidR="0040093A">
        <w:rPr>
          <w:color w:val="FF0000"/>
        </w:rPr>
        <w:t xml:space="preserve"> trend </w:t>
      </w:r>
      <w:proofErr w:type="gramStart"/>
      <w:r w:rsidR="0040093A">
        <w:rPr>
          <w:color w:val="FF0000"/>
        </w:rPr>
        <w:t>sui</w:t>
      </w:r>
      <w:proofErr w:type="gramEnd"/>
      <w:r w:rsidR="0040093A">
        <w:rPr>
          <w:color w:val="FF0000"/>
        </w:rPr>
        <w:t xml:space="preserve"> terminal.</w:t>
      </w:r>
    </w:p>
    <w:p w:rsidR="00020E6E" w:rsidRDefault="0040093A" w:rsidP="003E27C0">
      <w:pPr>
        <w:pStyle w:val="Text"/>
      </w:pPr>
      <w:r>
        <w:t xml:space="preserve">In order to contribute to existing literature on the main functions of freight villages and inland terminals, and </w:t>
      </w:r>
      <w:r w:rsidR="00714E95">
        <w:t>illustrat</w:t>
      </w:r>
      <w:r>
        <w:t>e the impacts of current</w:t>
      </w:r>
      <w:r w:rsidR="00714E95">
        <w:t xml:space="preserve"> trend</w:t>
      </w:r>
      <w:r>
        <w:t>s, this work presents a descriptive</w:t>
      </w:r>
      <w:r w:rsidR="00714E95">
        <w:t xml:space="preserve"> case study of the Piedmont region in the North-West of Italy</w:t>
      </w:r>
      <w:r>
        <w:t>, which is located</w:t>
      </w:r>
      <w:r w:rsidR="00714E95">
        <w:t xml:space="preserve"> at the crossing point of main European freight corridors and c</w:t>
      </w:r>
      <w:r>
        <w:t>lose to the Mediterranean ports.</w:t>
      </w:r>
      <w:r w:rsidR="00714E95">
        <w:t xml:space="preserve"> </w:t>
      </w:r>
      <w:r w:rsidR="00020E6E">
        <w:t>T</w:t>
      </w:r>
      <w:r>
        <w:t xml:space="preserve">he unit of analysis of the case study is </w:t>
      </w:r>
      <w:r w:rsidR="00714E95">
        <w:t>the ma</w:t>
      </w:r>
      <w:r>
        <w:t>naging company</w:t>
      </w:r>
      <w:r w:rsidR="00714E95">
        <w:t xml:space="preserve"> of freight villages and terminals that handle both intermodal and conventional freight.</w:t>
      </w:r>
      <w:r w:rsidR="00020E6E">
        <w:t xml:space="preserve"> Managing companies are defined as the proprietary entity of the terrains, warehouses and handling equipment; these entities gain revenues from </w:t>
      </w:r>
      <w:proofErr w:type="gramStart"/>
      <w:r w:rsidR="00020E6E">
        <w:t>real-estate</w:t>
      </w:r>
      <w:proofErr w:type="gramEnd"/>
      <w:r w:rsidR="00020E6E">
        <w:t xml:space="preserve"> (e.g. rents, leasing) or handling and value added activities.</w:t>
      </w:r>
      <w:r w:rsidR="00714E95">
        <w:t xml:space="preserve"> </w:t>
      </w:r>
      <w:r w:rsidR="00020E6E">
        <w:t xml:space="preserve">In particular, we investigate on the business and governance models of the managing companies and their future strategies in response to current challenges.  </w:t>
      </w:r>
    </w:p>
    <w:p w:rsidR="005A55EB" w:rsidRPr="005C3C85" w:rsidRDefault="00FA28CA" w:rsidP="00E320E1">
      <w:pPr>
        <w:pStyle w:val="Text"/>
      </w:pPr>
      <w:r>
        <w:t xml:space="preserve">The paper is structured as follows: in the next </w:t>
      </w:r>
      <w:proofErr w:type="gramStart"/>
      <w:r>
        <w:t>section</w:t>
      </w:r>
      <w:proofErr w:type="gramEnd"/>
      <w:r>
        <w:t xml:space="preserve"> we review previous literature on the functions and business models of freight villages and inland terminals, in order to build both a theoretical framework for the results of our case study and develop a comparison with international practices. In Section </w:t>
      </w:r>
      <w:proofErr w:type="gramStart"/>
      <w:r>
        <w:t>3</w:t>
      </w:r>
      <w:proofErr w:type="gramEnd"/>
      <w:r>
        <w:t xml:space="preserve"> we present the main features of our case study. Then, we propose the steps followed in section 4, and the main findings of our work </w:t>
      </w:r>
      <w:proofErr w:type="gramStart"/>
      <w:r>
        <w:t>are presented</w:t>
      </w:r>
      <w:proofErr w:type="gramEnd"/>
      <w:r>
        <w:t xml:space="preserve"> in section </w:t>
      </w:r>
      <w:r>
        <w:lastRenderedPageBreak/>
        <w:t>5. Finally, s</w:t>
      </w:r>
      <w:r w:rsidR="00714E95">
        <w:t xml:space="preserve">ome preliminary conclusions </w:t>
      </w:r>
      <w:proofErr w:type="gramStart"/>
      <w:r w:rsidR="00714E95">
        <w:t>are drawn</w:t>
      </w:r>
      <w:proofErr w:type="gramEnd"/>
      <w:r w:rsidR="00714E95">
        <w:t xml:space="preserve"> together with discussions on the </w:t>
      </w:r>
      <w:r>
        <w:t>case study in section 6</w:t>
      </w:r>
      <w:r w:rsidR="00C2679F" w:rsidRPr="00C2679F">
        <w:t>.</w:t>
      </w:r>
    </w:p>
    <w:p w:rsidR="00EC2D96" w:rsidRDefault="00714E95" w:rsidP="0040093A">
      <w:pPr>
        <w:pStyle w:val="Titolo1"/>
        <w:ind w:left="0" w:hanging="567"/>
      </w:pPr>
      <w:r>
        <w:t>LITERATURE REVIE</w:t>
      </w:r>
      <w:r w:rsidR="00EC2D96">
        <w:t>W</w:t>
      </w:r>
    </w:p>
    <w:p w:rsidR="0040093A" w:rsidRPr="0040093A" w:rsidRDefault="0040093A" w:rsidP="002266BA">
      <w:pPr>
        <w:spacing w:after="240" w:line="300" w:lineRule="auto"/>
        <w:rPr>
          <w:sz w:val="24"/>
        </w:rPr>
      </w:pPr>
    </w:p>
    <w:p w:rsidR="009A0454" w:rsidRDefault="009A0454" w:rsidP="0040093A">
      <w:pPr>
        <w:pStyle w:val="Titolo2"/>
        <w:numPr>
          <w:ilvl w:val="1"/>
          <w:numId w:val="1"/>
        </w:numPr>
        <w:ind w:left="0" w:hanging="567"/>
      </w:pPr>
      <w:r>
        <w:t>Definition of freight villages and related functions</w:t>
      </w:r>
    </w:p>
    <w:p w:rsidR="008B6AB9" w:rsidRPr="008B6AB9" w:rsidRDefault="008B6AB9" w:rsidP="008B6AB9"/>
    <w:p w:rsidR="0040093A" w:rsidRPr="0068012F" w:rsidRDefault="009A0454" w:rsidP="009A0454">
      <w:pPr>
        <w:pStyle w:val="Titolo2"/>
        <w:numPr>
          <w:ilvl w:val="1"/>
          <w:numId w:val="1"/>
        </w:numPr>
        <w:ind w:left="0" w:hanging="567"/>
      </w:pPr>
      <w:r>
        <w:t>Existing business and governance models</w:t>
      </w:r>
    </w:p>
    <w:p w:rsidR="00EC2D96" w:rsidRPr="00EC2D96" w:rsidRDefault="00EC2D96" w:rsidP="00EC2D96"/>
    <w:p w:rsidR="00EC2D96" w:rsidRDefault="00EC2D96" w:rsidP="0040093A">
      <w:pPr>
        <w:pStyle w:val="Titolo1"/>
        <w:ind w:left="0" w:hanging="567"/>
      </w:pPr>
      <w:r>
        <w:t>The PIEDMONT REGION</w:t>
      </w:r>
    </w:p>
    <w:p w:rsidR="00E334D6" w:rsidRDefault="00E334D6" w:rsidP="003E27C0">
      <w:pPr>
        <w:pStyle w:val="Text"/>
        <w:rPr>
          <w:color w:val="FF0000"/>
        </w:rPr>
      </w:pPr>
      <w:r>
        <w:rPr>
          <w:color w:val="FF0000"/>
        </w:rPr>
        <w:t>Macro description of the region: population, size, economy</w:t>
      </w:r>
    </w:p>
    <w:p w:rsidR="00E334D6" w:rsidRDefault="00E334D6" w:rsidP="003E27C0">
      <w:pPr>
        <w:pStyle w:val="Text"/>
        <w:rPr>
          <w:color w:val="FF0000"/>
        </w:rPr>
      </w:pPr>
      <w:r>
        <w:rPr>
          <w:color w:val="FF0000"/>
        </w:rPr>
        <w:t xml:space="preserve">Description of the logistics sector: figures from ISTAT? </w:t>
      </w:r>
    </w:p>
    <w:p w:rsidR="00E334D6" w:rsidRDefault="00E334D6" w:rsidP="003E27C0">
      <w:pPr>
        <w:pStyle w:val="Text"/>
        <w:rPr>
          <w:color w:val="FF0000"/>
        </w:rPr>
      </w:pPr>
      <w:r>
        <w:rPr>
          <w:color w:val="FF0000"/>
        </w:rPr>
        <w:t>The managing companies: location, history, brief introduction to their business and governance models</w:t>
      </w:r>
    </w:p>
    <w:p w:rsidR="00EC2D96" w:rsidRPr="00E334D6" w:rsidRDefault="00E334D6" w:rsidP="003E27C0">
      <w:pPr>
        <w:pStyle w:val="Text"/>
      </w:pPr>
      <w:r>
        <w:t>T</w:t>
      </w:r>
      <w:r w:rsidR="0040093A" w:rsidRPr="00E334D6">
        <w:t>he Piedmont region well suited to our purpose because</w:t>
      </w:r>
      <w:r>
        <w:t xml:space="preserve"> of many reasons. </w:t>
      </w:r>
      <w:r w:rsidR="00D80249">
        <w:t>First</w:t>
      </w:r>
      <w:r>
        <w:t>, the development of the main freight villages has followed a significant interest from the public sector, now being the only Italian region with three facilities defined as “</w:t>
      </w:r>
      <w:proofErr w:type="spellStart"/>
      <w:r>
        <w:t>Inte</w:t>
      </w:r>
      <w:r w:rsidR="00FA28CA">
        <w:t>r</w:t>
      </w:r>
      <w:r>
        <w:t>porto</w:t>
      </w:r>
      <w:proofErr w:type="spellEnd"/>
      <w:r>
        <w:t>”. Second, its location at the crossing of different corridors</w:t>
      </w:r>
      <w:r w:rsidR="0040093A" w:rsidRPr="00E334D6">
        <w:t xml:space="preserve"> </w:t>
      </w:r>
      <w:r>
        <w:t xml:space="preserve">and close to the main </w:t>
      </w:r>
      <w:proofErr w:type="spellStart"/>
      <w:r>
        <w:t>Ligurian</w:t>
      </w:r>
      <w:proofErr w:type="spellEnd"/>
      <w:r>
        <w:t xml:space="preserve"> ports (</w:t>
      </w:r>
      <w:proofErr w:type="spellStart"/>
      <w:r>
        <w:t>Genova</w:t>
      </w:r>
      <w:proofErr w:type="spellEnd"/>
      <w:r>
        <w:t xml:space="preserve"> and La Spezia) means that the logistics environment of the region quickly reflects global changes. In light of these </w:t>
      </w:r>
      <w:proofErr w:type="gramStart"/>
      <w:r>
        <w:t>above mentioned</w:t>
      </w:r>
      <w:proofErr w:type="gramEnd"/>
      <w:r>
        <w:t xml:space="preserve"> factors, the analysed managing companies are currently undergoing a process of specialization and are consolidating their business models and governance models.</w:t>
      </w:r>
    </w:p>
    <w:p w:rsidR="00EC2D96" w:rsidRDefault="00EC2D96" w:rsidP="0040093A">
      <w:pPr>
        <w:pStyle w:val="Titolo1"/>
        <w:ind w:left="0" w:hanging="567"/>
      </w:pPr>
      <w:r>
        <w:t>meTHODOLOGY</w:t>
      </w:r>
    </w:p>
    <w:p w:rsidR="00EC2D96" w:rsidRPr="003E27C0" w:rsidRDefault="00020E6E" w:rsidP="003E27C0">
      <w:pPr>
        <w:spacing w:after="240" w:line="300" w:lineRule="auto"/>
        <w:jc w:val="both"/>
        <w:rPr>
          <w:sz w:val="24"/>
        </w:rPr>
      </w:pPr>
      <w:r w:rsidRPr="00020E6E">
        <w:rPr>
          <w:sz w:val="24"/>
        </w:rPr>
        <w:t xml:space="preserve">Firstly, we review governance and business models available in the literature, as well as in case studies of regional experiences and best practices internationally, in order to underline the main similarities and differences with other comparable regions. Then, to validate our findings, we run a survey and a set of field interviews to the managers of both privately and </w:t>
      </w:r>
      <w:proofErr w:type="gramStart"/>
      <w:r w:rsidRPr="00020E6E">
        <w:rPr>
          <w:sz w:val="24"/>
        </w:rPr>
        <w:t>publicly-owned</w:t>
      </w:r>
      <w:proofErr w:type="gramEnd"/>
      <w:r w:rsidRPr="00020E6E">
        <w:rPr>
          <w:sz w:val="24"/>
        </w:rPr>
        <w:t xml:space="preserve"> managing companies. Through the survey and the interviews, we are able to provide a comprehensive insight on the business models and their future strategies.</w:t>
      </w:r>
    </w:p>
    <w:p w:rsidR="00EC2D96" w:rsidRDefault="00EC2D96" w:rsidP="0040093A">
      <w:pPr>
        <w:pStyle w:val="Titolo1"/>
        <w:ind w:left="0" w:hanging="567"/>
      </w:pPr>
      <w:r>
        <w:t>RESULTS</w:t>
      </w:r>
    </w:p>
    <w:p w:rsidR="00EC2D96" w:rsidRDefault="00020E6E" w:rsidP="00020E6E">
      <w:pPr>
        <w:jc w:val="both"/>
        <w:rPr>
          <w:sz w:val="24"/>
        </w:rPr>
      </w:pPr>
      <w:r w:rsidRPr="00020E6E">
        <w:rPr>
          <w:sz w:val="24"/>
        </w:rPr>
        <w:lastRenderedPageBreak/>
        <w:t>Based on our analysis we propose to group the freight villages and terminals into three main clusters, based on their core business and freight traffic O-D.</w:t>
      </w:r>
    </w:p>
    <w:p w:rsidR="003E27C0" w:rsidRDefault="003E27C0" w:rsidP="003E27C0">
      <w:pPr>
        <w:pStyle w:val="Titolo2"/>
        <w:numPr>
          <w:ilvl w:val="1"/>
          <w:numId w:val="1"/>
        </w:numPr>
        <w:ind w:left="0" w:hanging="567"/>
        <w:rPr>
          <w:lang w:val="it-IT"/>
        </w:rPr>
      </w:pPr>
      <w:r w:rsidRPr="003E27C0">
        <w:rPr>
          <w:lang w:val="it-IT"/>
        </w:rPr>
        <w:t>Dry-</w:t>
      </w:r>
      <w:proofErr w:type="spellStart"/>
      <w:r w:rsidRPr="003E27C0">
        <w:rPr>
          <w:lang w:val="it-IT"/>
        </w:rPr>
        <w:t>port</w:t>
      </w:r>
      <w:proofErr w:type="spellEnd"/>
      <w:r w:rsidRPr="003E27C0">
        <w:rPr>
          <w:lang w:val="it-IT"/>
        </w:rPr>
        <w:t xml:space="preserve"> cluster: Rivalta Scrivia and Villanova d’</w:t>
      </w:r>
      <w:r>
        <w:rPr>
          <w:lang w:val="it-IT"/>
        </w:rPr>
        <w:t>Asti</w:t>
      </w:r>
    </w:p>
    <w:p w:rsidR="003E27C0" w:rsidRPr="003E27C0" w:rsidRDefault="003E27C0" w:rsidP="003E27C0">
      <w:pPr>
        <w:rPr>
          <w:lang w:val="it-IT"/>
        </w:rPr>
      </w:pPr>
    </w:p>
    <w:p w:rsidR="003E27C0" w:rsidRDefault="003E27C0" w:rsidP="003E27C0">
      <w:pPr>
        <w:pStyle w:val="Titolo2"/>
        <w:numPr>
          <w:ilvl w:val="1"/>
          <w:numId w:val="1"/>
        </w:numPr>
        <w:ind w:left="0" w:hanging="567"/>
      </w:pPr>
      <w:proofErr w:type="spellStart"/>
      <w:r w:rsidRPr="003E27C0">
        <w:t>SiTO</w:t>
      </w:r>
      <w:proofErr w:type="spellEnd"/>
      <w:r w:rsidRPr="003E27C0">
        <w:t xml:space="preserve"> and the </w:t>
      </w:r>
      <w:proofErr w:type="spellStart"/>
      <w:r w:rsidRPr="003E27C0">
        <w:t>Torinese</w:t>
      </w:r>
      <w:proofErr w:type="spellEnd"/>
      <w:r w:rsidRPr="003E27C0">
        <w:t xml:space="preserve"> a</w:t>
      </w:r>
      <w:r>
        <w:t>rea</w:t>
      </w:r>
    </w:p>
    <w:p w:rsidR="003E27C0" w:rsidRDefault="003E27C0" w:rsidP="003E27C0"/>
    <w:p w:rsidR="003E27C0" w:rsidRPr="00F64D96" w:rsidRDefault="003E27C0" w:rsidP="00F64D96">
      <w:pPr>
        <w:pStyle w:val="Titolo2"/>
        <w:numPr>
          <w:ilvl w:val="1"/>
          <w:numId w:val="1"/>
        </w:numPr>
        <w:ind w:left="0" w:hanging="567"/>
      </w:pPr>
      <w:proofErr w:type="spellStart"/>
      <w:r>
        <w:t>Intermodality</w:t>
      </w:r>
      <w:proofErr w:type="spellEnd"/>
      <w:r>
        <w:t xml:space="preserve"> cluster: connecting Northern European markets</w:t>
      </w:r>
    </w:p>
    <w:p w:rsidR="003E27C0" w:rsidRPr="003E27C0" w:rsidRDefault="003E27C0" w:rsidP="00020E6E">
      <w:pPr>
        <w:jc w:val="both"/>
        <w:rPr>
          <w:sz w:val="24"/>
        </w:rPr>
      </w:pPr>
    </w:p>
    <w:p w:rsidR="00EC2D96" w:rsidRDefault="00FA28CA" w:rsidP="0040093A">
      <w:pPr>
        <w:pStyle w:val="Titolo1"/>
        <w:ind w:left="0" w:hanging="567"/>
      </w:pPr>
      <w:r>
        <w:t xml:space="preserve">DISCUSSIONS AND </w:t>
      </w:r>
      <w:r w:rsidR="00EC2D96">
        <w:t>CONCLUSIONS</w:t>
      </w:r>
    </w:p>
    <w:p w:rsidR="00EC2D96" w:rsidRPr="00EC2D96" w:rsidRDefault="00EC2D96" w:rsidP="00EC2D96"/>
    <w:p w:rsidR="00EC2D96" w:rsidRPr="00EC2D96" w:rsidRDefault="00EC2D96" w:rsidP="00EC2D96"/>
    <w:p w:rsidR="00EC2D96" w:rsidRPr="00EC2D96" w:rsidRDefault="00EC2D96" w:rsidP="00EC2D96"/>
    <w:p w:rsidR="00EC2D96" w:rsidRPr="00EC2D96" w:rsidRDefault="00EC2D96" w:rsidP="00EC2D96"/>
    <w:p w:rsidR="00EC2D96" w:rsidRPr="00EC2D96" w:rsidRDefault="00EC2D96" w:rsidP="00EC2D96"/>
    <w:p w:rsidR="00C2679F" w:rsidRPr="00035763" w:rsidRDefault="00C2679F" w:rsidP="0068012F">
      <w:pPr>
        <w:pStyle w:val="Text"/>
      </w:pPr>
    </w:p>
    <w:p w:rsidR="00B40089" w:rsidRPr="0068012F" w:rsidRDefault="00B40089" w:rsidP="0068012F">
      <w:pPr>
        <w:pStyle w:val="Subheading"/>
      </w:pPr>
      <w:r w:rsidRPr="0068012F">
        <w:t>Bibliography</w:t>
      </w:r>
    </w:p>
    <w:p w:rsidR="00B40089" w:rsidRDefault="00B40089" w:rsidP="005A55EB">
      <w:pPr>
        <w:pStyle w:val="Bibliographyreferences"/>
        <w:spacing w:line="288" w:lineRule="auto"/>
      </w:pPr>
      <w:bookmarkStart w:id="0" w:name="_GoBack"/>
      <w:bookmarkEnd w:id="0"/>
    </w:p>
    <w:p w:rsidR="00B40089" w:rsidRDefault="00B40089" w:rsidP="00B40089">
      <w:pPr>
        <w:pStyle w:val="Bibliographyreferences"/>
      </w:pPr>
    </w:p>
    <w:p w:rsidR="00B40089" w:rsidRDefault="00B40089" w:rsidP="00B40089">
      <w:pPr>
        <w:pStyle w:val="Bibliographyreferences"/>
        <w:sectPr w:rsidR="00B40089" w:rsidSect="00C2679F">
          <w:headerReference w:type="default" r:id="rId8"/>
          <w:footerReference w:type="default" r:id="rId9"/>
          <w:pgSz w:w="11906" w:h="16838"/>
          <w:pgMar w:top="1440" w:right="1797" w:bottom="1440" w:left="1797" w:header="709" w:footer="709" w:gutter="0"/>
          <w:cols w:space="708"/>
          <w:docGrid w:linePitch="360"/>
        </w:sectPr>
      </w:pPr>
    </w:p>
    <w:p w:rsidR="00C2679F" w:rsidRDefault="00C2679F" w:rsidP="0068012F">
      <w:pPr>
        <w:pStyle w:val="Subheading"/>
      </w:pPr>
      <w:r>
        <w:lastRenderedPageBreak/>
        <w:t>Notes</w:t>
      </w:r>
    </w:p>
    <w:p w:rsidR="00C2679F" w:rsidRDefault="00C2679F" w:rsidP="005A55EB">
      <w:pPr>
        <w:spacing w:after="120" w:line="288" w:lineRule="auto"/>
      </w:pPr>
      <w:r w:rsidRPr="00B40089">
        <w:rPr>
          <w:rStyle w:val="NumbernotesChar"/>
        </w:rPr>
        <w:t>1</w:t>
      </w:r>
      <w:r>
        <w:t xml:space="preserve"> </w:t>
      </w:r>
      <w:r w:rsidRPr="00B40089">
        <w:rPr>
          <w:rStyle w:val="TextChar"/>
        </w:rPr>
        <w:t>First note goes here</w:t>
      </w:r>
    </w:p>
    <w:p w:rsidR="00C2679F" w:rsidRDefault="00C2679F" w:rsidP="005A55EB">
      <w:pPr>
        <w:spacing w:after="120" w:line="288" w:lineRule="auto"/>
      </w:pPr>
      <w:r w:rsidRPr="00C2679F">
        <w:rPr>
          <w:sz w:val="18"/>
          <w:szCs w:val="18"/>
          <w:vertAlign w:val="superscript"/>
        </w:rPr>
        <w:t>2</w:t>
      </w:r>
      <w:r>
        <w:t xml:space="preserve"> </w:t>
      </w:r>
      <w:r w:rsidRPr="00B40089">
        <w:rPr>
          <w:rStyle w:val="TextChar"/>
        </w:rPr>
        <w:t>Second note goes here</w:t>
      </w:r>
    </w:p>
    <w:p w:rsidR="00C2679F" w:rsidRDefault="00C2679F" w:rsidP="00C2679F"/>
    <w:p w:rsidR="00C2679F" w:rsidRDefault="00C2679F" w:rsidP="00C2679F"/>
    <w:sectPr w:rsidR="00C2679F" w:rsidSect="00B40089">
      <w:type w:val="oddPage"/>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1ED2" w:rsidRDefault="00051ED2" w:rsidP="005A55EB">
      <w:r>
        <w:separator/>
      </w:r>
    </w:p>
  </w:endnote>
  <w:endnote w:type="continuationSeparator" w:id="0">
    <w:p w:rsidR="00051ED2" w:rsidRDefault="00051ED2" w:rsidP="005A5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20E1" w:rsidRPr="005A55EB" w:rsidRDefault="00E320E1" w:rsidP="005A55EB">
    <w:pPr>
      <w:pStyle w:val="copyright"/>
    </w:pPr>
    <w:r>
      <w:t>© AET 2014</w:t>
    </w:r>
    <w:r w:rsidRPr="005A55EB">
      <w:t xml:space="preserve"> and contributors</w:t>
    </w:r>
  </w:p>
  <w:p w:rsidR="00E320E1" w:rsidRPr="005A55EB" w:rsidRDefault="00E320E1" w:rsidP="005A55EB">
    <w:pPr>
      <w:pStyle w:val="PageNumber1"/>
    </w:pPr>
    <w:r w:rsidRPr="005A55EB">
      <w:fldChar w:fldCharType="begin"/>
    </w:r>
    <w:r w:rsidRPr="005A55EB">
      <w:instrText xml:space="preserve"> PAGE   \* MERGEFORMAT </w:instrText>
    </w:r>
    <w:r w:rsidRPr="005A55EB">
      <w:fldChar w:fldCharType="separate"/>
    </w:r>
    <w:r w:rsidR="00F64D96">
      <w:rPr>
        <w:noProof/>
      </w:rPr>
      <w:t>2</w:t>
    </w:r>
    <w:r w:rsidRPr="005A55EB">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1ED2" w:rsidRDefault="00051ED2" w:rsidP="005A55EB">
      <w:r>
        <w:separator/>
      </w:r>
    </w:p>
  </w:footnote>
  <w:footnote w:type="continuationSeparator" w:id="0">
    <w:p w:rsidR="00051ED2" w:rsidRDefault="00051ED2" w:rsidP="005A55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20E1" w:rsidRDefault="00E320E1">
    <w:pPr>
      <w:pStyle w:val="Intestazione"/>
    </w:pPr>
    <w:r>
      <w:rPr>
        <w:noProof/>
        <w:lang w:val="it-IT" w:eastAsia="it-IT"/>
      </w:rPr>
      <w:drawing>
        <wp:anchor distT="0" distB="0" distL="114300" distR="114300" simplePos="0" relativeHeight="251660288" behindDoc="0" locked="0" layoutInCell="1" allowOverlap="1" wp14:anchorId="66259D58" wp14:editId="4C12150E">
          <wp:simplePos x="0" y="0"/>
          <wp:positionH relativeFrom="column">
            <wp:posOffset>3736076</wp:posOffset>
          </wp:positionH>
          <wp:positionV relativeFrom="paragraph">
            <wp:posOffset>-272415</wp:posOffset>
          </wp:positionV>
          <wp:extent cx="1509622" cy="573657"/>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C2014-logo.jpg"/>
                  <pic:cNvPicPr/>
                </pic:nvPicPr>
                <pic:blipFill>
                  <a:blip r:embed="rId1">
                    <a:extLst>
                      <a:ext uri="{28A0092B-C50C-407E-A947-70E740481C1C}">
                        <a14:useLocalDpi xmlns:a14="http://schemas.microsoft.com/office/drawing/2010/main" val="0"/>
                      </a:ext>
                    </a:extLst>
                  </a:blip>
                  <a:stretch>
                    <a:fillRect/>
                  </a:stretch>
                </pic:blipFill>
                <pic:spPr>
                  <a:xfrm>
                    <a:off x="0" y="0"/>
                    <a:ext cx="1509622" cy="573657"/>
                  </a:xfrm>
                  <a:prstGeom prst="rect">
                    <a:avLst/>
                  </a:prstGeom>
                </pic:spPr>
              </pic:pic>
            </a:graphicData>
          </a:graphic>
          <wp14:sizeRelH relativeFrom="page">
            <wp14:pctWidth>0</wp14:pctWidth>
          </wp14:sizeRelH>
          <wp14:sizeRelV relativeFrom="page">
            <wp14:pctHeight>0</wp14:pctHeight>
          </wp14:sizeRelV>
        </wp:anchor>
      </w:drawing>
    </w:r>
    <w:r>
      <w:rPr>
        <w:noProof/>
        <w:lang w:val="it-IT" w:eastAsia="it-IT"/>
      </w:rPr>
      <w:drawing>
        <wp:anchor distT="0" distB="0" distL="114300" distR="114300" simplePos="0" relativeHeight="251659264" behindDoc="0" locked="0" layoutInCell="1" allowOverlap="1" wp14:anchorId="6CBE9CFD" wp14:editId="67998D1E">
          <wp:simplePos x="0" y="0"/>
          <wp:positionH relativeFrom="column">
            <wp:posOffset>1905</wp:posOffset>
          </wp:positionH>
          <wp:positionV relativeFrom="paragraph">
            <wp:posOffset>-311670</wp:posOffset>
          </wp:positionV>
          <wp:extent cx="505691" cy="636448"/>
          <wp:effectExtent l="0" t="0" r="889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etLogoCurrent.gif"/>
                  <pic:cNvPicPr/>
                </pic:nvPicPr>
                <pic:blipFill rotWithShape="1">
                  <a:blip r:embed="rId2" cstate="print">
                    <a:extLst>
                      <a:ext uri="{28A0092B-C50C-407E-A947-70E740481C1C}">
                        <a14:useLocalDpi xmlns:a14="http://schemas.microsoft.com/office/drawing/2010/main"/>
                      </a:ext>
                    </a:extLst>
                  </a:blip>
                  <a:srcRect t="17136"/>
                  <a:stretch/>
                </pic:blipFill>
                <pic:spPr bwMode="auto">
                  <a:xfrm>
                    <a:off x="0" y="0"/>
                    <a:ext cx="505460" cy="63615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B10805"/>
    <w:multiLevelType w:val="hybridMultilevel"/>
    <w:tmpl w:val="99863D8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686166C"/>
    <w:multiLevelType w:val="multilevel"/>
    <w:tmpl w:val="F1AC0C7A"/>
    <w:lvl w:ilvl="0">
      <w:start w:val="1"/>
      <w:numFmt w:val="decimal"/>
      <w:pStyle w:val="Titolo1"/>
      <w:lvlText w:val="%1."/>
      <w:legacy w:legacy="1" w:legacySpace="0" w:legacyIndent="283"/>
      <w:lvlJc w:val="left"/>
      <w:pPr>
        <w:ind w:left="283" w:hanging="283"/>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2F1746A5"/>
    <w:multiLevelType w:val="hybridMultilevel"/>
    <w:tmpl w:val="C8FCF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E7042F"/>
    <w:multiLevelType w:val="multilevel"/>
    <w:tmpl w:val="E2186E18"/>
    <w:lvl w:ilvl="0">
      <w:start w:val="1"/>
      <w:numFmt w:val="decimal"/>
      <w:lvlText w:val="%1."/>
      <w:lvlJc w:val="left"/>
      <w:pPr>
        <w:ind w:left="360" w:hanging="360"/>
      </w:pPr>
    </w:lvl>
    <w:lvl w:ilvl="1">
      <w:start w:val="1"/>
      <w:numFmt w:val="decimal"/>
      <w:pStyle w:val="Tito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8055BED"/>
    <w:multiLevelType w:val="hybridMultilevel"/>
    <w:tmpl w:val="B59CA7B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415B70D1"/>
    <w:multiLevelType w:val="hybridMultilevel"/>
    <w:tmpl w:val="61EAE69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43DB79C7"/>
    <w:multiLevelType w:val="hybridMultilevel"/>
    <w:tmpl w:val="0E72812E"/>
    <w:lvl w:ilvl="0" w:tplc="596AAD86">
      <w:start w:val="1"/>
      <w:numFmt w:val="bullet"/>
      <w:pStyle w:val="Paragrafoelenco"/>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3203052"/>
    <w:multiLevelType w:val="hybridMultilevel"/>
    <w:tmpl w:val="CE982DD6"/>
    <w:lvl w:ilvl="0" w:tplc="7D386CDC">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60376B93"/>
    <w:multiLevelType w:val="hybridMultilevel"/>
    <w:tmpl w:val="55BEAA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6A00479E"/>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5"/>
  </w:num>
  <w:num w:numId="3">
    <w:abstractNumId w:val="7"/>
  </w:num>
  <w:num w:numId="4">
    <w:abstractNumId w:val="9"/>
  </w:num>
  <w:num w:numId="5">
    <w:abstractNumId w:val="4"/>
  </w:num>
  <w:num w:numId="6">
    <w:abstractNumId w:val="0"/>
  </w:num>
  <w:num w:numId="7">
    <w:abstractNumId w:val="3"/>
  </w:num>
  <w:num w:numId="8">
    <w:abstractNumId w:val="2"/>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79F"/>
    <w:rsid w:val="00020E6E"/>
    <w:rsid w:val="00051ED2"/>
    <w:rsid w:val="002266BA"/>
    <w:rsid w:val="003331CD"/>
    <w:rsid w:val="003E27C0"/>
    <w:rsid w:val="0040093A"/>
    <w:rsid w:val="00407F43"/>
    <w:rsid w:val="005355D0"/>
    <w:rsid w:val="005A55EB"/>
    <w:rsid w:val="005C3C85"/>
    <w:rsid w:val="0068012F"/>
    <w:rsid w:val="00714E95"/>
    <w:rsid w:val="008B6AB9"/>
    <w:rsid w:val="009225CA"/>
    <w:rsid w:val="009A0454"/>
    <w:rsid w:val="00B40089"/>
    <w:rsid w:val="00BA6DD1"/>
    <w:rsid w:val="00C2679F"/>
    <w:rsid w:val="00CB62F3"/>
    <w:rsid w:val="00D80249"/>
    <w:rsid w:val="00DB530F"/>
    <w:rsid w:val="00E320E1"/>
    <w:rsid w:val="00E334D6"/>
    <w:rsid w:val="00E95598"/>
    <w:rsid w:val="00EC2D96"/>
    <w:rsid w:val="00F64D96"/>
    <w:rsid w:val="00FA28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B9245D5-97D0-4089-8927-98118541E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2679F"/>
    <w:pPr>
      <w:spacing w:after="0" w:line="240" w:lineRule="auto"/>
    </w:pPr>
    <w:rPr>
      <w:rFonts w:ascii="Arial" w:eastAsia="Times New Roman" w:hAnsi="Arial" w:cs="Arial"/>
      <w:sz w:val="20"/>
      <w:szCs w:val="24"/>
    </w:rPr>
  </w:style>
  <w:style w:type="paragraph" w:styleId="Titolo1">
    <w:name w:val="heading 1"/>
    <w:basedOn w:val="Normale"/>
    <w:next w:val="Normale"/>
    <w:link w:val="Titolo1Carattere"/>
    <w:uiPriority w:val="9"/>
    <w:qFormat/>
    <w:rsid w:val="0068012F"/>
    <w:pPr>
      <w:numPr>
        <w:numId w:val="1"/>
      </w:numPr>
      <w:spacing w:before="240" w:after="240"/>
      <w:jc w:val="both"/>
      <w:outlineLvl w:val="0"/>
    </w:pPr>
    <w:rPr>
      <w:b/>
      <w:caps/>
      <w:sz w:val="24"/>
    </w:rPr>
  </w:style>
  <w:style w:type="paragraph" w:styleId="Titolo2">
    <w:name w:val="heading 2"/>
    <w:basedOn w:val="Titolo1"/>
    <w:next w:val="Normale"/>
    <w:link w:val="Titolo2Carattere"/>
    <w:uiPriority w:val="9"/>
    <w:unhideWhenUsed/>
    <w:qFormat/>
    <w:rsid w:val="0068012F"/>
    <w:pPr>
      <w:numPr>
        <w:ilvl w:val="1"/>
        <w:numId w:val="7"/>
      </w:numPr>
      <w:ind w:left="0" w:hanging="567"/>
      <w:outlineLvl w:val="1"/>
    </w:pPr>
    <w:rPr>
      <w:caps w:val="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Redcentaur1">
    <w:name w:val="Redcentaur1"/>
    <w:basedOn w:val="Tabellanormale"/>
    <w:uiPriority w:val="99"/>
    <w:rsid w:val="00E95598"/>
    <w:pPr>
      <w:spacing w:after="0" w:line="240" w:lineRule="auto"/>
    </w:pPr>
    <w:tblPr/>
  </w:style>
  <w:style w:type="character" w:styleId="Rimandocommento">
    <w:name w:val="annotation reference"/>
    <w:basedOn w:val="Carpredefinitoparagrafo"/>
    <w:uiPriority w:val="99"/>
    <w:semiHidden/>
    <w:unhideWhenUsed/>
    <w:rsid w:val="00C2679F"/>
    <w:rPr>
      <w:sz w:val="16"/>
      <w:szCs w:val="16"/>
    </w:rPr>
  </w:style>
  <w:style w:type="paragraph" w:styleId="Testocommento">
    <w:name w:val="annotation text"/>
    <w:basedOn w:val="Normale"/>
    <w:link w:val="TestocommentoCarattere"/>
    <w:uiPriority w:val="99"/>
    <w:semiHidden/>
    <w:unhideWhenUsed/>
    <w:rsid w:val="00C2679F"/>
    <w:rPr>
      <w:szCs w:val="20"/>
    </w:rPr>
  </w:style>
  <w:style w:type="character" w:customStyle="1" w:styleId="TestocommentoCarattere">
    <w:name w:val="Testo commento Carattere"/>
    <w:basedOn w:val="Carpredefinitoparagrafo"/>
    <w:link w:val="Testocommento"/>
    <w:uiPriority w:val="99"/>
    <w:semiHidden/>
    <w:rsid w:val="00C2679F"/>
    <w:rPr>
      <w:rFonts w:ascii="Arial" w:eastAsia="Times New Roman" w:hAnsi="Arial" w:cs="Arial"/>
      <w:sz w:val="20"/>
      <w:szCs w:val="20"/>
    </w:rPr>
  </w:style>
  <w:style w:type="paragraph" w:styleId="Testofumetto">
    <w:name w:val="Balloon Text"/>
    <w:basedOn w:val="Normale"/>
    <w:link w:val="TestofumettoCarattere"/>
    <w:uiPriority w:val="99"/>
    <w:semiHidden/>
    <w:unhideWhenUsed/>
    <w:rsid w:val="00C2679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2679F"/>
    <w:rPr>
      <w:rFonts w:ascii="Tahoma" w:eastAsia="Times New Roman" w:hAnsi="Tahoma" w:cs="Tahoma"/>
      <w:sz w:val="16"/>
      <w:szCs w:val="16"/>
    </w:rPr>
  </w:style>
  <w:style w:type="paragraph" w:styleId="Titolo">
    <w:name w:val="Title"/>
    <w:basedOn w:val="Normale"/>
    <w:next w:val="Normale"/>
    <w:link w:val="TitoloCarattere"/>
    <w:uiPriority w:val="10"/>
    <w:qFormat/>
    <w:rsid w:val="00C2679F"/>
    <w:pPr>
      <w:spacing w:after="240"/>
      <w:jc w:val="center"/>
    </w:pPr>
    <w:rPr>
      <w:b/>
      <w:caps/>
      <w:sz w:val="24"/>
      <w:szCs w:val="22"/>
    </w:rPr>
  </w:style>
  <w:style w:type="character" w:customStyle="1" w:styleId="TitoloCarattere">
    <w:name w:val="Titolo Carattere"/>
    <w:basedOn w:val="Carpredefinitoparagrafo"/>
    <w:link w:val="Titolo"/>
    <w:uiPriority w:val="10"/>
    <w:rsid w:val="00C2679F"/>
    <w:rPr>
      <w:rFonts w:ascii="Arial" w:eastAsia="Times New Roman" w:hAnsi="Arial" w:cs="Arial"/>
      <w:b/>
      <w:caps/>
      <w:sz w:val="24"/>
    </w:rPr>
  </w:style>
  <w:style w:type="paragraph" w:customStyle="1" w:styleId="AuthorsName">
    <w:name w:val="Author's Name"/>
    <w:basedOn w:val="Normale"/>
    <w:link w:val="AuthorsNameChar"/>
    <w:qFormat/>
    <w:rsid w:val="00C2679F"/>
    <w:pPr>
      <w:jc w:val="center"/>
    </w:pPr>
    <w:rPr>
      <w:rFonts w:ascii="Calibri" w:hAnsi="Calibri"/>
      <w:sz w:val="22"/>
      <w:szCs w:val="22"/>
    </w:rPr>
  </w:style>
  <w:style w:type="character" w:customStyle="1" w:styleId="Titolo1Carattere">
    <w:name w:val="Titolo 1 Carattere"/>
    <w:basedOn w:val="Carpredefinitoparagrafo"/>
    <w:link w:val="Titolo1"/>
    <w:uiPriority w:val="9"/>
    <w:rsid w:val="0068012F"/>
    <w:rPr>
      <w:rFonts w:ascii="Arial" w:eastAsia="Times New Roman" w:hAnsi="Arial" w:cs="Arial"/>
      <w:b/>
      <w:caps/>
      <w:sz w:val="24"/>
      <w:szCs w:val="24"/>
    </w:rPr>
  </w:style>
  <w:style w:type="character" w:customStyle="1" w:styleId="AuthorsNameChar">
    <w:name w:val="Author's Name Char"/>
    <w:basedOn w:val="Carpredefinitoparagrafo"/>
    <w:link w:val="AuthorsName"/>
    <w:rsid w:val="00C2679F"/>
    <w:rPr>
      <w:rFonts w:ascii="Calibri" w:eastAsia="Times New Roman" w:hAnsi="Calibri" w:cs="Arial"/>
    </w:rPr>
  </w:style>
  <w:style w:type="paragraph" w:customStyle="1" w:styleId="Text">
    <w:name w:val="Text"/>
    <w:basedOn w:val="Normale"/>
    <w:link w:val="TextChar"/>
    <w:qFormat/>
    <w:rsid w:val="0068012F"/>
    <w:pPr>
      <w:spacing w:after="240" w:line="300" w:lineRule="auto"/>
      <w:jc w:val="both"/>
    </w:pPr>
    <w:rPr>
      <w:sz w:val="24"/>
    </w:rPr>
  </w:style>
  <w:style w:type="paragraph" w:customStyle="1" w:styleId="Subheading">
    <w:name w:val="Subheading"/>
    <w:basedOn w:val="Normale"/>
    <w:link w:val="SubheadingChar"/>
    <w:qFormat/>
    <w:rsid w:val="0068012F"/>
    <w:pPr>
      <w:keepNext/>
      <w:spacing w:before="480" w:after="240"/>
      <w:jc w:val="both"/>
    </w:pPr>
    <w:rPr>
      <w:b/>
      <w:caps/>
      <w:sz w:val="24"/>
    </w:rPr>
  </w:style>
  <w:style w:type="character" w:customStyle="1" w:styleId="TextChar">
    <w:name w:val="Text Char"/>
    <w:basedOn w:val="Carpredefinitoparagrafo"/>
    <w:link w:val="Text"/>
    <w:rsid w:val="0068012F"/>
    <w:rPr>
      <w:rFonts w:ascii="Arial" w:eastAsia="Times New Roman" w:hAnsi="Arial" w:cs="Arial"/>
      <w:sz w:val="24"/>
      <w:szCs w:val="24"/>
    </w:rPr>
  </w:style>
  <w:style w:type="paragraph" w:customStyle="1" w:styleId="Numbernotes">
    <w:name w:val="Number notes"/>
    <w:basedOn w:val="Normale"/>
    <w:link w:val="NumbernotesChar"/>
    <w:qFormat/>
    <w:rsid w:val="00B40089"/>
    <w:rPr>
      <w:sz w:val="18"/>
      <w:szCs w:val="18"/>
      <w:vertAlign w:val="superscript"/>
    </w:rPr>
  </w:style>
  <w:style w:type="character" w:customStyle="1" w:styleId="SubheadingChar">
    <w:name w:val="Subheading Char"/>
    <w:basedOn w:val="Carpredefinitoparagrafo"/>
    <w:link w:val="Subheading"/>
    <w:rsid w:val="0068012F"/>
    <w:rPr>
      <w:rFonts w:ascii="Arial" w:eastAsia="Times New Roman" w:hAnsi="Arial" w:cs="Arial"/>
      <w:b/>
      <w:caps/>
      <w:sz w:val="24"/>
      <w:szCs w:val="24"/>
    </w:rPr>
  </w:style>
  <w:style w:type="paragraph" w:customStyle="1" w:styleId="Bibliographyreferences">
    <w:name w:val="Bibliography references"/>
    <w:basedOn w:val="Normale"/>
    <w:link w:val="BibliographyreferencesChar"/>
    <w:qFormat/>
    <w:rsid w:val="00B40089"/>
    <w:pPr>
      <w:spacing w:after="240"/>
      <w:jc w:val="both"/>
    </w:pPr>
    <w:rPr>
      <w:sz w:val="24"/>
    </w:rPr>
  </w:style>
  <w:style w:type="character" w:customStyle="1" w:styleId="NumbernotesChar">
    <w:name w:val="Number notes Char"/>
    <w:basedOn w:val="Carpredefinitoparagrafo"/>
    <w:link w:val="Numbernotes"/>
    <w:rsid w:val="00B40089"/>
    <w:rPr>
      <w:rFonts w:ascii="Arial" w:eastAsia="Times New Roman" w:hAnsi="Arial" w:cs="Arial"/>
      <w:sz w:val="18"/>
      <w:szCs w:val="18"/>
      <w:vertAlign w:val="superscript"/>
    </w:rPr>
  </w:style>
  <w:style w:type="character" w:customStyle="1" w:styleId="Titolo2Carattere">
    <w:name w:val="Titolo 2 Carattere"/>
    <w:basedOn w:val="Carpredefinitoparagrafo"/>
    <w:link w:val="Titolo2"/>
    <w:uiPriority w:val="9"/>
    <w:rsid w:val="0068012F"/>
    <w:rPr>
      <w:rFonts w:ascii="Arial" w:eastAsia="Times New Roman" w:hAnsi="Arial" w:cs="Arial"/>
      <w:b/>
      <w:sz w:val="24"/>
      <w:szCs w:val="24"/>
    </w:rPr>
  </w:style>
  <w:style w:type="character" w:customStyle="1" w:styleId="BibliographyreferencesChar">
    <w:name w:val="Bibliography references Char"/>
    <w:basedOn w:val="Carpredefinitoparagrafo"/>
    <w:link w:val="Bibliographyreferences"/>
    <w:rsid w:val="00B40089"/>
    <w:rPr>
      <w:rFonts w:ascii="Arial" w:eastAsia="Times New Roman" w:hAnsi="Arial" w:cs="Arial"/>
      <w:sz w:val="24"/>
      <w:szCs w:val="24"/>
    </w:rPr>
  </w:style>
  <w:style w:type="paragraph" w:styleId="Intestazione">
    <w:name w:val="header"/>
    <w:basedOn w:val="Normale"/>
    <w:link w:val="IntestazioneCarattere"/>
    <w:uiPriority w:val="99"/>
    <w:unhideWhenUsed/>
    <w:rsid w:val="005A55EB"/>
    <w:pPr>
      <w:tabs>
        <w:tab w:val="center" w:pos="4513"/>
        <w:tab w:val="right" w:pos="9026"/>
      </w:tabs>
    </w:pPr>
  </w:style>
  <w:style w:type="character" w:customStyle="1" w:styleId="IntestazioneCarattere">
    <w:name w:val="Intestazione Carattere"/>
    <w:basedOn w:val="Carpredefinitoparagrafo"/>
    <w:link w:val="Intestazione"/>
    <w:uiPriority w:val="99"/>
    <w:rsid w:val="005A55EB"/>
    <w:rPr>
      <w:rFonts w:ascii="Arial" w:eastAsia="Times New Roman" w:hAnsi="Arial" w:cs="Arial"/>
      <w:sz w:val="20"/>
      <w:szCs w:val="24"/>
    </w:rPr>
  </w:style>
  <w:style w:type="paragraph" w:styleId="Pidipagina">
    <w:name w:val="footer"/>
    <w:basedOn w:val="Normale"/>
    <w:link w:val="PidipaginaCarattere"/>
    <w:uiPriority w:val="99"/>
    <w:unhideWhenUsed/>
    <w:rsid w:val="005A55EB"/>
    <w:pPr>
      <w:tabs>
        <w:tab w:val="center" w:pos="4513"/>
        <w:tab w:val="right" w:pos="9026"/>
      </w:tabs>
    </w:pPr>
  </w:style>
  <w:style w:type="character" w:customStyle="1" w:styleId="PidipaginaCarattere">
    <w:name w:val="Piè di pagina Carattere"/>
    <w:basedOn w:val="Carpredefinitoparagrafo"/>
    <w:link w:val="Pidipagina"/>
    <w:uiPriority w:val="99"/>
    <w:rsid w:val="005A55EB"/>
    <w:rPr>
      <w:rFonts w:ascii="Arial" w:eastAsia="Times New Roman" w:hAnsi="Arial" w:cs="Arial"/>
      <w:sz w:val="20"/>
      <w:szCs w:val="24"/>
    </w:rPr>
  </w:style>
  <w:style w:type="paragraph" w:customStyle="1" w:styleId="PageNumber1">
    <w:name w:val="Page Number1"/>
    <w:basedOn w:val="Pidipagina"/>
    <w:link w:val="PagenumberChar"/>
    <w:qFormat/>
    <w:rsid w:val="005A55EB"/>
    <w:pPr>
      <w:jc w:val="center"/>
    </w:pPr>
    <w:rPr>
      <w:sz w:val="24"/>
    </w:rPr>
  </w:style>
  <w:style w:type="paragraph" w:customStyle="1" w:styleId="copyright">
    <w:name w:val="copyright"/>
    <w:basedOn w:val="PageNumber1"/>
    <w:link w:val="copyrightChar"/>
    <w:qFormat/>
    <w:rsid w:val="005A55EB"/>
    <w:pPr>
      <w:jc w:val="left"/>
    </w:pPr>
    <w:rPr>
      <w:sz w:val="20"/>
      <w:szCs w:val="20"/>
    </w:rPr>
  </w:style>
  <w:style w:type="character" w:customStyle="1" w:styleId="PagenumberChar">
    <w:name w:val="Page number Char"/>
    <w:basedOn w:val="PidipaginaCarattere"/>
    <w:link w:val="PageNumber1"/>
    <w:rsid w:val="005A55EB"/>
    <w:rPr>
      <w:rFonts w:ascii="Arial" w:eastAsia="Times New Roman" w:hAnsi="Arial" w:cs="Arial"/>
      <w:sz w:val="24"/>
      <w:szCs w:val="24"/>
    </w:rPr>
  </w:style>
  <w:style w:type="character" w:styleId="Enfasicorsivo">
    <w:name w:val="Emphasis"/>
    <w:basedOn w:val="Carpredefinitoparagrafo"/>
    <w:uiPriority w:val="20"/>
    <w:qFormat/>
    <w:rsid w:val="005A55EB"/>
    <w:rPr>
      <w:i/>
      <w:iCs/>
    </w:rPr>
  </w:style>
  <w:style w:type="character" w:customStyle="1" w:styleId="copyrightChar">
    <w:name w:val="copyright Char"/>
    <w:basedOn w:val="PagenumberChar"/>
    <w:link w:val="copyright"/>
    <w:rsid w:val="005A55EB"/>
    <w:rPr>
      <w:rFonts w:ascii="Arial" w:eastAsia="Times New Roman" w:hAnsi="Arial" w:cs="Arial"/>
      <w:sz w:val="20"/>
      <w:szCs w:val="20"/>
    </w:rPr>
  </w:style>
  <w:style w:type="character" w:styleId="Enfasigrassetto">
    <w:name w:val="Strong"/>
    <w:basedOn w:val="Carpredefinitoparagrafo"/>
    <w:uiPriority w:val="22"/>
    <w:qFormat/>
    <w:rsid w:val="005A55EB"/>
    <w:rPr>
      <w:b/>
      <w:bCs/>
    </w:rPr>
  </w:style>
  <w:style w:type="paragraph" w:styleId="Paragrafoelenco">
    <w:name w:val="List Paragraph"/>
    <w:basedOn w:val="Normale"/>
    <w:uiPriority w:val="34"/>
    <w:qFormat/>
    <w:rsid w:val="005C3C85"/>
    <w:pPr>
      <w:numPr>
        <w:numId w:val="9"/>
      </w:numPr>
      <w:spacing w:after="120" w:line="288" w:lineRule="auto"/>
      <w:ind w:left="0" w:hanging="284"/>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F97435-78A0-49E5-BE11-60CA29B2E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5</Pages>
  <Words>664</Words>
  <Characters>3787</Characters>
  <Application>Microsoft Office Word</Application>
  <DocSecurity>0</DocSecurity>
  <Lines>31</Lines>
  <Paragraphs>8</Paragraphs>
  <ScaleCrop>false</ScaleCrop>
  <HeadingPairs>
    <vt:vector size="6" baseType="variant">
      <vt:variant>
        <vt:lpstr>Titolo</vt:lpstr>
      </vt:variant>
      <vt:variant>
        <vt:i4>1</vt:i4>
      </vt:variant>
      <vt:variant>
        <vt:lpstr>Title</vt:lpstr>
      </vt:variant>
      <vt:variant>
        <vt:i4>1</vt:i4>
      </vt:variant>
      <vt:variant>
        <vt:lpstr>Headings</vt:lpstr>
      </vt:variant>
      <vt:variant>
        <vt:i4>3</vt:i4>
      </vt:variant>
    </vt:vector>
  </HeadingPairs>
  <TitlesOfParts>
    <vt:vector size="5" baseType="lpstr">
      <vt:lpstr/>
      <vt:lpstr/>
      <vt:lpstr>MAIN HEADING, UPPERCASE, BOLD, ON THE THIRD LINE BELOW, ON THE LEFT MARGIN</vt:lpstr>
      <vt:lpstr>    Sub-heading, Mixed Upper and Lowercase, bold, on the left margin </vt:lpstr>
      <vt:lpstr>Notes</vt:lpstr>
    </vt:vector>
  </TitlesOfParts>
  <Company> </Company>
  <LinksUpToDate>false</LinksUpToDate>
  <CharactersWithSpaces>4443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Glenn Reffin</dc:creator>
  <cp:lastModifiedBy>Giovanni Zenezini</cp:lastModifiedBy>
  <cp:revision>12</cp:revision>
  <dcterms:created xsi:type="dcterms:W3CDTF">2015-05-28T10:12:00Z</dcterms:created>
  <dcterms:modified xsi:type="dcterms:W3CDTF">2015-05-28T15:05:00Z</dcterms:modified>
</cp:coreProperties>
</file>