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after="0" w:line="240" w:lineRule="auto"/>
        <w:rPr>
          <w:rFonts w:ascii="Times New Roman" w:hAnsi="Times New Roman"/>
          <w:sz w:val="24"/>
          <w:szCs w:val="24"/>
        </w:rPr>
      </w:pPr>
      <w:r>
        <w:rPr>
          <w:rFonts w:ascii="Times New Roman" w:hAnsi="Times New Roman"/>
          <w:sz w:val="24"/>
          <w:szCs w:val="24"/>
        </w:rPr>
        <w:t>Guido Montanari</w:t>
      </w:r>
    </w:p>
    <w:p>
      <w:pPr>
        <w:spacing w:after="0" w:line="240" w:lineRule="auto"/>
        <w:rPr>
          <w:rFonts w:ascii="Times New Roman" w:hAnsi="Times New Roman"/>
          <w:b/>
          <w:i/>
          <w:sz w:val="24"/>
          <w:szCs w:val="24"/>
        </w:rPr>
      </w:pPr>
      <w:r>
        <w:rPr>
          <w:rFonts w:ascii="Times New Roman" w:hAnsi="Times New Roman"/>
          <w:b/>
          <w:i/>
          <w:sz w:val="24"/>
          <w:szCs w:val="24"/>
        </w:rPr>
        <w:t>Riusare le aree industriali. il caso di Torino tra memoria e speculazione</w:t>
      </w:r>
    </w:p>
    <w:p>
      <w:pPr>
        <w:spacing w:after="0" w:line="240" w:lineRule="auto"/>
        <w:rPr>
          <w:rFonts w:ascii="Times New Roman" w:hAnsi="Times New Roman"/>
          <w:b/>
          <w:sz w:val="24"/>
          <w:szCs w:val="24"/>
        </w:rPr>
      </w:pPr>
      <w:r>
        <w:rPr>
          <w:rFonts w:ascii="Times New Roman" w:hAnsi="Times New Roman"/>
          <w:b/>
          <w:sz w:val="24"/>
          <w:szCs w:val="24"/>
        </w:rPr>
        <w:t xml:space="preserve"> </w:t>
      </w:r>
    </w:p>
    <w:p>
      <w:pPr>
        <w:spacing w:after="0" w:line="240" w:lineRule="auto"/>
        <w:rPr>
          <w:rFonts w:ascii="Times New Roman" w:hAnsi="Times New Roman"/>
          <w:b/>
          <w:sz w:val="24"/>
          <w:szCs w:val="24"/>
        </w:rPr>
      </w:pPr>
      <w:r>
        <w:rPr>
          <w:rFonts w:ascii="Times New Roman" w:hAnsi="Times New Roman"/>
          <w:b/>
          <w:sz w:val="24"/>
          <w:szCs w:val="24"/>
        </w:rPr>
        <w:t>Dalla città fabbrica alla città degli eventi</w:t>
      </w:r>
    </w:p>
    <w:p>
      <w:pPr>
        <w:spacing w:after="0" w:line="240" w:lineRule="auto"/>
        <w:rPr>
          <w:rFonts w:ascii="Times New Roman" w:hAnsi="Times New Roman"/>
          <w:sz w:val="24"/>
          <w:szCs w:val="24"/>
        </w:rPr>
      </w:pPr>
      <w:r>
        <w:rPr>
          <w:rFonts w:ascii="Times New Roman" w:hAnsi="Times New Roman"/>
          <w:sz w:val="24"/>
          <w:szCs w:val="24"/>
        </w:rPr>
        <w:t>Torino città fabbrica può essere ricordata</w:t>
      </w:r>
      <w:bookmarkStart w:id="0" w:name="_GoBack"/>
      <w:bookmarkEnd w:id="0"/>
      <w:r>
        <w:rPr>
          <w:rFonts w:ascii="Times New Roman" w:hAnsi="Times New Roman"/>
          <w:sz w:val="24"/>
          <w:szCs w:val="24"/>
        </w:rPr>
        <w:t xml:space="preserve"> pensando alla vita della città negli anni Settanta del secolo scorso quando intorno alle sei del mattino, alle due del pomeriggio e alle dieci di sera si registrava l’affollamento di mezzi e di persone in corrispondenza dei grandi stabilimenti</w:t>
      </w:r>
      <w:r>
        <w:rPr>
          <w:rStyle w:val="Rimandonotaapidipagina"/>
          <w:rFonts w:ascii="Times New Roman" w:hAnsi="Times New Roman"/>
          <w:sz w:val="24"/>
          <w:szCs w:val="24"/>
        </w:rPr>
        <w:footnoteReference w:id="1"/>
      </w:r>
      <w:r>
        <w:rPr>
          <w:rFonts w:ascii="Times New Roman" w:hAnsi="Times New Roman"/>
          <w:sz w:val="24"/>
          <w:szCs w:val="24"/>
        </w:rPr>
        <w:t>.</w:t>
      </w:r>
      <w:r>
        <w:rPr>
          <w:rFonts w:ascii="Times New Roman" w:hAnsi="Times New Roman"/>
          <w:sz w:val="24"/>
          <w:szCs w:val="24"/>
        </w:rPr>
        <w:t xml:space="preserve"> Erano gli ingressi e le uscite dalla fabbriche dei tre turni nei quali erano inquadrati  i circa centocinquantamila operai dell’industria automobilistica che copriva l’80% delle attività industriali, coinvolgendo più di due terzi della popolazione attiva</w:t>
      </w:r>
      <w:r>
        <w:rPr>
          <w:rStyle w:val="Rimandonotaapidipagina"/>
          <w:rFonts w:ascii="Times New Roman" w:hAnsi="Times New Roman"/>
          <w:sz w:val="24"/>
          <w:szCs w:val="24"/>
        </w:rPr>
        <w:footnoteReference w:id="2"/>
      </w:r>
      <w:r>
        <w:rPr>
          <w:rFonts w:ascii="Times New Roman" w:hAnsi="Times New Roman"/>
          <w:sz w:val="24"/>
          <w:szCs w:val="24"/>
        </w:rPr>
        <w:t>. Un'altra testimonianza del ruolo della fabbrica al tempo emerge dal processo penale avviato nel 1971 contro la direzione della Fiat, accusata di aver schedato i  dipendenti in base alle loro scelte politiche, morali, sindacali</w:t>
      </w:r>
      <w:r>
        <w:rPr>
          <w:rStyle w:val="Rimandonotaapidipagina"/>
          <w:rFonts w:ascii="Times New Roman" w:hAnsi="Times New Roman"/>
          <w:sz w:val="24"/>
          <w:szCs w:val="24"/>
        </w:rPr>
        <w:footnoteReference w:id="3"/>
      </w:r>
      <w:r>
        <w:rPr>
          <w:rFonts w:ascii="Times New Roman" w:hAnsi="Times New Roman"/>
          <w:sz w:val="24"/>
          <w:szCs w:val="24"/>
        </w:rPr>
        <w:t>. Durante il dibattimento si scopre l’esistenza di più di 350.000 schede informative raccolte dalla direzione sui propri lavoratori: un numero corrispondente a poco meno di un terzo dell’intera popolazione della città! L’usurata definizione di “città fabbrica” o di “</w:t>
      </w:r>
      <w:proofErr w:type="spellStart"/>
      <w:r>
        <w:rPr>
          <w:rFonts w:ascii="Times New Roman" w:hAnsi="Times New Roman"/>
          <w:i/>
          <w:sz w:val="24"/>
          <w:szCs w:val="24"/>
        </w:rPr>
        <w:t>one</w:t>
      </w:r>
      <w:proofErr w:type="spellEnd"/>
      <w:r>
        <w:rPr>
          <w:rFonts w:ascii="Times New Roman" w:hAnsi="Times New Roman"/>
          <w:i/>
          <w:sz w:val="24"/>
          <w:szCs w:val="24"/>
        </w:rPr>
        <w:t xml:space="preserve"> company </w:t>
      </w:r>
      <w:proofErr w:type="spellStart"/>
      <w:r>
        <w:rPr>
          <w:rFonts w:ascii="Times New Roman" w:hAnsi="Times New Roman"/>
          <w:i/>
          <w:sz w:val="24"/>
          <w:szCs w:val="24"/>
        </w:rPr>
        <w:t>town</w:t>
      </w:r>
      <w:proofErr w:type="spellEnd"/>
      <w:r>
        <w:rPr>
          <w:rFonts w:ascii="Times New Roman" w:hAnsi="Times New Roman"/>
          <w:sz w:val="24"/>
          <w:szCs w:val="24"/>
        </w:rPr>
        <w:t>” non ha quindi nulla di astratto per il caso di Torino e trovava un riscontro fisico nella distribuzione e nella quantità di superficie occupata dagli stabilimenti industriali, per quasi la metà del suo territorio</w:t>
      </w:r>
      <w:r>
        <w:rPr>
          <w:rStyle w:val="Rimandonotaapidipagina"/>
          <w:rFonts w:ascii="Times New Roman" w:hAnsi="Times New Roman"/>
          <w:sz w:val="24"/>
          <w:szCs w:val="24"/>
        </w:rPr>
        <w:footnoteReference w:id="4"/>
      </w:r>
      <w:r>
        <w:rPr>
          <w:rFonts w:ascii="Times New Roman" w:hAnsi="Times New Roman"/>
          <w:sz w:val="24"/>
          <w:szCs w:val="24"/>
        </w:rPr>
        <w:t xml:space="preserve">. Torino appariva ai suoi abitanti, e nell’immaginario collettivo nazionale, come un città grigia, inquinata, deturpata dalle fabbriche e dai quartieri di edilizia popolare segregati, con un centro storico fatiscente e affollato di immigrati. </w:t>
      </w:r>
    </w:p>
    <w:p>
      <w:pPr>
        <w:spacing w:after="0" w:line="240" w:lineRule="auto"/>
        <w:rPr>
          <w:rFonts w:ascii="Times New Roman" w:hAnsi="Times New Roman"/>
          <w:sz w:val="24"/>
          <w:szCs w:val="24"/>
        </w:rPr>
      </w:pPr>
      <w:r>
        <w:rPr>
          <w:rFonts w:ascii="Times New Roman" w:hAnsi="Times New Roman"/>
          <w:sz w:val="24"/>
          <w:szCs w:val="24"/>
        </w:rPr>
        <w:t>Una prima incrinatura di questa immagine si verifica con le celebrazioni del Centenario dell’Unità d’Italia. Le architetture di “Italia ‘61”, realizzate su un’area periferica dopo aver sgomberato alcune migliaia di abitanti insediati in rifugi di fortuna, apparivano come costruzioni avveniristiche, caratterizzate dalla volte strabilianti di Palazzo vela, dalle soluzioni tecnologiche del Palazzo del lavoro e dalla fantascientifica “monorotaia” che, con la funicolare, permetteva ai visitatori di osservare i nuovi padiglioni espositivi da una prospettiva aerea e in movimento. L’Esposizione, visitata da 6 milioni di spettatori, celebrata in riviste e cataloghi, reclamizzata in manifesti, trasmissioni radiofoniche e cinegiornali della nascente televisione, iniziava ad affermare l’immagine di Torino come città dello sviluppo economico e dell’efficienza tecnologica, enfatizzata anche dal cinema</w:t>
      </w:r>
      <w:r>
        <w:rPr>
          <w:rStyle w:val="Rimandonotaapidipagina"/>
          <w:rFonts w:ascii="Times New Roman" w:hAnsi="Times New Roman"/>
          <w:sz w:val="24"/>
          <w:szCs w:val="24"/>
        </w:rPr>
        <w:footnoteReference w:id="5"/>
      </w:r>
      <w:r>
        <w:rPr>
          <w:rFonts w:ascii="Times New Roman" w:hAnsi="Times New Roman"/>
          <w:sz w:val="24"/>
          <w:szCs w:val="24"/>
        </w:rPr>
        <w:t xml:space="preserve">.  </w:t>
      </w:r>
    </w:p>
    <w:p>
      <w:pPr>
        <w:spacing w:after="0" w:line="240" w:lineRule="auto"/>
        <w:rPr>
          <w:rFonts w:ascii="Times New Roman" w:hAnsi="Times New Roman"/>
          <w:sz w:val="24"/>
          <w:szCs w:val="24"/>
        </w:rPr>
      </w:pPr>
      <w:r>
        <w:rPr>
          <w:rFonts w:ascii="Times New Roman" w:hAnsi="Times New Roman"/>
          <w:sz w:val="24"/>
          <w:szCs w:val="24"/>
        </w:rPr>
        <w:t>Negli anni Settanta le lotte operaie per migliori condizioni di vita e di lavoro, hanno un fulcro importante a Torino e si riflettono nelle giunte di sinistra (1975-1985), guidate da Diego Novelli. E’ il periodo del tentativo di sostituire il Piano regolatore vigente (Annibale Rigotti, 1959) con un nuovo strumento urbanistico incentrato sul riequilibrio territoriale a scala regionale, sul raggiungimento degli standard urbanistici, sul rispetto della struttura storica urbana e sul controllo della rendita fondiaria</w:t>
      </w:r>
      <w:r>
        <w:rPr>
          <w:rStyle w:val="Rimandonotaapidipagina"/>
          <w:rFonts w:ascii="Times New Roman" w:hAnsi="Times New Roman"/>
          <w:sz w:val="24"/>
          <w:szCs w:val="24"/>
        </w:rPr>
        <w:footnoteReference w:id="6"/>
      </w:r>
      <w:r>
        <w:rPr>
          <w:rFonts w:ascii="Times New Roman" w:hAnsi="Times New Roman"/>
          <w:sz w:val="24"/>
          <w:szCs w:val="24"/>
        </w:rPr>
        <w:t>. L’esaurimento di questa fase si annuncia con gli “anni di piombo” e con la sconfitta sindacale dello sciopero dei 35 giorni alla Fiat (1980), che segnano l’inizio di una metamorfosi economica e sociale epocale: frammentazione dell’apparato produttivo, smantellamento delle grandi concentrazioni operaie, chiusura di fabbriche, riorganizzazione e delocalizzazione della produzione nella cintura urbana e all’estero. La fine dell’attività produttiva del Lingotto (1982) e il famoso concorso a inviti della Fiat per il riutilizzo dei suoi 181.000 mq</w:t>
      </w:r>
      <w:r>
        <w:rPr>
          <w:rStyle w:val="Rimandonotaapidipagina"/>
          <w:rFonts w:ascii="Times New Roman" w:hAnsi="Times New Roman"/>
          <w:sz w:val="24"/>
          <w:szCs w:val="24"/>
        </w:rPr>
        <w:footnoteReference w:id="7"/>
      </w:r>
      <w:r>
        <w:rPr>
          <w:rFonts w:ascii="Times New Roman" w:hAnsi="Times New Roman"/>
          <w:sz w:val="24"/>
          <w:szCs w:val="24"/>
        </w:rPr>
        <w:t xml:space="preserve">, sanciscono il tramonto della “città-fabbrica”, ma anche l’esaurimento dell’urbanistica dei piani e dei </w:t>
      </w:r>
      <w:r>
        <w:rPr>
          <w:rFonts w:ascii="Times New Roman" w:hAnsi="Times New Roman"/>
          <w:sz w:val="24"/>
          <w:szCs w:val="24"/>
        </w:rPr>
        <w:lastRenderedPageBreak/>
        <w:t>progetti pubblici e l’inizio dell’urbanistica “contrattata”</w:t>
      </w:r>
      <w:r>
        <w:rPr>
          <w:rStyle w:val="Rimandonotaapidipagina"/>
          <w:rFonts w:ascii="Times New Roman" w:hAnsi="Times New Roman"/>
          <w:sz w:val="24"/>
          <w:szCs w:val="24"/>
        </w:rPr>
        <w:t xml:space="preserve"> </w:t>
      </w:r>
      <w:r>
        <w:rPr>
          <w:rStyle w:val="Rimandonotaapidipagina"/>
          <w:rFonts w:ascii="Times New Roman" w:hAnsi="Times New Roman"/>
          <w:sz w:val="24"/>
          <w:szCs w:val="24"/>
        </w:rPr>
        <w:footnoteReference w:id="8"/>
      </w:r>
      <w:r>
        <w:rPr>
          <w:rFonts w:ascii="Times New Roman" w:hAnsi="Times New Roman"/>
          <w:sz w:val="24"/>
          <w:szCs w:val="24"/>
        </w:rPr>
        <w:t xml:space="preserve">, direttamente guidata dai capitali privati, nella completa indifferenza del controllo democratico della trasformazione urbana. </w:t>
      </w:r>
    </w:p>
    <w:p>
      <w:pPr>
        <w:spacing w:after="0" w:line="240" w:lineRule="auto"/>
        <w:rPr>
          <w:rFonts w:ascii="Times New Roman" w:hAnsi="Times New Roman"/>
          <w:sz w:val="24"/>
          <w:szCs w:val="24"/>
        </w:rPr>
      </w:pPr>
    </w:p>
    <w:p>
      <w:pPr>
        <w:spacing w:after="0" w:line="240" w:lineRule="auto"/>
        <w:rPr>
          <w:rFonts w:ascii="Times New Roman" w:hAnsi="Times New Roman"/>
          <w:b/>
          <w:sz w:val="24"/>
          <w:szCs w:val="24"/>
        </w:rPr>
      </w:pPr>
    </w:p>
    <w:p>
      <w:pPr>
        <w:spacing w:after="0" w:line="240" w:lineRule="auto"/>
        <w:rPr>
          <w:rFonts w:ascii="Times New Roman" w:hAnsi="Times New Roman"/>
          <w:b/>
          <w:sz w:val="24"/>
          <w:szCs w:val="24"/>
        </w:rPr>
      </w:pPr>
      <w:r>
        <w:rPr>
          <w:rFonts w:ascii="Times New Roman" w:hAnsi="Times New Roman"/>
          <w:b/>
          <w:sz w:val="24"/>
          <w:szCs w:val="24"/>
        </w:rPr>
        <w:t>Il riuso dei “vuoti industriali”</w:t>
      </w:r>
    </w:p>
    <w:p>
      <w:pPr>
        <w:spacing w:after="0" w:line="240" w:lineRule="auto"/>
        <w:rPr>
          <w:rFonts w:ascii="Times New Roman" w:hAnsi="Times New Roman"/>
          <w:sz w:val="24"/>
          <w:szCs w:val="24"/>
        </w:rPr>
      </w:pPr>
      <w:r>
        <w:rPr>
          <w:rFonts w:ascii="Times New Roman" w:hAnsi="Times New Roman"/>
          <w:sz w:val="24"/>
          <w:szCs w:val="24"/>
        </w:rPr>
        <w:t>Con la chiusura di decine di fabbriche, l’attuazione da parte della Fiat di un massiccio piano di licenziamenti, di prepensionamenti e di cassa integrazione, Torino si presenta a fine anni Ottanta come una città in grave crisi, in bilico tra il rischio di una esplosione sociale dai risvolti imprevedibili e le opportunità di una nuova riscossa, a partire dal rinnovamento urbano di circa 10 milioni di metri quadri di aree industriali dismesse.</w:t>
      </w:r>
    </w:p>
    <w:p>
      <w:pPr>
        <w:spacing w:after="0" w:line="240" w:lineRule="auto"/>
        <w:rPr>
          <w:rFonts w:ascii="Times New Roman" w:hAnsi="Times New Roman"/>
          <w:sz w:val="24"/>
          <w:szCs w:val="24"/>
        </w:rPr>
      </w:pPr>
      <w:r>
        <w:rPr>
          <w:rFonts w:ascii="Times New Roman" w:hAnsi="Times New Roman"/>
          <w:sz w:val="24"/>
          <w:szCs w:val="24"/>
        </w:rPr>
        <w:t xml:space="preserve">In una stagione politica improntata dall’ideologia neoliberista, Torino adotta il nuovo Piano regolatore (Vittorio Gregotti e Augusto </w:t>
      </w:r>
      <w:proofErr w:type="spellStart"/>
      <w:r>
        <w:rPr>
          <w:rFonts w:ascii="Times New Roman" w:hAnsi="Times New Roman"/>
          <w:sz w:val="24"/>
          <w:szCs w:val="24"/>
        </w:rPr>
        <w:t>Cagnardi</w:t>
      </w:r>
      <w:proofErr w:type="spellEnd"/>
      <w:r>
        <w:rPr>
          <w:rFonts w:ascii="Times New Roman" w:hAnsi="Times New Roman"/>
          <w:sz w:val="24"/>
          <w:szCs w:val="24"/>
        </w:rPr>
        <w:t xml:space="preserve">, 1995) che si focalizza su tre obiettivi principali: lo sviluppo del terziario, la valorizzazione della produzione edilizia, il marketing urbano internazionale. Il piano individua tra i principali settori della trasformazione urbana la “Spina centrale”, come collegamento dei “vuoti industriali”, l’asse di corso Marche, come una nuova possibilità infrastrutturale e di espansione urbana, e l’asta fluviale del Po, come luogo di </w:t>
      </w:r>
      <w:proofErr w:type="spellStart"/>
      <w:r>
        <w:rPr>
          <w:rFonts w:ascii="Times New Roman" w:hAnsi="Times New Roman"/>
          <w:i/>
          <w:sz w:val="24"/>
          <w:szCs w:val="24"/>
        </w:rPr>
        <w:t>loisir</w:t>
      </w:r>
      <w:proofErr w:type="spellEnd"/>
      <w:r>
        <w:rPr>
          <w:rFonts w:ascii="Times New Roman" w:hAnsi="Times New Roman"/>
          <w:sz w:val="24"/>
          <w:szCs w:val="24"/>
        </w:rPr>
        <w:t xml:space="preserve"> e di sport. Di queste tre ipotesi soltanto la Spina centrale, avrà una completa attuazione, incentrata sul nuovo boulevard realizzato sull’asse nord sud, attraverso la copertura della trincea ferroviaria. </w:t>
      </w:r>
    </w:p>
    <w:p>
      <w:pPr>
        <w:spacing w:after="0" w:line="240" w:lineRule="auto"/>
        <w:rPr>
          <w:rFonts w:ascii="Times New Roman" w:hAnsi="Times New Roman"/>
          <w:sz w:val="24"/>
          <w:szCs w:val="24"/>
        </w:rPr>
      </w:pPr>
      <w:r>
        <w:rPr>
          <w:rFonts w:ascii="Times New Roman" w:hAnsi="Times New Roman"/>
          <w:sz w:val="24"/>
          <w:szCs w:val="24"/>
        </w:rPr>
        <w:t>La vincente candidatura ai Giochi olimpici invernali del 2006 e le significative opere infrastrutturali del nuovo passante ferroviario e della metropolitana, sono tra i principali inneschi del nuovo Piano regolatore. Sull’onda della frenesia olimpica, nel decennio 2000-2010 le due amministrazioni di Sergio Chiamparino portano a termine la ricostruzione di circa 6 milioni di metri quadri di aree un tempo industriali, attraverso più di 250 varianti del Piano che autorizzano notevoli densità edilizie per le “nuove centralità”</w:t>
      </w:r>
      <w:r>
        <w:rPr>
          <w:rStyle w:val="Rimandonotaapidipagina"/>
          <w:rFonts w:ascii="Times New Roman" w:hAnsi="Times New Roman"/>
          <w:sz w:val="24"/>
          <w:szCs w:val="24"/>
        </w:rPr>
        <w:t xml:space="preserve"> </w:t>
      </w:r>
      <w:r>
        <w:rPr>
          <w:rFonts w:ascii="Times New Roman" w:hAnsi="Times New Roman"/>
          <w:sz w:val="24"/>
          <w:szCs w:val="24"/>
        </w:rPr>
        <w:t>e assumono la contestata decisione di realizzare “edifici alti”</w:t>
      </w:r>
      <w:r>
        <w:rPr>
          <w:rStyle w:val="Rimandonotaapidipagina"/>
          <w:rFonts w:ascii="Times New Roman" w:hAnsi="Times New Roman"/>
          <w:sz w:val="24"/>
          <w:szCs w:val="24"/>
        </w:rPr>
        <w:footnoteReference w:id="9"/>
      </w:r>
      <w:r>
        <w:rPr>
          <w:rFonts w:ascii="Times New Roman" w:hAnsi="Times New Roman"/>
          <w:sz w:val="24"/>
          <w:szCs w:val="24"/>
        </w:rPr>
        <w:t xml:space="preserve">. </w:t>
      </w:r>
    </w:p>
    <w:p>
      <w:pPr>
        <w:spacing w:after="0" w:line="240" w:lineRule="auto"/>
        <w:rPr>
          <w:rFonts w:ascii="Times New Roman" w:hAnsi="Times New Roman"/>
          <w:sz w:val="24"/>
          <w:szCs w:val="24"/>
        </w:rPr>
      </w:pPr>
      <w:r>
        <w:rPr>
          <w:rFonts w:ascii="Times New Roman" w:hAnsi="Times New Roman"/>
          <w:sz w:val="24"/>
          <w:szCs w:val="24"/>
        </w:rPr>
        <w:t>La Spina infrastruttura gli interventi più significativi da un punto di vista quantitativo, organizzati in quattro comprensori</w:t>
      </w:r>
      <w:r>
        <w:rPr>
          <w:rStyle w:val="Rimandonotaapidipagina"/>
          <w:rFonts w:ascii="Times New Roman" w:hAnsi="Times New Roman"/>
          <w:sz w:val="24"/>
          <w:szCs w:val="24"/>
        </w:rPr>
        <w:footnoteReference w:id="10"/>
      </w:r>
      <w:r>
        <w:rPr>
          <w:rFonts w:ascii="Times New Roman" w:hAnsi="Times New Roman"/>
          <w:sz w:val="24"/>
          <w:szCs w:val="24"/>
        </w:rPr>
        <w:t xml:space="preserve">. Spina 1, collocata tra corso Rosselli e corso Peschiera, dove un tempo sorgeva la ex </w:t>
      </w:r>
      <w:proofErr w:type="spellStart"/>
      <w:r>
        <w:rPr>
          <w:rFonts w:ascii="Times New Roman" w:hAnsi="Times New Roman"/>
          <w:sz w:val="24"/>
          <w:szCs w:val="24"/>
        </w:rPr>
        <w:t>Materferro</w:t>
      </w:r>
      <w:proofErr w:type="spellEnd"/>
      <w:r>
        <w:rPr>
          <w:rFonts w:ascii="Times New Roman" w:hAnsi="Times New Roman"/>
          <w:sz w:val="24"/>
          <w:szCs w:val="24"/>
        </w:rPr>
        <w:t>, vede la realizzazione di residenze ed un centro commerciale, con la conservazione della sola facciata dei capannoni storici. Sulla copertura della ferrovia le fontane con le sculture di Mario Merz cercano di contrastare la sensazione di abbandono e di freddezza che suscita il disegno degli spazi pubblici, limitati ad una deserta piazza anfiteatro e ad un breve viale pedonale, entrambi privi di verde. A marcare l’inizio della Spina è in progetto “Porta Europa”, composta da due torri asimmetriche, incongruamente disassate rispetto all’asse del boulevard.</w:t>
      </w:r>
    </w:p>
    <w:p>
      <w:pPr>
        <w:spacing w:after="0" w:line="240" w:lineRule="auto"/>
        <w:rPr>
          <w:rFonts w:ascii="Times New Roman" w:hAnsi="Times New Roman"/>
          <w:sz w:val="24"/>
          <w:szCs w:val="24"/>
        </w:rPr>
      </w:pPr>
      <w:r>
        <w:rPr>
          <w:rFonts w:ascii="Times New Roman" w:hAnsi="Times New Roman"/>
          <w:sz w:val="24"/>
          <w:szCs w:val="24"/>
        </w:rPr>
        <w:t xml:space="preserve">Compresa tra corso Peschiera e corso Vittorio Emanuele II, Spina 2 doveva caratterizzarsi come un nuovo polo culturale della città, incentrato sul raddoppio del Politecnico, sulla nuova biblioteca di Mario Bellini e sul riuso a strutture espositive delle notevoli architetture ottocentesche delle carceri e delle Officine Grandi Riparazioni delle ferrovie. Sono però state completate soltanto le nuove residenze sull’area ex Nebbiolo ed ex Westinghouse, fabbriche storiche completamente demolite, tranne la palazzina uffici, in stato di abbandono. L’espansione del Politecnico si è sviluppata secondo un piano frammentario e poco aperto alla città, mentre i progetti della biblioteca e della destinazione delle nuove aree espositive sono sospesi per mancanza di risorse. Lascito positivo della stagione olimpica è l’ex villaggio media di via </w:t>
      </w:r>
      <w:proofErr w:type="spellStart"/>
      <w:r>
        <w:rPr>
          <w:rFonts w:ascii="Times New Roman" w:hAnsi="Times New Roman"/>
          <w:sz w:val="24"/>
          <w:szCs w:val="24"/>
        </w:rPr>
        <w:t>Boggio</w:t>
      </w:r>
      <w:proofErr w:type="spellEnd"/>
      <w:r>
        <w:rPr>
          <w:rFonts w:ascii="Times New Roman" w:hAnsi="Times New Roman"/>
          <w:sz w:val="24"/>
          <w:szCs w:val="24"/>
        </w:rPr>
        <w:t>, destinato a residenze universitarie, estremamente necessarie in una città che ha individuato nella “conoscenza” uno dei principali settori di sviluppo.</w:t>
      </w:r>
    </w:p>
    <w:p>
      <w:pPr>
        <w:spacing w:after="0" w:line="240" w:lineRule="auto"/>
        <w:rPr>
          <w:rFonts w:ascii="Times New Roman" w:hAnsi="Times New Roman"/>
          <w:sz w:val="24"/>
          <w:szCs w:val="24"/>
        </w:rPr>
      </w:pPr>
      <w:r>
        <w:rPr>
          <w:rFonts w:ascii="Times New Roman" w:hAnsi="Times New Roman"/>
          <w:sz w:val="24"/>
          <w:szCs w:val="24"/>
        </w:rPr>
        <w:t xml:space="preserve">Proseguendo verso nord un’altra importante area di trasformazione è quella della stazione di Porta Susa, riprogettata come nodo di interscambio modale su tre livelli e destinata a soppiantare la </w:t>
      </w:r>
      <w:r>
        <w:rPr>
          <w:rFonts w:ascii="Times New Roman" w:hAnsi="Times New Roman"/>
          <w:sz w:val="24"/>
          <w:szCs w:val="24"/>
        </w:rPr>
        <w:lastRenderedPageBreak/>
        <w:t xml:space="preserve">storica stazione di testa di Porta Nuova. Nelle vicinanze è in costruzione il grattacielo di Renzo Piano, che svetterà per circa 180 metri a ridosso dei quartieri ottocenteschi della città storica, mentre la gara per l’assegnazione del vicino grattacielo gemello è per ora andata deserta. </w:t>
      </w:r>
    </w:p>
    <w:p>
      <w:pPr>
        <w:spacing w:after="0" w:line="240" w:lineRule="auto"/>
        <w:rPr>
          <w:rFonts w:ascii="Times New Roman" w:hAnsi="Times New Roman"/>
          <w:sz w:val="24"/>
          <w:szCs w:val="24"/>
        </w:rPr>
      </w:pPr>
      <w:r>
        <w:rPr>
          <w:rFonts w:ascii="Times New Roman" w:hAnsi="Times New Roman"/>
          <w:sz w:val="24"/>
          <w:szCs w:val="24"/>
        </w:rPr>
        <w:t>Ancora a nord, oltre la Dora, si trova Spina 3, l’area più significativa di tutta la trasformazione postindustriale che comprende le ex Acciaierie Vitali, la ex Michelin, la ex Savigliano, per circa un milione di metri quadrati</w:t>
      </w:r>
      <w:r>
        <w:rPr>
          <w:rStyle w:val="Rimandonotaapidipagina"/>
          <w:rFonts w:ascii="Times New Roman" w:hAnsi="Times New Roman"/>
          <w:sz w:val="24"/>
          <w:szCs w:val="24"/>
        </w:rPr>
        <w:footnoteReference w:id="11"/>
      </w:r>
      <w:r>
        <w:rPr>
          <w:rFonts w:ascii="Times New Roman" w:hAnsi="Times New Roman"/>
          <w:sz w:val="24"/>
          <w:szCs w:val="24"/>
        </w:rPr>
        <w:t xml:space="preserve">. Vi sono realizzate residenze per circa 15.000 abitanti, attività commerciali, direzionali e di ricerca, ma non sono previsti asili, scuole, ambulatori, luoghi di ritrovo. Il parco di 450.000 mq disegnato da Peter </w:t>
      </w:r>
      <w:proofErr w:type="spellStart"/>
      <w:r>
        <w:rPr>
          <w:rFonts w:ascii="Times New Roman" w:hAnsi="Times New Roman"/>
          <w:sz w:val="24"/>
          <w:szCs w:val="24"/>
        </w:rPr>
        <w:t>Latz</w:t>
      </w:r>
      <w:proofErr w:type="spellEnd"/>
      <w:r>
        <w:rPr>
          <w:rFonts w:ascii="Times New Roman" w:hAnsi="Times New Roman"/>
          <w:sz w:val="24"/>
          <w:szCs w:val="24"/>
        </w:rPr>
        <w:t>, rivela un’affascinante sedimentazione di ruderi industriali, contestata dai cittadini per la scarsa presenza di verde</w:t>
      </w:r>
      <w:r>
        <w:rPr>
          <w:rStyle w:val="Rimandonotaapidipagina"/>
          <w:rFonts w:ascii="Times New Roman" w:hAnsi="Times New Roman"/>
          <w:sz w:val="24"/>
          <w:szCs w:val="24"/>
        </w:rPr>
        <w:footnoteReference w:id="12"/>
      </w:r>
      <w:r>
        <w:rPr>
          <w:rFonts w:ascii="Times New Roman" w:hAnsi="Times New Roman"/>
          <w:sz w:val="24"/>
          <w:szCs w:val="24"/>
        </w:rPr>
        <w:t>. Altro spazio pubblico importante è la chiesa del Santo Volto di Mario Botta, confinata però in una zona a margine che non riesce a porsi come fulcro del quartiere, sostituito dalla “piazza” del centro commerciale e della multisala cinematografica.</w:t>
      </w:r>
    </w:p>
    <w:p>
      <w:pPr>
        <w:spacing w:after="0" w:line="240" w:lineRule="auto"/>
        <w:rPr>
          <w:rFonts w:ascii="Times New Roman" w:hAnsi="Times New Roman"/>
          <w:sz w:val="24"/>
          <w:szCs w:val="24"/>
        </w:rPr>
      </w:pPr>
      <w:r>
        <w:rPr>
          <w:rFonts w:ascii="Times New Roman" w:hAnsi="Times New Roman"/>
          <w:sz w:val="24"/>
          <w:szCs w:val="24"/>
        </w:rPr>
        <w:t xml:space="preserve">Più a nord, lungo l’asse di via Cigna, è in costruzione Spina 4, i cui primi esiti confermano la visione urbana fin qui descritta: nuovi edifici dissonanti dal contesto per tipologie costruttive e distributive, che non riescono a operare la ricucitura di un tessuto urbano piuttosto incerto con spazi pubblici di qualità. </w:t>
      </w:r>
    </w:p>
    <w:p>
      <w:pPr>
        <w:spacing w:after="0" w:line="240" w:lineRule="auto"/>
        <w:rPr>
          <w:rFonts w:ascii="Times New Roman" w:hAnsi="Times New Roman"/>
          <w:sz w:val="24"/>
          <w:szCs w:val="24"/>
        </w:rPr>
      </w:pPr>
      <w:r>
        <w:rPr>
          <w:rFonts w:ascii="Times New Roman" w:hAnsi="Times New Roman"/>
          <w:sz w:val="24"/>
          <w:szCs w:val="24"/>
        </w:rPr>
        <w:t xml:space="preserve">La nuova amministrazione guidata dal sindaco Piero Fassino ha nel suo programma la continuazione di questa attività di “valorizzazione” immobiliare e sta continuando la trasformazione di altri 4 milioni di aree industriali tra cui spiccano, per dimensioni e per impegno progettuale, il Polo universitario delle Facoltà umanistiche progettato da Norman Foster sull’area Italgas, la nuova sede della Regione Piemonte, con il grattacielo di Massimiliano </w:t>
      </w:r>
      <w:proofErr w:type="spellStart"/>
      <w:r>
        <w:rPr>
          <w:rFonts w:ascii="Times New Roman" w:hAnsi="Times New Roman"/>
          <w:sz w:val="24"/>
          <w:szCs w:val="24"/>
        </w:rPr>
        <w:t>Fuksas</w:t>
      </w:r>
      <w:proofErr w:type="spellEnd"/>
      <w:r>
        <w:rPr>
          <w:rFonts w:ascii="Times New Roman" w:hAnsi="Times New Roman"/>
          <w:sz w:val="24"/>
          <w:szCs w:val="24"/>
        </w:rPr>
        <w:t>, sull’area ex Fiat Avio, le Manifatture Tabacchi e la Fiat Mirafiori</w:t>
      </w:r>
      <w:r>
        <w:rPr>
          <w:rStyle w:val="Rimandonotaapidipagina"/>
          <w:rFonts w:ascii="Times New Roman" w:hAnsi="Times New Roman"/>
          <w:sz w:val="24"/>
          <w:szCs w:val="24"/>
        </w:rPr>
        <w:footnoteReference w:id="13"/>
      </w:r>
      <w:r>
        <w:rPr>
          <w:rFonts w:ascii="Times New Roman" w:hAnsi="Times New Roman"/>
          <w:sz w:val="24"/>
          <w:szCs w:val="24"/>
        </w:rPr>
        <w:t>.</w:t>
      </w:r>
    </w:p>
    <w:p>
      <w:pPr>
        <w:spacing w:after="0" w:line="240" w:lineRule="auto"/>
        <w:rPr>
          <w:rFonts w:ascii="Times New Roman" w:hAnsi="Times New Roman"/>
          <w:b/>
          <w:sz w:val="24"/>
          <w:szCs w:val="24"/>
        </w:rPr>
      </w:pPr>
    </w:p>
    <w:p>
      <w:pPr>
        <w:spacing w:after="0" w:line="240" w:lineRule="auto"/>
        <w:rPr>
          <w:rFonts w:ascii="Times New Roman" w:hAnsi="Times New Roman"/>
          <w:b/>
          <w:sz w:val="24"/>
          <w:szCs w:val="24"/>
        </w:rPr>
      </w:pPr>
      <w:r>
        <w:rPr>
          <w:rFonts w:ascii="Times New Roman" w:hAnsi="Times New Roman"/>
          <w:b/>
          <w:sz w:val="24"/>
          <w:szCs w:val="24"/>
        </w:rPr>
        <w:t>Quale bilancio del riuso delle aree industriali a Torino?</w:t>
      </w:r>
    </w:p>
    <w:p>
      <w:pPr>
        <w:spacing w:after="0" w:line="240" w:lineRule="auto"/>
        <w:rPr>
          <w:rFonts w:ascii="Times New Roman" w:hAnsi="Times New Roman"/>
          <w:sz w:val="24"/>
          <w:szCs w:val="24"/>
        </w:rPr>
      </w:pPr>
      <w:r>
        <w:rPr>
          <w:rFonts w:ascii="Times New Roman" w:hAnsi="Times New Roman"/>
          <w:sz w:val="24"/>
          <w:szCs w:val="24"/>
        </w:rPr>
        <w:t>Il “modello Torino” è stato propagandato dai mezzi di informazione e da buona parte della pubblicistica specializzata come un esempio di trasformazione positiva e di gestione oculata del territorio</w:t>
      </w:r>
      <w:r>
        <w:rPr>
          <w:rStyle w:val="Rimandonotaapidipagina"/>
          <w:rFonts w:ascii="Times New Roman" w:hAnsi="Times New Roman"/>
          <w:sz w:val="24"/>
          <w:szCs w:val="24"/>
        </w:rPr>
        <w:footnoteReference w:id="14"/>
      </w:r>
      <w:r>
        <w:rPr>
          <w:rFonts w:ascii="Times New Roman" w:hAnsi="Times New Roman"/>
          <w:sz w:val="24"/>
          <w:szCs w:val="24"/>
        </w:rPr>
        <w:t>, ma nel dibattito non sono stati tenuti in conto temi quali paesaggio, beni comuni, partecipazione, sostenibilità sociale e ambientale. I Giochi olimpici e una serie di altri eventi accortamente proposti in sequenza, dal Congresso mondiale degli architetti alla nomina a Word Design Capital, dai Campionati mondiali di scherma, alle celebrazioni dei 150 anni dell’Unità, hanno avuto un’ampia eco mediatica che è riuscita a promuovere a scala internazionale e nazionale una nuova immagine di Torino come città dell’arte, della ricerca scientifica, del divertimento e dello sport</w:t>
      </w:r>
      <w:r>
        <w:rPr>
          <w:rStyle w:val="Rimandonotaapidipagina"/>
          <w:rFonts w:ascii="Times New Roman" w:hAnsi="Times New Roman"/>
          <w:sz w:val="24"/>
          <w:szCs w:val="24"/>
        </w:rPr>
        <w:footnoteReference w:id="15"/>
      </w:r>
      <w:r>
        <w:rPr>
          <w:rFonts w:ascii="Times New Roman" w:hAnsi="Times New Roman"/>
          <w:sz w:val="24"/>
          <w:szCs w:val="24"/>
        </w:rPr>
        <w:t>. In effetti il turista trova un centro storico riqualificato, alcune aree pedonali, una buona presenza di verde, di musei e di  monumenti, in gran parte resi attrattivi da significativi interventi di restauro e di ammodernamento</w:t>
      </w:r>
      <w:r>
        <w:rPr>
          <w:rStyle w:val="Rimandonotaapidipagina"/>
          <w:rFonts w:ascii="Times New Roman" w:hAnsi="Times New Roman"/>
          <w:sz w:val="24"/>
          <w:szCs w:val="24"/>
        </w:rPr>
        <w:footnoteReference w:id="16"/>
      </w:r>
      <w:r>
        <w:rPr>
          <w:rFonts w:ascii="Times New Roman" w:hAnsi="Times New Roman"/>
          <w:sz w:val="24"/>
          <w:szCs w:val="24"/>
        </w:rPr>
        <w:t xml:space="preserve">. </w:t>
      </w:r>
    </w:p>
    <w:p>
      <w:pPr>
        <w:spacing w:after="0" w:line="240" w:lineRule="auto"/>
        <w:rPr>
          <w:rFonts w:ascii="Times New Roman" w:hAnsi="Times New Roman"/>
          <w:sz w:val="24"/>
          <w:szCs w:val="24"/>
        </w:rPr>
      </w:pPr>
      <w:r>
        <w:rPr>
          <w:rFonts w:ascii="Times New Roman" w:hAnsi="Times New Roman"/>
          <w:sz w:val="24"/>
          <w:szCs w:val="24"/>
        </w:rPr>
        <w:t>Tuttavia questa visione consolatoria di una città che ha saputo far fronte alla più grave crisi della sua storia contemporanea, evitando drammatici conflitti sociali e reinventandosi come luogo degli “eventi” e del turismo, manifesta alcune crepe</w:t>
      </w:r>
      <w:r>
        <w:rPr>
          <w:rStyle w:val="Rimandonotaapidipagina"/>
          <w:rFonts w:ascii="Times New Roman" w:hAnsi="Times New Roman"/>
          <w:sz w:val="24"/>
          <w:szCs w:val="24"/>
        </w:rPr>
        <w:footnoteReference w:id="17"/>
      </w:r>
      <w:r>
        <w:rPr>
          <w:rFonts w:ascii="Times New Roman" w:hAnsi="Times New Roman"/>
          <w:sz w:val="24"/>
          <w:szCs w:val="24"/>
        </w:rPr>
        <w:t xml:space="preserve">. Ad una analisi più attenta, che si rivolga alla città nel suo complesso, e non soltanto alla sua parte aulica, emerge che il disegno delle nuove edificazioni non riesce a rilanciare il carattere storico e sociale di una città storicamente fortemente </w:t>
      </w:r>
      <w:r>
        <w:rPr>
          <w:rFonts w:ascii="Times New Roman" w:hAnsi="Times New Roman"/>
          <w:sz w:val="24"/>
          <w:szCs w:val="24"/>
        </w:rPr>
        <w:lastRenderedPageBreak/>
        <w:t>normata, le cui architetture sono state sempre sottomesse alla qualità dello spazio pubblico, incardinate sul disegno delle piazze, delle strade, dei portici, delle prospettive aperte sullo straordinario ambiente naturale costituito dall’arco alpino, dalla collina e dal fiume</w:t>
      </w:r>
      <w:r>
        <w:rPr>
          <w:rStyle w:val="Rimandonotaapidipagina"/>
          <w:rFonts w:ascii="Times New Roman" w:hAnsi="Times New Roman"/>
          <w:sz w:val="24"/>
          <w:szCs w:val="24"/>
        </w:rPr>
        <w:footnoteReference w:id="18"/>
      </w:r>
      <w:r>
        <w:rPr>
          <w:rFonts w:ascii="Times New Roman" w:hAnsi="Times New Roman"/>
          <w:sz w:val="24"/>
          <w:szCs w:val="24"/>
        </w:rPr>
        <w:t xml:space="preserve">. </w:t>
      </w:r>
    </w:p>
    <w:p>
      <w:pPr>
        <w:spacing w:after="0" w:line="240" w:lineRule="auto"/>
        <w:rPr>
          <w:rFonts w:ascii="Times New Roman" w:hAnsi="Times New Roman"/>
          <w:sz w:val="24"/>
          <w:szCs w:val="24"/>
        </w:rPr>
      </w:pPr>
      <w:r>
        <w:rPr>
          <w:rFonts w:ascii="Times New Roman" w:hAnsi="Times New Roman"/>
          <w:sz w:val="24"/>
          <w:szCs w:val="24"/>
        </w:rPr>
        <w:t>Pur in presenza di qualche significativa eccezione</w:t>
      </w:r>
      <w:r>
        <w:rPr>
          <w:rStyle w:val="Rimandonotaapidipagina"/>
          <w:rFonts w:ascii="Times New Roman" w:hAnsi="Times New Roman"/>
          <w:sz w:val="24"/>
          <w:szCs w:val="24"/>
        </w:rPr>
        <w:footnoteReference w:id="19"/>
      </w:r>
      <w:r>
        <w:rPr>
          <w:rFonts w:ascii="Times New Roman" w:hAnsi="Times New Roman"/>
          <w:sz w:val="24"/>
          <w:szCs w:val="24"/>
        </w:rPr>
        <w:t>, l’indifferenza alle suggestioni che potevano venire dal patrimonio industriale, dalla struttura viaria, dal rapporto con le visuali paesaggistiche, dal dialogo con i contesti consolidati, ha disatteso una lunga tradizione di studi di storia urbana</w:t>
      </w:r>
      <w:r>
        <w:rPr>
          <w:rStyle w:val="Rimandonotaapidipagina"/>
          <w:rFonts w:ascii="Times New Roman" w:hAnsi="Times New Roman"/>
          <w:sz w:val="24"/>
          <w:szCs w:val="24"/>
        </w:rPr>
        <w:footnoteReference w:id="20"/>
      </w:r>
      <w:r>
        <w:rPr>
          <w:rFonts w:ascii="Times New Roman" w:hAnsi="Times New Roman"/>
          <w:sz w:val="24"/>
          <w:szCs w:val="24"/>
        </w:rPr>
        <w:t xml:space="preserve">. Si è affermata, invece, una visione dell’urbanistica, sottomessa alle proposte di investitori e di proprietari privati attratti da notevoli profitti, come risorsa per fronteggiare la crisi del bilancio comunale, dovuta ai tagli dei governi centrali alla finanza locale e agli investimenti infrastrutturali e olimpici. </w:t>
      </w:r>
    </w:p>
    <w:p>
      <w:pPr>
        <w:spacing w:after="0" w:line="240" w:lineRule="auto"/>
        <w:rPr>
          <w:rFonts w:ascii="Times New Roman" w:hAnsi="Times New Roman"/>
          <w:sz w:val="24"/>
          <w:szCs w:val="24"/>
        </w:rPr>
      </w:pPr>
      <w:r>
        <w:rPr>
          <w:rFonts w:ascii="Times New Roman" w:hAnsi="Times New Roman"/>
          <w:sz w:val="24"/>
          <w:szCs w:val="24"/>
        </w:rPr>
        <w:t>Il ricorso alle numerose varianti che progressivamente hanno ridotto le aree per verde e per servizi aumentando le cubature e  le altezze, secondo la regola della “monetizzazione” del territorio e della posticipazione della realizzazione dei servizi pubblici, si è rivelato una continua, inutile rincorsa alle esigenze del bilancio</w:t>
      </w:r>
      <w:r>
        <w:rPr>
          <w:rStyle w:val="Rimandonotaapidipagina"/>
          <w:rFonts w:ascii="Times New Roman" w:hAnsi="Times New Roman"/>
          <w:sz w:val="24"/>
          <w:szCs w:val="24"/>
        </w:rPr>
        <w:footnoteReference w:id="21"/>
      </w:r>
      <w:r>
        <w:rPr>
          <w:rFonts w:ascii="Times New Roman" w:hAnsi="Times New Roman"/>
          <w:sz w:val="24"/>
          <w:szCs w:val="24"/>
        </w:rPr>
        <w:t xml:space="preserve"> e non ha risolto problemi di fondo legati all’abitare che si fanno anzi sempre più pressanti.</w:t>
      </w:r>
    </w:p>
    <w:p>
      <w:pPr>
        <w:spacing w:after="0" w:line="240" w:lineRule="auto"/>
        <w:rPr>
          <w:rFonts w:ascii="Times New Roman" w:hAnsi="Times New Roman"/>
          <w:sz w:val="24"/>
          <w:szCs w:val="24"/>
        </w:rPr>
      </w:pPr>
      <w:r>
        <w:rPr>
          <w:rFonts w:ascii="Times New Roman" w:hAnsi="Times New Roman"/>
          <w:sz w:val="24"/>
          <w:szCs w:val="24"/>
        </w:rPr>
        <w:t>Nonostante la presenza di un patrimonio di 35.000-50.000 alloggi sfitti</w:t>
      </w:r>
      <w:r>
        <w:rPr>
          <w:rStyle w:val="Rimandonotaapidipagina"/>
          <w:rFonts w:ascii="Times New Roman" w:hAnsi="Times New Roman"/>
          <w:sz w:val="24"/>
          <w:szCs w:val="24"/>
        </w:rPr>
        <w:footnoteReference w:id="22"/>
      </w:r>
      <w:r>
        <w:rPr>
          <w:rFonts w:ascii="Times New Roman" w:hAnsi="Times New Roman"/>
          <w:sz w:val="24"/>
          <w:szCs w:val="24"/>
        </w:rPr>
        <w:t>, le circa 10.000 famiglie in cerca di casa</w:t>
      </w:r>
      <w:r>
        <w:rPr>
          <w:rStyle w:val="Rimandonotaapidipagina"/>
          <w:rFonts w:ascii="Times New Roman" w:hAnsi="Times New Roman"/>
          <w:sz w:val="24"/>
          <w:szCs w:val="24"/>
        </w:rPr>
        <w:footnoteReference w:id="23"/>
      </w:r>
      <w:r>
        <w:rPr>
          <w:rFonts w:ascii="Times New Roman" w:hAnsi="Times New Roman"/>
          <w:sz w:val="24"/>
          <w:szCs w:val="24"/>
        </w:rPr>
        <w:t xml:space="preserve"> non riescono ad accedere ad affitti calmierati e si moltiplicano le situazioni di sfratto e di crisi abitativa. Ampie porzioni di territorio, come le sponde della Stura, oppure l’area a nord del parco della </w:t>
      </w:r>
      <w:proofErr w:type="spellStart"/>
      <w:r>
        <w:rPr>
          <w:rFonts w:ascii="Times New Roman" w:hAnsi="Times New Roman"/>
          <w:sz w:val="24"/>
          <w:szCs w:val="24"/>
        </w:rPr>
        <w:t>Pellerina</w:t>
      </w:r>
      <w:proofErr w:type="spellEnd"/>
      <w:r>
        <w:rPr>
          <w:rFonts w:ascii="Times New Roman" w:hAnsi="Times New Roman"/>
          <w:sz w:val="24"/>
          <w:szCs w:val="24"/>
        </w:rPr>
        <w:t xml:space="preserve">, sono utilizzate per edificazioni abusive o di emergenza, prive anche dei servizi urbani primari, in parte realizzate da popolazioni nomadi e da irregolari. </w:t>
      </w:r>
    </w:p>
    <w:p>
      <w:pPr>
        <w:spacing w:after="0" w:line="240" w:lineRule="auto"/>
        <w:rPr>
          <w:rFonts w:ascii="Times New Roman" w:hAnsi="Times New Roman"/>
          <w:sz w:val="24"/>
          <w:szCs w:val="24"/>
        </w:rPr>
      </w:pPr>
      <w:r>
        <w:rPr>
          <w:rFonts w:ascii="Times New Roman" w:hAnsi="Times New Roman"/>
          <w:sz w:val="24"/>
          <w:szCs w:val="24"/>
        </w:rPr>
        <w:t>L’Amministrazione pubblica non è riuscita a controllare lo sviluppo urbano in senso sociale, ad avviare processi di aggiornamento tecnologico, di innovazione produttiva, di attenzione agli aspetti ambientali ed energetici, in grado di incrementare la qualità architettonica e urbana dei nuovi quartieri</w:t>
      </w:r>
      <w:r>
        <w:rPr>
          <w:rStyle w:val="Rimandonotaapidipagina"/>
          <w:rFonts w:ascii="Times New Roman" w:hAnsi="Times New Roman"/>
          <w:sz w:val="24"/>
          <w:szCs w:val="24"/>
        </w:rPr>
        <w:footnoteReference w:id="24"/>
      </w:r>
      <w:r>
        <w:rPr>
          <w:rFonts w:ascii="Times New Roman" w:hAnsi="Times New Roman"/>
          <w:sz w:val="24"/>
          <w:szCs w:val="24"/>
        </w:rPr>
        <w:t>. La fragilità di un’edilizia basata prevalentemente sulle quantità realizzate evidenzia sempre più i suoi limiti, sia come volano dell’economia sia come reale valorizzazione delle aree</w:t>
      </w:r>
      <w:r>
        <w:rPr>
          <w:rStyle w:val="Rimandonotaapidipagina"/>
          <w:rFonts w:ascii="Times New Roman" w:hAnsi="Times New Roman"/>
          <w:sz w:val="24"/>
          <w:szCs w:val="24"/>
        </w:rPr>
        <w:footnoteReference w:id="25"/>
      </w:r>
      <w:r>
        <w:rPr>
          <w:rFonts w:ascii="Times New Roman" w:hAnsi="Times New Roman"/>
          <w:sz w:val="24"/>
          <w:szCs w:val="24"/>
        </w:rPr>
        <w:t xml:space="preserve">. </w:t>
      </w:r>
    </w:p>
    <w:p>
      <w:pPr>
        <w:spacing w:after="0" w:line="240" w:lineRule="auto"/>
        <w:rPr>
          <w:rFonts w:ascii="Times New Roman" w:hAnsi="Times New Roman"/>
          <w:sz w:val="24"/>
          <w:szCs w:val="24"/>
        </w:rPr>
      </w:pPr>
      <w:r>
        <w:rPr>
          <w:rFonts w:ascii="Times New Roman" w:hAnsi="Times New Roman"/>
          <w:sz w:val="24"/>
          <w:szCs w:val="24"/>
        </w:rPr>
        <w:t>La capitolazione dell’Amministrazione nei confronti delle grandi banche e dei grandi investitori, a fronte delle difficoltà del bilancio, si traduce in una debole difesa dei servizi sociali, dei beni comuni, delle scelte di sostenibilità ambientale e per una mobilità sostenibile che sono alla base della difficoltà di dialogo tra i cittadini e amministratori</w:t>
      </w:r>
      <w:r>
        <w:rPr>
          <w:rStyle w:val="Rimandonotaapidipagina"/>
          <w:rFonts w:ascii="Times New Roman" w:hAnsi="Times New Roman"/>
          <w:sz w:val="24"/>
          <w:szCs w:val="24"/>
        </w:rPr>
        <w:footnoteReference w:id="26"/>
      </w:r>
      <w:r>
        <w:rPr>
          <w:rFonts w:ascii="Times New Roman" w:hAnsi="Times New Roman"/>
          <w:sz w:val="24"/>
          <w:szCs w:val="24"/>
        </w:rPr>
        <w:t xml:space="preserve">. </w:t>
      </w:r>
    </w:p>
    <w:p>
      <w:pPr>
        <w:spacing w:after="0" w:line="240" w:lineRule="auto"/>
        <w:rPr>
          <w:rFonts w:ascii="Times New Roman" w:hAnsi="Times New Roman"/>
          <w:sz w:val="24"/>
          <w:szCs w:val="24"/>
        </w:rPr>
      </w:pPr>
      <w:r>
        <w:rPr>
          <w:rFonts w:ascii="Times New Roman" w:hAnsi="Times New Roman"/>
          <w:sz w:val="24"/>
          <w:szCs w:val="24"/>
        </w:rPr>
        <w:t>Torino, una città non più fordista nella sua organizzazione del lavoro ha continuato a imporre i processi decisionali tipici della città fabbrica, autoritari e burocratici, consolidando nei ruoli decisionali una ristretta élite dirigente, eterogenea per composizione, ma molto compatta per metodi e obiettivi, che comprende alcuni vertici della grande industria e della finanza, quadri del vecchio Partito comunista e rappresentanti del “terzo settore”</w:t>
      </w:r>
      <w:r>
        <w:rPr>
          <w:rStyle w:val="Rimandonotaapidipagina"/>
          <w:rFonts w:ascii="Times New Roman" w:hAnsi="Times New Roman"/>
          <w:sz w:val="24"/>
          <w:szCs w:val="24"/>
        </w:rPr>
        <w:footnoteReference w:id="27"/>
      </w:r>
      <w:r>
        <w:rPr>
          <w:rFonts w:ascii="Times New Roman" w:hAnsi="Times New Roman"/>
          <w:sz w:val="24"/>
          <w:szCs w:val="24"/>
        </w:rPr>
        <w:t xml:space="preserve">. </w:t>
      </w:r>
    </w:p>
    <w:p>
      <w:pPr>
        <w:spacing w:after="0" w:line="240" w:lineRule="auto"/>
        <w:rPr>
          <w:rFonts w:ascii="Times New Roman" w:hAnsi="Times New Roman"/>
          <w:sz w:val="24"/>
          <w:szCs w:val="24"/>
        </w:rPr>
      </w:pPr>
      <w:r>
        <w:rPr>
          <w:rFonts w:ascii="Times New Roman" w:hAnsi="Times New Roman"/>
          <w:sz w:val="24"/>
          <w:szCs w:val="24"/>
        </w:rPr>
        <w:t xml:space="preserve">Riusare in modo virtuoso il territorio impone un confronto pubblico che coinvolga i cittadini, i comitati, le associazioni, le università, per  ripensare la trasformazione tenendo conto degli aspetti </w:t>
      </w:r>
      <w:r>
        <w:rPr>
          <w:rFonts w:ascii="Times New Roman" w:hAnsi="Times New Roman"/>
          <w:sz w:val="24"/>
          <w:szCs w:val="24"/>
        </w:rPr>
        <w:lastRenderedPageBreak/>
        <w:t>sociali, culturali e ambientali. Perché il necessario riuso della aree dismesse non diventi solo un’immagine per riviste patinate e per pieghevoli turistici, ma inneschi reali processi di partecipazione democratica, è necessaria una nuova visione progettuale basata su concetti di sviluppo sostenibile e di decrescita, finalizzati alla costruzione di territori e di città rispettosi del paesaggio e dei diritti dei cittadini</w:t>
      </w:r>
      <w:r>
        <w:rPr>
          <w:rStyle w:val="Rimandonotaapidipagina"/>
          <w:rFonts w:ascii="Times New Roman" w:hAnsi="Times New Roman"/>
          <w:sz w:val="24"/>
          <w:szCs w:val="24"/>
        </w:rPr>
        <w:footnoteReference w:id="28"/>
      </w:r>
      <w:r>
        <w:rPr>
          <w:rFonts w:ascii="Times New Roman" w:hAnsi="Times New Roman"/>
          <w:sz w:val="24"/>
          <w:szCs w:val="24"/>
        </w:rPr>
        <w:t xml:space="preserve">. </w:t>
      </w:r>
    </w:p>
    <w:sectPr>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pacing w:after="0" w:line="240" w:lineRule="auto"/>
      </w:pPr>
      <w:r>
        <w:separator/>
      </w:r>
    </w:p>
  </w:footnote>
  <w:footnote w:type="continuationSeparator" w:id="0">
    <w:p>
      <w:pPr>
        <w:spacing w:after="0" w:line="240" w:lineRule="auto"/>
      </w:pPr>
      <w:r>
        <w:continuationSeparator/>
      </w:r>
    </w:p>
  </w:footnote>
  <w:footnote w:id="1">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Il testo che segue è stato rielaborato dall’autore a partire da un contributo recentemente pubblicato. G. Montanari, </w:t>
      </w:r>
      <w:r>
        <w:rPr>
          <w:rFonts w:ascii="Times New Roman" w:hAnsi="Times New Roman"/>
          <w:i/>
        </w:rPr>
        <w:t>Torino nuovi paesaggi urbani e sociali nella ex città fabbrica</w:t>
      </w:r>
      <w:r>
        <w:rPr>
          <w:rFonts w:ascii="Times New Roman" w:hAnsi="Times New Roman"/>
        </w:rPr>
        <w:t xml:space="preserve"> in E. Manzo (a cura di), </w:t>
      </w:r>
      <w:r>
        <w:rPr>
          <w:rFonts w:ascii="Times New Roman" w:hAnsi="Times New Roman"/>
          <w:i/>
        </w:rPr>
        <w:t>La città che si rinnova. Architettura e scienze umane tra storia e attualità: prospettive e analisi a confronto</w:t>
      </w:r>
      <w:r>
        <w:rPr>
          <w:rFonts w:ascii="Times New Roman" w:hAnsi="Times New Roman"/>
        </w:rPr>
        <w:t xml:space="preserve">, Franco Angeli, Milano 2012, pp. 142-151. </w:t>
      </w:r>
    </w:p>
  </w:footnote>
  <w:footnote w:id="2">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S. Musso, </w:t>
      </w:r>
      <w:r>
        <w:rPr>
          <w:rFonts w:ascii="Times New Roman" w:hAnsi="Times New Roman"/>
          <w:i/>
        </w:rPr>
        <w:t>Lo sviluppo e le sue immagini. Un’analisi quantitativa</w:t>
      </w:r>
      <w:r>
        <w:rPr>
          <w:rFonts w:ascii="Times New Roman" w:hAnsi="Times New Roman"/>
        </w:rPr>
        <w:t xml:space="preserve">, in F. Levi, B. Maida (a cura di), </w:t>
      </w:r>
      <w:r>
        <w:rPr>
          <w:rFonts w:ascii="Times New Roman" w:hAnsi="Times New Roman"/>
          <w:i/>
        </w:rPr>
        <w:t>La città e lo sviluppo. Crescita e disordine a Torino 1945-1970</w:t>
      </w:r>
      <w:r>
        <w:rPr>
          <w:rFonts w:ascii="Times New Roman" w:hAnsi="Times New Roman"/>
        </w:rPr>
        <w:t xml:space="preserve">, Franco Angeli, Milano 2002. </w:t>
      </w:r>
    </w:p>
  </w:footnote>
  <w:footnote w:id="3">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B. </w:t>
      </w:r>
      <w:proofErr w:type="spellStart"/>
      <w:r>
        <w:rPr>
          <w:rFonts w:ascii="Times New Roman" w:hAnsi="Times New Roman"/>
        </w:rPr>
        <w:t>Guidetti</w:t>
      </w:r>
      <w:proofErr w:type="spellEnd"/>
      <w:r>
        <w:rPr>
          <w:rFonts w:ascii="Times New Roman" w:hAnsi="Times New Roman"/>
        </w:rPr>
        <w:t xml:space="preserve"> Serra, </w:t>
      </w:r>
      <w:r>
        <w:rPr>
          <w:rFonts w:ascii="Times New Roman" w:hAnsi="Times New Roman"/>
          <w:i/>
        </w:rPr>
        <w:t>Le schedature Fiat. Cronaca di un processo e altre cronache</w:t>
      </w:r>
      <w:r>
        <w:rPr>
          <w:rFonts w:ascii="Times New Roman" w:hAnsi="Times New Roman"/>
        </w:rPr>
        <w:t>, Rosenberg e Selliers,Torino1984.</w:t>
      </w:r>
    </w:p>
  </w:footnote>
  <w:footnote w:id="4">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E. </w:t>
      </w:r>
      <w:proofErr w:type="spellStart"/>
      <w:r>
        <w:rPr>
          <w:rFonts w:ascii="Times New Roman" w:hAnsi="Times New Roman"/>
        </w:rPr>
        <w:t>Dansero</w:t>
      </w:r>
      <w:proofErr w:type="spellEnd"/>
      <w:r>
        <w:rPr>
          <w:rFonts w:ascii="Times New Roman" w:hAnsi="Times New Roman"/>
        </w:rPr>
        <w:t xml:space="preserve">, </w:t>
      </w:r>
      <w:r>
        <w:rPr>
          <w:rFonts w:ascii="Times New Roman" w:hAnsi="Times New Roman"/>
          <w:i/>
        </w:rPr>
        <w:t>Dentro ai vuoti</w:t>
      </w:r>
      <w:r>
        <w:rPr>
          <w:rFonts w:ascii="Times New Roman" w:hAnsi="Times New Roman"/>
        </w:rPr>
        <w:t>, Cortina, Torino 1993.</w:t>
      </w:r>
    </w:p>
  </w:footnote>
  <w:footnote w:id="5">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Ricordo in particolare: </w:t>
      </w:r>
      <w:r>
        <w:rPr>
          <w:rFonts w:ascii="Times New Roman" w:hAnsi="Times New Roman"/>
          <w:i/>
        </w:rPr>
        <w:t>Omicron</w:t>
      </w:r>
      <w:r>
        <w:rPr>
          <w:rFonts w:ascii="Times New Roman" w:hAnsi="Times New Roman"/>
        </w:rPr>
        <w:t xml:space="preserve"> (1963) di Ugo Gregoretti e </w:t>
      </w:r>
      <w:r>
        <w:rPr>
          <w:rFonts w:ascii="Times New Roman" w:hAnsi="Times New Roman"/>
          <w:i/>
        </w:rPr>
        <w:t xml:space="preserve">The </w:t>
      </w:r>
      <w:proofErr w:type="spellStart"/>
      <w:r>
        <w:rPr>
          <w:rFonts w:ascii="Times New Roman" w:hAnsi="Times New Roman"/>
          <w:i/>
        </w:rPr>
        <w:t>Italian</w:t>
      </w:r>
      <w:proofErr w:type="spellEnd"/>
      <w:r>
        <w:rPr>
          <w:rFonts w:ascii="Times New Roman" w:hAnsi="Times New Roman"/>
          <w:i/>
        </w:rPr>
        <w:t xml:space="preserve"> job</w:t>
      </w:r>
      <w:r>
        <w:rPr>
          <w:rFonts w:ascii="Times New Roman" w:hAnsi="Times New Roman"/>
        </w:rPr>
        <w:t xml:space="preserve"> (1969) di Peter </w:t>
      </w:r>
      <w:proofErr w:type="spellStart"/>
      <w:r>
        <w:rPr>
          <w:rFonts w:ascii="Times New Roman" w:hAnsi="Times New Roman"/>
        </w:rPr>
        <w:t>Collinson</w:t>
      </w:r>
      <w:proofErr w:type="spellEnd"/>
      <w:r>
        <w:rPr>
          <w:rFonts w:ascii="Times New Roman" w:hAnsi="Times New Roman"/>
        </w:rPr>
        <w:t xml:space="preserve">. </w:t>
      </w:r>
    </w:p>
  </w:footnote>
  <w:footnote w:id="6">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R. Radicioni, P. G. Lucco </w:t>
      </w:r>
      <w:proofErr w:type="spellStart"/>
      <w:r>
        <w:rPr>
          <w:rFonts w:ascii="Times New Roman" w:hAnsi="Times New Roman"/>
        </w:rPr>
        <w:t>Borlera</w:t>
      </w:r>
      <w:proofErr w:type="spellEnd"/>
      <w:r>
        <w:rPr>
          <w:rFonts w:ascii="Times New Roman" w:hAnsi="Times New Roman"/>
        </w:rPr>
        <w:t xml:space="preserve"> </w:t>
      </w:r>
      <w:r>
        <w:rPr>
          <w:rFonts w:ascii="Times New Roman" w:hAnsi="Times New Roman"/>
          <w:i/>
        </w:rPr>
        <w:t>Torino invisibile,</w:t>
      </w:r>
      <w:r>
        <w:rPr>
          <w:rFonts w:ascii="Times New Roman" w:hAnsi="Times New Roman"/>
        </w:rPr>
        <w:t xml:space="preserve"> Alinea, Firenze 2009.</w:t>
      </w:r>
    </w:p>
  </w:footnote>
  <w:footnote w:id="7">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w:t>
      </w:r>
      <w:r>
        <w:rPr>
          <w:rFonts w:ascii="Times New Roman" w:hAnsi="Times New Roman"/>
          <w:i/>
        </w:rPr>
        <w:t>Venti progetti per il futuro del Lingotto</w:t>
      </w:r>
      <w:r>
        <w:rPr>
          <w:rFonts w:ascii="Times New Roman" w:hAnsi="Times New Roman"/>
        </w:rPr>
        <w:t xml:space="preserve">, </w:t>
      </w:r>
      <w:proofErr w:type="spellStart"/>
      <w:r>
        <w:rPr>
          <w:rFonts w:ascii="Times New Roman" w:hAnsi="Times New Roman"/>
        </w:rPr>
        <w:t>Etas</w:t>
      </w:r>
      <w:proofErr w:type="spellEnd"/>
      <w:r>
        <w:rPr>
          <w:rFonts w:ascii="Times New Roman" w:hAnsi="Times New Roman"/>
        </w:rPr>
        <w:t xml:space="preserve"> Libri, Milano 1984</w:t>
      </w:r>
    </w:p>
  </w:footnote>
  <w:footnote w:id="8">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E. Salzano, </w:t>
      </w:r>
      <w:r>
        <w:rPr>
          <w:rFonts w:ascii="Times New Roman" w:hAnsi="Times New Roman"/>
          <w:i/>
        </w:rPr>
        <w:t>Fondamenti di urbanistica. La storia e la norma</w:t>
      </w:r>
      <w:r>
        <w:rPr>
          <w:rFonts w:ascii="Times New Roman" w:hAnsi="Times New Roman"/>
        </w:rPr>
        <w:t>, Laterza, Roma-Bari 1999.</w:t>
      </w:r>
    </w:p>
  </w:footnote>
  <w:footnote w:id="9">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Quello che non fu mai un vero dibattito democratico sulla scelta di costruire in altezza è rintracciabile in </w:t>
      </w:r>
      <w:r>
        <w:rPr>
          <w:rFonts w:ascii="Times New Roman" w:hAnsi="Times New Roman"/>
          <w:i/>
        </w:rPr>
        <w:t>Torino verticale</w:t>
      </w:r>
      <w:r>
        <w:rPr>
          <w:rFonts w:ascii="Times New Roman" w:hAnsi="Times New Roman"/>
        </w:rPr>
        <w:t xml:space="preserve"> “Atti e Rassegna Tecnica della Società degli Ingegneri e degli Architetti in Torino”, n. 3, dicembre 2010. Cfr. anche il sito web: </w:t>
      </w:r>
      <w:r>
        <w:rPr>
          <w:rFonts w:ascii="Times New Roman" w:hAnsi="Times New Roman"/>
          <w:i/>
        </w:rPr>
        <w:t>www.nongrattiamoilcielo.org.</w:t>
      </w:r>
    </w:p>
  </w:footnote>
  <w:footnote w:id="10">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Gli indici di edificazione, tra 0,6 e 0,7 mq di superficie lorda di pavimento  (SLP) per mq di superficie territoriale, hanno generato sulle Spine circa 600.000 mq di SLP, ovvero quasi 2 milioni di metri cubi. </w:t>
      </w:r>
    </w:p>
  </w:footnote>
  <w:footnote w:id="11">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Fondazione Vera </w:t>
      </w:r>
      <w:proofErr w:type="spellStart"/>
      <w:r>
        <w:rPr>
          <w:rFonts w:ascii="Times New Roman" w:hAnsi="Times New Roman"/>
        </w:rPr>
        <w:t>Nocentini</w:t>
      </w:r>
      <w:proofErr w:type="spellEnd"/>
      <w:r>
        <w:rPr>
          <w:rFonts w:ascii="Times New Roman" w:hAnsi="Times New Roman"/>
        </w:rPr>
        <w:t xml:space="preserve">, </w:t>
      </w:r>
      <w:r>
        <w:rPr>
          <w:rFonts w:ascii="Times New Roman" w:hAnsi="Times New Roman"/>
          <w:i/>
        </w:rPr>
        <w:t>Torino che cambia. Dalle Ferriere alla Spina 3. Una difficile transizione</w:t>
      </w:r>
      <w:r>
        <w:rPr>
          <w:rFonts w:ascii="Times New Roman" w:hAnsi="Times New Roman"/>
        </w:rPr>
        <w:t xml:space="preserve">, Angolo Manzoni, Torino 2009.  </w:t>
      </w:r>
    </w:p>
  </w:footnote>
  <w:footnote w:id="12">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E. Boero, </w:t>
      </w:r>
      <w:r>
        <w:rPr>
          <w:rFonts w:ascii="Times New Roman" w:hAnsi="Times New Roman"/>
          <w:i/>
        </w:rPr>
        <w:t>La spina 3 di Torino. Trasformazioni e partecipazione: il Comitato Dora Spina Tre</w:t>
      </w:r>
      <w:r>
        <w:rPr>
          <w:rFonts w:ascii="Times New Roman" w:hAnsi="Times New Roman"/>
        </w:rPr>
        <w:t xml:space="preserve">, </w:t>
      </w:r>
      <w:proofErr w:type="spellStart"/>
      <w:r>
        <w:rPr>
          <w:rFonts w:ascii="Times New Roman" w:hAnsi="Times New Roman"/>
        </w:rPr>
        <w:t>Impremix</w:t>
      </w:r>
      <w:proofErr w:type="spellEnd"/>
      <w:r>
        <w:rPr>
          <w:rFonts w:ascii="Times New Roman" w:hAnsi="Times New Roman"/>
        </w:rPr>
        <w:t xml:space="preserve"> Edizioni, Torino 2011.</w:t>
      </w:r>
    </w:p>
  </w:footnote>
  <w:footnote w:id="13">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Tra le altre aree industriali i cui progetti sono allo studio o in corso: Lavazza,  Alenia, Ghia, </w:t>
      </w:r>
      <w:proofErr w:type="spellStart"/>
      <w:r>
        <w:rPr>
          <w:rFonts w:ascii="Times New Roman" w:hAnsi="Times New Roman"/>
        </w:rPr>
        <w:t>Gondrand</w:t>
      </w:r>
      <w:proofErr w:type="spellEnd"/>
      <w:r>
        <w:rPr>
          <w:rFonts w:ascii="Times New Roman" w:hAnsi="Times New Roman"/>
        </w:rPr>
        <w:t xml:space="preserve">, Lancia, </w:t>
      </w:r>
      <w:proofErr w:type="spellStart"/>
      <w:r>
        <w:rPr>
          <w:rFonts w:ascii="Times New Roman" w:hAnsi="Times New Roman"/>
        </w:rPr>
        <w:t>Isvor</w:t>
      </w:r>
      <w:proofErr w:type="spellEnd"/>
      <w:r>
        <w:rPr>
          <w:rFonts w:ascii="Times New Roman" w:hAnsi="Times New Roman"/>
        </w:rPr>
        <w:t xml:space="preserve"> Fiat e Officine Grandi Motori.</w:t>
      </w:r>
    </w:p>
  </w:footnote>
  <w:footnote w:id="14">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Emblematico di questo approccio: G. </w:t>
      </w:r>
      <w:proofErr w:type="spellStart"/>
      <w:r>
        <w:rPr>
          <w:rFonts w:ascii="Times New Roman" w:hAnsi="Times New Roman"/>
        </w:rPr>
        <w:t>Durbiano</w:t>
      </w:r>
      <w:proofErr w:type="spellEnd"/>
      <w:r>
        <w:rPr>
          <w:rFonts w:ascii="Times New Roman" w:hAnsi="Times New Roman"/>
        </w:rPr>
        <w:t xml:space="preserve">, A. Derossi, </w:t>
      </w:r>
      <w:r>
        <w:rPr>
          <w:rFonts w:ascii="Times New Roman" w:hAnsi="Times New Roman"/>
          <w:i/>
        </w:rPr>
        <w:t>Torino 1980-2011. La trasformazione e le sue immagini,</w:t>
      </w:r>
      <w:r>
        <w:rPr>
          <w:rFonts w:ascii="Times New Roman" w:hAnsi="Times New Roman"/>
        </w:rPr>
        <w:t xml:space="preserve"> Allemandi, Torino 2006.  </w:t>
      </w:r>
    </w:p>
  </w:footnote>
  <w:footnote w:id="15">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M. Bottero (a cura di), </w:t>
      </w:r>
      <w:r>
        <w:rPr>
          <w:rFonts w:ascii="Times New Roman" w:hAnsi="Times New Roman"/>
          <w:i/>
        </w:rPr>
        <w:t>L’eredità di un grande evento</w:t>
      </w:r>
      <w:r>
        <w:rPr>
          <w:rFonts w:ascii="Times New Roman" w:hAnsi="Times New Roman"/>
        </w:rPr>
        <w:t xml:space="preserve">, </w:t>
      </w:r>
      <w:proofErr w:type="spellStart"/>
      <w:r>
        <w:rPr>
          <w:rFonts w:ascii="Times New Roman" w:hAnsi="Times New Roman"/>
        </w:rPr>
        <w:t>Celid</w:t>
      </w:r>
      <w:proofErr w:type="spellEnd"/>
      <w:r>
        <w:rPr>
          <w:rFonts w:ascii="Times New Roman" w:hAnsi="Times New Roman"/>
        </w:rPr>
        <w:t xml:space="preserve">, Torino 2007. </w:t>
      </w:r>
    </w:p>
  </w:footnote>
  <w:footnote w:id="16">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Tra questi si segnalano il restauro della Venaria Reale e la riqualificazione di Villa della Regina, del Museo Egizio, del Museo dell’Automobile, del Museo di Arte e Ammobigliamento della Palazzina di caccia di Stupinigi.</w:t>
      </w:r>
    </w:p>
  </w:footnote>
  <w:footnote w:id="17">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C. Bianchetti, </w:t>
      </w:r>
      <w:r>
        <w:rPr>
          <w:rFonts w:ascii="Times New Roman" w:hAnsi="Times New Roman"/>
          <w:i/>
        </w:rPr>
        <w:t>Urbanistica e sfera pubblica</w:t>
      </w:r>
      <w:r>
        <w:rPr>
          <w:rFonts w:ascii="Times New Roman" w:hAnsi="Times New Roman"/>
        </w:rPr>
        <w:t>, Donzelli, Roma 2008.</w:t>
      </w:r>
    </w:p>
  </w:footnote>
  <w:footnote w:id="18">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G. </w:t>
      </w:r>
      <w:proofErr w:type="spellStart"/>
      <w:r>
        <w:rPr>
          <w:rFonts w:ascii="Times New Roman" w:hAnsi="Times New Roman"/>
        </w:rPr>
        <w:t>Faraggiana</w:t>
      </w:r>
      <w:proofErr w:type="spellEnd"/>
      <w:r>
        <w:rPr>
          <w:rFonts w:ascii="Times New Roman" w:hAnsi="Times New Roman"/>
        </w:rPr>
        <w:t xml:space="preserve">, </w:t>
      </w:r>
      <w:r>
        <w:rPr>
          <w:rFonts w:ascii="Times New Roman" w:hAnsi="Times New Roman"/>
          <w:i/>
        </w:rPr>
        <w:t>In fondo alle vie di Torino, la città e le alpi</w:t>
      </w:r>
      <w:r>
        <w:rPr>
          <w:rFonts w:ascii="Times New Roman" w:hAnsi="Times New Roman"/>
        </w:rPr>
        <w:t xml:space="preserve">, </w:t>
      </w:r>
      <w:proofErr w:type="spellStart"/>
      <w:r>
        <w:rPr>
          <w:rFonts w:ascii="Times New Roman" w:hAnsi="Times New Roman"/>
        </w:rPr>
        <w:t>Editris</w:t>
      </w:r>
      <w:proofErr w:type="spellEnd"/>
      <w:r>
        <w:rPr>
          <w:rFonts w:ascii="Times New Roman" w:hAnsi="Times New Roman"/>
        </w:rPr>
        <w:t>, Torino 2005.</w:t>
      </w:r>
    </w:p>
  </w:footnote>
  <w:footnote w:id="19">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Per esempio il quartiere dell’ex Mercato Ortofrutticolo Ingrosso di Pietro Derossi e altri, che riesce a dialogare con il contesto e il </w:t>
      </w:r>
      <w:proofErr w:type="spellStart"/>
      <w:r>
        <w:rPr>
          <w:rFonts w:ascii="Times New Roman" w:hAnsi="Times New Roman"/>
        </w:rPr>
        <w:t>Cineporto</w:t>
      </w:r>
      <w:proofErr w:type="spellEnd"/>
      <w:r>
        <w:rPr>
          <w:rFonts w:ascii="Times New Roman" w:hAnsi="Times New Roman"/>
        </w:rPr>
        <w:t xml:space="preserve">, ex Lanificio </w:t>
      </w:r>
      <w:proofErr w:type="spellStart"/>
      <w:r>
        <w:rPr>
          <w:rFonts w:ascii="Times New Roman" w:hAnsi="Times New Roman"/>
        </w:rPr>
        <w:t>Colongo</w:t>
      </w:r>
      <w:proofErr w:type="spellEnd"/>
      <w:r>
        <w:rPr>
          <w:rFonts w:ascii="Times New Roman" w:hAnsi="Times New Roman"/>
        </w:rPr>
        <w:t xml:space="preserve"> dello Studio </w:t>
      </w:r>
      <w:proofErr w:type="spellStart"/>
      <w:r>
        <w:rPr>
          <w:rFonts w:ascii="Times New Roman" w:hAnsi="Times New Roman"/>
        </w:rPr>
        <w:t>Baietto</w:t>
      </w:r>
      <w:proofErr w:type="spellEnd"/>
      <w:r>
        <w:rPr>
          <w:rFonts w:ascii="Times New Roman" w:hAnsi="Times New Roman"/>
        </w:rPr>
        <w:t xml:space="preserve"> Battiato Bianco, corretto recupero di un manufatto industriale. C. </w:t>
      </w:r>
      <w:proofErr w:type="spellStart"/>
      <w:r>
        <w:rPr>
          <w:rFonts w:ascii="Times New Roman" w:hAnsi="Times New Roman"/>
        </w:rPr>
        <w:t>Ronchetta</w:t>
      </w:r>
      <w:proofErr w:type="spellEnd"/>
      <w:r>
        <w:rPr>
          <w:rFonts w:ascii="Times New Roman" w:hAnsi="Times New Roman"/>
        </w:rPr>
        <w:t xml:space="preserve">, M. </w:t>
      </w:r>
      <w:proofErr w:type="spellStart"/>
      <w:r>
        <w:rPr>
          <w:rFonts w:ascii="Times New Roman" w:hAnsi="Times New Roman"/>
        </w:rPr>
        <w:t>Trisciuoglio</w:t>
      </w:r>
      <w:proofErr w:type="spellEnd"/>
      <w:r>
        <w:rPr>
          <w:rFonts w:ascii="Times New Roman" w:hAnsi="Times New Roman"/>
        </w:rPr>
        <w:t xml:space="preserve"> (a cura di), </w:t>
      </w:r>
      <w:r>
        <w:rPr>
          <w:rFonts w:ascii="Times New Roman" w:hAnsi="Times New Roman"/>
          <w:i/>
        </w:rPr>
        <w:t>Progettare per il patrimonio industriale</w:t>
      </w:r>
      <w:r>
        <w:rPr>
          <w:rFonts w:ascii="Times New Roman" w:hAnsi="Times New Roman"/>
        </w:rPr>
        <w:t xml:space="preserve">, </w:t>
      </w:r>
      <w:proofErr w:type="spellStart"/>
      <w:r>
        <w:rPr>
          <w:rFonts w:ascii="Times New Roman" w:hAnsi="Times New Roman"/>
        </w:rPr>
        <w:t>Celid</w:t>
      </w:r>
      <w:proofErr w:type="spellEnd"/>
      <w:r>
        <w:rPr>
          <w:rFonts w:ascii="Times New Roman" w:hAnsi="Times New Roman"/>
        </w:rPr>
        <w:t xml:space="preserve">, Torino 2008; L. </w:t>
      </w:r>
      <w:proofErr w:type="spellStart"/>
      <w:r>
        <w:rPr>
          <w:rFonts w:ascii="Times New Roman" w:hAnsi="Times New Roman"/>
        </w:rPr>
        <w:t>Gibello</w:t>
      </w:r>
      <w:proofErr w:type="spellEnd"/>
      <w:r>
        <w:rPr>
          <w:rFonts w:ascii="Times New Roman" w:hAnsi="Times New Roman"/>
        </w:rPr>
        <w:t xml:space="preserve"> (a cura di), </w:t>
      </w:r>
      <w:proofErr w:type="spellStart"/>
      <w:r>
        <w:rPr>
          <w:rFonts w:ascii="Times New Roman" w:hAnsi="Times New Roman"/>
          <w:i/>
        </w:rPr>
        <w:t>ll</w:t>
      </w:r>
      <w:proofErr w:type="spellEnd"/>
      <w:r>
        <w:rPr>
          <w:rFonts w:ascii="Times New Roman" w:hAnsi="Times New Roman"/>
          <w:i/>
        </w:rPr>
        <w:t xml:space="preserve"> </w:t>
      </w:r>
      <w:proofErr w:type="spellStart"/>
      <w:r>
        <w:rPr>
          <w:rFonts w:ascii="Times New Roman" w:hAnsi="Times New Roman"/>
          <w:i/>
        </w:rPr>
        <w:t>cineporto</w:t>
      </w:r>
      <w:proofErr w:type="spellEnd"/>
      <w:r>
        <w:rPr>
          <w:rFonts w:ascii="Times New Roman" w:hAnsi="Times New Roman"/>
          <w:i/>
        </w:rPr>
        <w:t xml:space="preserve"> della Film </w:t>
      </w:r>
      <w:proofErr w:type="spellStart"/>
      <w:r>
        <w:rPr>
          <w:rFonts w:ascii="Times New Roman" w:hAnsi="Times New Roman"/>
          <w:i/>
        </w:rPr>
        <w:t>Commission</w:t>
      </w:r>
      <w:proofErr w:type="spellEnd"/>
      <w:r>
        <w:rPr>
          <w:rFonts w:ascii="Times New Roman" w:hAnsi="Times New Roman"/>
          <w:i/>
        </w:rPr>
        <w:t xml:space="preserve"> Torino Piemonte</w:t>
      </w:r>
      <w:r>
        <w:rPr>
          <w:rFonts w:ascii="Times New Roman" w:hAnsi="Times New Roman"/>
        </w:rPr>
        <w:t xml:space="preserve">, </w:t>
      </w:r>
      <w:proofErr w:type="spellStart"/>
      <w:r>
        <w:rPr>
          <w:rFonts w:ascii="Times New Roman" w:hAnsi="Times New Roman"/>
        </w:rPr>
        <w:t>Celid</w:t>
      </w:r>
      <w:proofErr w:type="spellEnd"/>
      <w:r>
        <w:rPr>
          <w:rFonts w:ascii="Times New Roman" w:hAnsi="Times New Roman"/>
        </w:rPr>
        <w:t xml:space="preserve">, Torino 2009. </w:t>
      </w:r>
    </w:p>
  </w:footnote>
  <w:footnote w:id="20">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Politecnico di Torino, Dipartimento Casa-città, </w:t>
      </w:r>
      <w:r>
        <w:rPr>
          <w:rFonts w:ascii="Times New Roman" w:hAnsi="Times New Roman"/>
          <w:i/>
        </w:rPr>
        <w:t>Beni culturali ambientali nella citta di Torino</w:t>
      </w:r>
      <w:r>
        <w:rPr>
          <w:rFonts w:ascii="Times New Roman" w:hAnsi="Times New Roman"/>
        </w:rPr>
        <w:t>, Torino 1984.</w:t>
      </w:r>
    </w:p>
  </w:footnote>
  <w:footnote w:id="21">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G. Montanari, </w:t>
      </w:r>
      <w:r>
        <w:rPr>
          <w:rFonts w:ascii="Times New Roman" w:hAnsi="Times New Roman"/>
          <w:i/>
        </w:rPr>
        <w:t>Il più grande sacco dai tempi di Mussolini</w:t>
      </w:r>
      <w:r>
        <w:rPr>
          <w:rFonts w:ascii="Times New Roman" w:hAnsi="Times New Roman"/>
        </w:rPr>
        <w:t>, in “Carta”, n. 8, ottobre 2007, pp. 18-20.</w:t>
      </w:r>
    </w:p>
  </w:footnote>
  <w:footnote w:id="22">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Il dato è di difficile reperimento qui si fa riferimento sia ai censimenti Istat (2001) sia a fonti di agenzia.</w:t>
      </w:r>
    </w:p>
  </w:footnote>
  <w:footnote w:id="23">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Il dato viene dalla Direzione dell’Azienda Territoriale della Casa di Torino.</w:t>
      </w:r>
    </w:p>
  </w:footnote>
  <w:footnote w:id="24">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S. Crivello, L. </w:t>
      </w:r>
      <w:proofErr w:type="spellStart"/>
      <w:r>
        <w:rPr>
          <w:rFonts w:ascii="Times New Roman" w:hAnsi="Times New Roman"/>
        </w:rPr>
        <w:t>Davico</w:t>
      </w:r>
      <w:proofErr w:type="spellEnd"/>
      <w:r>
        <w:rPr>
          <w:rFonts w:ascii="Times New Roman" w:hAnsi="Times New Roman"/>
        </w:rPr>
        <w:t xml:space="preserve"> (a cura di), </w:t>
      </w:r>
      <w:r>
        <w:rPr>
          <w:rFonts w:ascii="Times New Roman" w:hAnsi="Times New Roman"/>
          <w:i/>
        </w:rPr>
        <w:t>Qualità dell’architettura torinese. La parola ai protagonisti</w:t>
      </w:r>
      <w:r>
        <w:rPr>
          <w:rFonts w:ascii="Times New Roman" w:hAnsi="Times New Roman"/>
        </w:rPr>
        <w:t xml:space="preserve">, </w:t>
      </w:r>
      <w:proofErr w:type="spellStart"/>
      <w:r>
        <w:rPr>
          <w:rFonts w:ascii="Times New Roman" w:hAnsi="Times New Roman"/>
        </w:rPr>
        <w:t>Celid</w:t>
      </w:r>
      <w:proofErr w:type="spellEnd"/>
      <w:r>
        <w:rPr>
          <w:rFonts w:ascii="Times New Roman" w:hAnsi="Times New Roman"/>
        </w:rPr>
        <w:t xml:space="preserve"> Torino 2007.</w:t>
      </w:r>
    </w:p>
  </w:footnote>
  <w:footnote w:id="25">
    <w:p>
      <w:pPr>
        <w:pStyle w:val="Testonotaapidipagina"/>
        <w:spacing w:after="0"/>
        <w:rPr>
          <w:rFonts w:ascii="Times New Roman" w:hAnsi="Times New Roman"/>
        </w:rPr>
      </w:pPr>
      <w:r>
        <w:rPr>
          <w:rStyle w:val="Rimandonotaapidipagina"/>
          <w:rFonts w:ascii="Times New Roman" w:hAnsi="Times New Roman"/>
        </w:rPr>
        <w:footnoteRef/>
      </w:r>
      <w:r>
        <w:rPr>
          <w:rFonts w:ascii="Times New Roman" w:hAnsi="Times New Roman"/>
        </w:rPr>
        <w:t xml:space="preserve"> Preoccupazioni in tal senso sono state espresse in numerosi convegni e prese di posizione sia da parte di associazioni dei costruttori, sia di sindacati dei lavoratori del comparto edilizio.</w:t>
      </w:r>
    </w:p>
  </w:footnote>
  <w:footnote w:id="26">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Questa difficoltà ha riscontro nei tanti Comitati di cittadini nati a difesa della qualità urbana e trova testimonianze nei convegni di Italia Nostra, di </w:t>
      </w:r>
      <w:proofErr w:type="spellStart"/>
      <w:r>
        <w:rPr>
          <w:rFonts w:ascii="Times New Roman" w:hAnsi="Times New Roman"/>
        </w:rPr>
        <w:t>Pronatura</w:t>
      </w:r>
      <w:proofErr w:type="spellEnd"/>
      <w:r>
        <w:rPr>
          <w:rFonts w:ascii="Times New Roman" w:hAnsi="Times New Roman"/>
        </w:rPr>
        <w:t>, di “</w:t>
      </w:r>
      <w:proofErr w:type="spellStart"/>
      <w:r>
        <w:rPr>
          <w:rFonts w:ascii="Times New Roman" w:hAnsi="Times New Roman"/>
        </w:rPr>
        <w:t>Cittàbella</w:t>
      </w:r>
      <w:proofErr w:type="spellEnd"/>
      <w:r>
        <w:rPr>
          <w:rFonts w:ascii="Times New Roman" w:hAnsi="Times New Roman"/>
        </w:rPr>
        <w:t xml:space="preserve">” e nei dibattiti organizzati dall’Unione Culturale Franco Antonicelli (2009-2013). </w:t>
      </w:r>
    </w:p>
  </w:footnote>
  <w:footnote w:id="27">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S. </w:t>
      </w:r>
      <w:proofErr w:type="spellStart"/>
      <w:r>
        <w:rPr>
          <w:rFonts w:ascii="Times New Roman" w:hAnsi="Times New Roman"/>
        </w:rPr>
        <w:t>Belligni</w:t>
      </w:r>
      <w:proofErr w:type="spellEnd"/>
      <w:r>
        <w:rPr>
          <w:rFonts w:ascii="Times New Roman" w:hAnsi="Times New Roman"/>
        </w:rPr>
        <w:t xml:space="preserve">, S. </w:t>
      </w:r>
      <w:proofErr w:type="spellStart"/>
      <w:r>
        <w:rPr>
          <w:rFonts w:ascii="Times New Roman" w:hAnsi="Times New Roman"/>
        </w:rPr>
        <w:t>Ravazzi</w:t>
      </w:r>
      <w:proofErr w:type="spellEnd"/>
      <w:r>
        <w:rPr>
          <w:rFonts w:ascii="Times New Roman" w:hAnsi="Times New Roman"/>
        </w:rPr>
        <w:t xml:space="preserve">, R. Salerno, </w:t>
      </w:r>
      <w:r>
        <w:rPr>
          <w:rFonts w:ascii="Times New Roman" w:hAnsi="Times New Roman"/>
          <w:i/>
        </w:rPr>
        <w:t>L’élite che governa Torino</w:t>
      </w:r>
      <w:r>
        <w:rPr>
          <w:rFonts w:ascii="Times New Roman" w:hAnsi="Times New Roman"/>
        </w:rPr>
        <w:t xml:space="preserve">, in “Teoria Politica”, n. 1, Torino 2008. M. </w:t>
      </w:r>
      <w:proofErr w:type="spellStart"/>
      <w:r>
        <w:rPr>
          <w:rFonts w:ascii="Times New Roman" w:hAnsi="Times New Roman"/>
        </w:rPr>
        <w:t>Pagliassotti</w:t>
      </w:r>
      <w:proofErr w:type="spellEnd"/>
      <w:r>
        <w:rPr>
          <w:rFonts w:ascii="Times New Roman" w:hAnsi="Times New Roman"/>
        </w:rPr>
        <w:t xml:space="preserve">, </w:t>
      </w:r>
      <w:r>
        <w:rPr>
          <w:rFonts w:ascii="Times New Roman" w:hAnsi="Times New Roman"/>
          <w:i/>
        </w:rPr>
        <w:t>Chi comanda Torino</w:t>
      </w:r>
      <w:r>
        <w:rPr>
          <w:rFonts w:ascii="Times New Roman" w:hAnsi="Times New Roman"/>
        </w:rPr>
        <w:t xml:space="preserve">, </w:t>
      </w:r>
      <w:proofErr w:type="spellStart"/>
      <w:r>
        <w:rPr>
          <w:rFonts w:ascii="Times New Roman" w:hAnsi="Times New Roman"/>
        </w:rPr>
        <w:t>Castelvecchi</w:t>
      </w:r>
      <w:proofErr w:type="spellEnd"/>
      <w:r>
        <w:rPr>
          <w:rFonts w:ascii="Times New Roman" w:hAnsi="Times New Roman"/>
        </w:rPr>
        <w:t>, Roma 2012</w:t>
      </w:r>
    </w:p>
  </w:footnote>
  <w:footnote w:id="28">
    <w:p>
      <w:pPr>
        <w:pStyle w:val="Testonotaapidipagina"/>
        <w:spacing w:after="0" w:line="240" w:lineRule="auto"/>
        <w:rPr>
          <w:rFonts w:ascii="Times New Roman" w:hAnsi="Times New Roman"/>
        </w:rPr>
      </w:pPr>
      <w:r>
        <w:rPr>
          <w:rStyle w:val="Rimandonotaapidipagina"/>
          <w:rFonts w:ascii="Times New Roman" w:hAnsi="Times New Roman"/>
        </w:rPr>
        <w:footnoteRef/>
      </w:r>
      <w:r>
        <w:rPr>
          <w:rFonts w:ascii="Times New Roman" w:hAnsi="Times New Roman"/>
        </w:rPr>
        <w:t xml:space="preserve"> Le riflessioni di questo articolo sono scaturite anche nell’ampio confronto sviluppato nel tempo con numerosi colleghi ed amici. Per la loro competenza e disponibilità ringrazio, tra altri: Silvano </w:t>
      </w:r>
      <w:proofErr w:type="spellStart"/>
      <w:r>
        <w:rPr>
          <w:rFonts w:ascii="Times New Roman" w:hAnsi="Times New Roman"/>
        </w:rPr>
        <w:t>Belligni</w:t>
      </w:r>
      <w:proofErr w:type="spellEnd"/>
      <w:r>
        <w:rPr>
          <w:rFonts w:ascii="Times New Roman" w:hAnsi="Times New Roman"/>
        </w:rPr>
        <w:t xml:space="preserve">, Paolo </w:t>
      </w:r>
      <w:proofErr w:type="spellStart"/>
      <w:r>
        <w:rPr>
          <w:rFonts w:ascii="Times New Roman" w:hAnsi="Times New Roman"/>
        </w:rPr>
        <w:t>Berdini</w:t>
      </w:r>
      <w:proofErr w:type="spellEnd"/>
      <w:r>
        <w:rPr>
          <w:rFonts w:ascii="Times New Roman" w:hAnsi="Times New Roman"/>
        </w:rPr>
        <w:t xml:space="preserve">, Franco </w:t>
      </w:r>
      <w:proofErr w:type="spellStart"/>
      <w:r>
        <w:rPr>
          <w:rFonts w:ascii="Times New Roman" w:hAnsi="Times New Roman"/>
        </w:rPr>
        <w:t>Berlanda</w:t>
      </w:r>
      <w:proofErr w:type="spellEnd"/>
      <w:r>
        <w:rPr>
          <w:rFonts w:ascii="Times New Roman" w:hAnsi="Times New Roman"/>
        </w:rPr>
        <w:t xml:space="preserve">, Enrico </w:t>
      </w:r>
      <w:proofErr w:type="spellStart"/>
      <w:r>
        <w:rPr>
          <w:rFonts w:ascii="Times New Roman" w:hAnsi="Times New Roman"/>
        </w:rPr>
        <w:t>Bettini</w:t>
      </w:r>
      <w:proofErr w:type="spellEnd"/>
      <w:r>
        <w:rPr>
          <w:rFonts w:ascii="Times New Roman" w:hAnsi="Times New Roman"/>
        </w:rPr>
        <w:t xml:space="preserve">, Fiorenzo </w:t>
      </w:r>
      <w:proofErr w:type="spellStart"/>
      <w:r>
        <w:rPr>
          <w:rFonts w:ascii="Times New Roman" w:hAnsi="Times New Roman"/>
        </w:rPr>
        <w:t>Ferlaino</w:t>
      </w:r>
      <w:proofErr w:type="spellEnd"/>
      <w:r>
        <w:rPr>
          <w:rFonts w:ascii="Times New Roman" w:hAnsi="Times New Roman"/>
        </w:rPr>
        <w:t xml:space="preserve">, Elisabetta Forni, Roberto Gambino, Roberto </w:t>
      </w:r>
      <w:proofErr w:type="spellStart"/>
      <w:r>
        <w:rPr>
          <w:rFonts w:ascii="Times New Roman" w:hAnsi="Times New Roman"/>
        </w:rPr>
        <w:t>Gnavi</w:t>
      </w:r>
      <w:proofErr w:type="spellEnd"/>
      <w:r>
        <w:rPr>
          <w:rFonts w:ascii="Times New Roman" w:hAnsi="Times New Roman"/>
        </w:rPr>
        <w:t xml:space="preserve">, Pier Giorgio Lucco </w:t>
      </w:r>
      <w:proofErr w:type="spellStart"/>
      <w:r>
        <w:rPr>
          <w:rFonts w:ascii="Times New Roman" w:hAnsi="Times New Roman"/>
        </w:rPr>
        <w:t>Borlera</w:t>
      </w:r>
      <w:proofErr w:type="spellEnd"/>
      <w:r>
        <w:rPr>
          <w:rFonts w:ascii="Times New Roman" w:hAnsi="Times New Roman"/>
        </w:rPr>
        <w:t xml:space="preserve">, Claudio </w:t>
      </w:r>
      <w:proofErr w:type="spellStart"/>
      <w:r>
        <w:rPr>
          <w:rFonts w:ascii="Times New Roman" w:hAnsi="Times New Roman"/>
        </w:rPr>
        <w:t>Malacrino</w:t>
      </w:r>
      <w:proofErr w:type="spellEnd"/>
      <w:r>
        <w:rPr>
          <w:rFonts w:ascii="Times New Roman" w:hAnsi="Times New Roman"/>
        </w:rPr>
        <w:t xml:space="preserve">, Agostino Magnaghi, Andreina Milan, Fabio Minucci, Manfredo Montagnana, Raffaele Radicioni, Matteo Robiglio, Maria Teresa </w:t>
      </w:r>
      <w:proofErr w:type="spellStart"/>
      <w:r>
        <w:rPr>
          <w:rFonts w:ascii="Times New Roman" w:hAnsi="Times New Roman"/>
        </w:rPr>
        <w:t>Roli</w:t>
      </w:r>
      <w:proofErr w:type="spellEnd"/>
      <w:r>
        <w:rPr>
          <w:rFonts w:ascii="Times New Roman" w:hAnsi="Times New Roman"/>
        </w:rPr>
        <w:t xml:space="preserve">, Emilio Soave,  Maria Teresa Silvestrini, Antonella </w:t>
      </w:r>
      <w:proofErr w:type="spellStart"/>
      <w:r>
        <w:rPr>
          <w:rFonts w:ascii="Times New Roman" w:hAnsi="Times New Roman"/>
        </w:rPr>
        <w:t>Visentin</w:t>
      </w:r>
      <w:proofErr w:type="spellEnd"/>
      <w:r>
        <w:rPr>
          <w:rFonts w:ascii="Times New Roman" w:hAnsi="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revisionView w:inkAnnotations="0"/>
  <w:doNotTrackMoves/>
  <w:defaultTabStop w:val="708"/>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Pr>
      <w:sz w:val="20"/>
      <w:szCs w:val="20"/>
    </w:rPr>
  </w:style>
  <w:style w:type="character" w:customStyle="1" w:styleId="TestonotaapidipaginaCarattere">
    <w:name w:val="Testo nota a piè di pagina Carattere"/>
    <w:link w:val="Testonotaapidipagina"/>
    <w:uiPriority w:val="99"/>
    <w:semiHidden/>
    <w:rPr>
      <w:lang w:eastAsia="en-US"/>
    </w:rPr>
  </w:style>
  <w:style w:type="character" w:styleId="Rimandonotaapidipagina">
    <w:name w:val="footnote reference"/>
    <w:uiPriority w:val="99"/>
    <w:semiHidden/>
    <w:unhideWhenUse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9C146E-E018-44A4-854B-7460BA9BC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5</Pages>
  <Words>2194</Words>
  <Characters>12857</Characters>
  <Application>Microsoft Office Word</Application>
  <DocSecurity>0</DocSecurity>
  <Lines>169</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Guido</dc:creator>
  <cp:keywords/>
  <dc:description/>
  <cp:lastModifiedBy>Guido</cp:lastModifiedBy>
  <cp:revision>10</cp:revision>
  <cp:lastPrinted>2011-11-29T19:09:00Z</cp:lastPrinted>
  <dcterms:created xsi:type="dcterms:W3CDTF">2013-04-27T16:23:00Z</dcterms:created>
  <dcterms:modified xsi:type="dcterms:W3CDTF">2013-04-28T13:09:00Z</dcterms:modified>
</cp:coreProperties>
</file>