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rPr>
          <w:rFonts w:ascii="Times New Roman" w:hAnsi="Times New Roman" w:cs="Times New Roman"/>
          <w:sz w:val="24"/>
          <w:szCs w:val="24"/>
        </w:rPr>
      </w:pPr>
      <w:r>
        <w:rPr>
          <w:rFonts w:ascii="Times New Roman" w:hAnsi="Times New Roman" w:cs="Times New Roman"/>
          <w:sz w:val="24"/>
          <w:szCs w:val="24"/>
        </w:rPr>
        <w:t xml:space="preserve">Guido Montanari </w:t>
      </w:r>
    </w:p>
    <w:p>
      <w:pPr>
        <w:rPr>
          <w:rFonts w:ascii="Times New Roman" w:hAnsi="Times New Roman" w:cs="Times New Roman"/>
          <w:b/>
          <w:i/>
          <w:sz w:val="24"/>
          <w:szCs w:val="24"/>
        </w:rPr>
      </w:pPr>
      <w:r>
        <w:rPr>
          <w:rFonts w:ascii="Times New Roman" w:hAnsi="Times New Roman" w:cs="Times New Roman"/>
          <w:b/>
          <w:i/>
          <w:sz w:val="24"/>
          <w:szCs w:val="24"/>
        </w:rPr>
        <w:t>La ricostruzione postbellica attraverso la mostra di architettura piemontese (1944-1954)</w:t>
      </w:r>
    </w:p>
    <w:p>
      <w:pPr>
        <w:rPr>
          <w:rFonts w:ascii="Times New Roman" w:hAnsi="Times New Roman" w:cs="Times New Roman"/>
          <w:sz w:val="24"/>
          <w:szCs w:val="24"/>
        </w:rPr>
      </w:pPr>
      <w:r>
        <w:rPr>
          <w:rFonts w:ascii="Times New Roman" w:hAnsi="Times New Roman" w:cs="Times New Roman"/>
          <w:sz w:val="24"/>
          <w:szCs w:val="24"/>
        </w:rPr>
        <w:t xml:space="preserve">Il 12 giugno 1954 alla presenza dell’onorevole Giuseppe Pella viene inaugurata presso la Galleria d’Arte del giornale torinese “La Gazzetta del Popolo”,  la </w:t>
      </w:r>
      <w:r>
        <w:rPr>
          <w:rFonts w:ascii="Times New Roman" w:hAnsi="Times New Roman" w:cs="Times New Roman"/>
          <w:i/>
          <w:sz w:val="24"/>
          <w:szCs w:val="24"/>
        </w:rPr>
        <w:t xml:space="preserve">Mostra di architettura piemontese 1944-1954, </w:t>
      </w:r>
      <w:r>
        <w:rPr>
          <w:rFonts w:ascii="Times New Roman" w:hAnsi="Times New Roman" w:cs="Times New Roman"/>
          <w:sz w:val="24"/>
          <w:szCs w:val="24"/>
        </w:rPr>
        <w:t>organizzata dal Gruppo Architetti della Società degli Ingegneri e degli Architetti di Torino (SIAT)</w:t>
      </w:r>
      <w:r>
        <w:rPr>
          <w:rStyle w:val="Rimandonotaapidipagina"/>
          <w:rFonts w:ascii="Times New Roman" w:hAnsi="Times New Roman" w:cs="Times New Roman"/>
          <w:sz w:val="24"/>
          <w:szCs w:val="24"/>
        </w:rPr>
        <w:footnoteReference w:id="1"/>
      </w:r>
      <w:r>
        <w:rPr>
          <w:rFonts w:ascii="Times New Roman" w:hAnsi="Times New Roman" w:cs="Times New Roman"/>
          <w:sz w:val="24"/>
          <w:szCs w:val="24"/>
        </w:rPr>
        <w:t xml:space="preserve">. Nella breve introduzione al catalogo Nicola Mosso, curatore della mostra in collaborazione con Umberto </w:t>
      </w:r>
      <w:proofErr w:type="spellStart"/>
      <w:r>
        <w:rPr>
          <w:rFonts w:ascii="Times New Roman" w:hAnsi="Times New Roman" w:cs="Times New Roman"/>
          <w:sz w:val="24"/>
          <w:szCs w:val="24"/>
        </w:rPr>
        <w:t>Cuzzi</w:t>
      </w:r>
      <w:proofErr w:type="spellEnd"/>
      <w:r>
        <w:rPr>
          <w:rFonts w:ascii="Times New Roman" w:hAnsi="Times New Roman" w:cs="Times New Roman"/>
          <w:sz w:val="24"/>
          <w:szCs w:val="24"/>
        </w:rPr>
        <w:t xml:space="preserve">, Carlo Mollino e Gino Levi Montalcini,  spiega le finalità dell’iniziativa sottolineando la volontà da parte degli architetti di </w:t>
      </w:r>
      <w:r>
        <w:rPr>
          <w:rFonts w:ascii="Times New Roman" w:hAnsi="Times New Roman" w:cs="Times New Roman"/>
          <w:i/>
          <w:sz w:val="24"/>
          <w:szCs w:val="24"/>
        </w:rPr>
        <w:t>presentare un panorama, per quanto possibile completo, della situazione architettonica regionale”</w:t>
      </w:r>
      <w:r>
        <w:rPr>
          <w:rStyle w:val="Rimandonotaapidipagina"/>
          <w:rFonts w:ascii="Times New Roman" w:hAnsi="Times New Roman" w:cs="Times New Roman"/>
          <w:i/>
          <w:sz w:val="24"/>
          <w:szCs w:val="24"/>
        </w:rPr>
        <w:footnoteReference w:id="2"/>
      </w:r>
      <w:r>
        <w:rPr>
          <w:rFonts w:ascii="Times New Roman" w:hAnsi="Times New Roman" w:cs="Times New Roman"/>
          <w:sz w:val="24"/>
          <w:szCs w:val="24"/>
        </w:rPr>
        <w:t xml:space="preserve"> nel decennio dell’immediato dopoguerra. Scartata l’ipotesi di una mostra nazionale ad inviti che avrebbe costretto alla selezione di poche opere particolarmente significative, il gruppo promotore decide infatti di dare conto dell’attività degli architetti piemontesi con una mostra a scala locale che “</w:t>
      </w:r>
      <w:r>
        <w:rPr>
          <w:rFonts w:ascii="Times New Roman" w:hAnsi="Times New Roman" w:cs="Times New Roman"/>
          <w:i/>
          <w:sz w:val="24"/>
          <w:szCs w:val="24"/>
        </w:rPr>
        <w:t>permettesse una più generale partecipazione degli espositori</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3"/>
      </w:r>
      <w:r>
        <w:rPr>
          <w:rFonts w:ascii="Times New Roman" w:hAnsi="Times New Roman" w:cs="Times New Roman"/>
          <w:sz w:val="24"/>
          <w:szCs w:val="24"/>
        </w:rPr>
        <w:t>.</w:t>
      </w:r>
    </w:p>
    <w:p>
      <w:pPr>
        <w:rPr>
          <w:rFonts w:ascii="Times New Roman" w:hAnsi="Times New Roman" w:cs="Times New Roman"/>
          <w:sz w:val="24"/>
          <w:szCs w:val="24"/>
        </w:rPr>
      </w:pPr>
      <w:r>
        <w:rPr>
          <w:rFonts w:ascii="Times New Roman" w:hAnsi="Times New Roman" w:cs="Times New Roman"/>
          <w:sz w:val="24"/>
          <w:szCs w:val="24"/>
        </w:rPr>
        <w:t>La Mostra raccoglie opere realizzate in Piemonte da architetti e ingegneri italiani, nonché opere costruite altrove da professionisti piemontesi, nel decennio 1944-1954. Sono illustrate con foto e con disegni di progetto più di cento architetture e altre circa 360 (tra cui progetti e concorsi) sono citate, restituendo una visione a tappeto di più di ottanta gruppi di progettazione, comprendenti circa 120 professionisti</w:t>
      </w:r>
      <w:r>
        <w:rPr>
          <w:rStyle w:val="Rimandonotaapidipagina"/>
          <w:rFonts w:ascii="Times New Roman" w:hAnsi="Times New Roman" w:cs="Times New Roman"/>
          <w:sz w:val="24"/>
          <w:szCs w:val="24"/>
        </w:rPr>
        <w:footnoteReference w:id="4"/>
      </w:r>
      <w:r>
        <w:rPr>
          <w:rFonts w:ascii="Times New Roman" w:hAnsi="Times New Roman" w:cs="Times New Roman"/>
          <w:sz w:val="24"/>
          <w:szCs w:val="24"/>
        </w:rPr>
        <w:t>.</w:t>
      </w:r>
    </w:p>
    <w:p>
      <w:pPr>
        <w:rPr>
          <w:rFonts w:ascii="Times New Roman" w:hAnsi="Times New Roman" w:cs="Times New Roman"/>
          <w:sz w:val="24"/>
          <w:szCs w:val="24"/>
        </w:rPr>
      </w:pPr>
      <w:r>
        <w:rPr>
          <w:rFonts w:ascii="Times New Roman" w:hAnsi="Times New Roman" w:cs="Times New Roman"/>
          <w:sz w:val="24"/>
          <w:szCs w:val="24"/>
        </w:rPr>
        <w:t>Sfogliando le pagine del catalogo</w:t>
      </w:r>
      <w:r>
        <w:rPr>
          <w:rStyle w:val="Rimandonotaapidipagina"/>
          <w:rFonts w:ascii="Times New Roman" w:hAnsi="Times New Roman" w:cs="Times New Roman"/>
          <w:sz w:val="24"/>
          <w:szCs w:val="24"/>
        </w:rPr>
        <w:footnoteReference w:id="5"/>
      </w:r>
      <w:r>
        <w:rPr>
          <w:rFonts w:ascii="Times New Roman" w:hAnsi="Times New Roman" w:cs="Times New Roman"/>
          <w:sz w:val="24"/>
          <w:szCs w:val="24"/>
        </w:rPr>
        <w:t xml:space="preserve"> e guardando le foto degli allestimenti</w:t>
      </w:r>
      <w:r>
        <w:rPr>
          <w:rStyle w:val="Rimandonotaapidipagina"/>
          <w:rFonts w:ascii="Times New Roman" w:hAnsi="Times New Roman" w:cs="Times New Roman"/>
          <w:sz w:val="24"/>
          <w:szCs w:val="24"/>
        </w:rPr>
        <w:footnoteReference w:id="6"/>
      </w:r>
      <w:r>
        <w:rPr>
          <w:rFonts w:ascii="Times New Roman" w:hAnsi="Times New Roman" w:cs="Times New Roman"/>
          <w:sz w:val="24"/>
          <w:szCs w:val="24"/>
        </w:rPr>
        <w:t xml:space="preserve"> emerge una radiografia inedita de</w:t>
      </w:r>
      <w:r>
        <w:rPr>
          <w:rFonts w:ascii="Times New Roman" w:hAnsi="Times New Roman" w:cs="Times New Roman"/>
          <w:sz w:val="24"/>
          <w:szCs w:val="24"/>
        </w:rPr>
        <w:t xml:space="preserve">ll’architettura in Piemonte </w:t>
      </w:r>
      <w:r>
        <w:rPr>
          <w:rFonts w:ascii="Times New Roman" w:hAnsi="Times New Roman" w:cs="Times New Roman"/>
          <w:sz w:val="24"/>
          <w:szCs w:val="24"/>
        </w:rPr>
        <w:t>e a Torino</w:t>
      </w:r>
      <w:r>
        <w:rPr>
          <w:rStyle w:val="Rimandonotaapidipagina"/>
          <w:rFonts w:ascii="Times New Roman" w:hAnsi="Times New Roman" w:cs="Times New Roman"/>
          <w:sz w:val="24"/>
          <w:szCs w:val="24"/>
        </w:rPr>
        <w:footnoteReference w:id="7"/>
      </w:r>
      <w:r>
        <w:rPr>
          <w:rFonts w:ascii="Times New Roman" w:hAnsi="Times New Roman" w:cs="Times New Roman"/>
          <w:sz w:val="24"/>
          <w:szCs w:val="24"/>
        </w:rPr>
        <w:t xml:space="preserve"> al tempo della ricostruzione del secondo dopo guerra che può essere collocata sullo sfondo di un dibattito complesso a livello nazionale e internazionale. </w:t>
      </w:r>
    </w:p>
    <w:p>
      <w:pPr>
        <w:rPr>
          <w:rFonts w:ascii="Times New Roman" w:hAnsi="Times New Roman" w:cs="Times New Roman"/>
          <w:sz w:val="24"/>
          <w:szCs w:val="24"/>
        </w:rPr>
      </w:pPr>
      <w:r>
        <w:rPr>
          <w:rFonts w:ascii="Times New Roman" w:hAnsi="Times New Roman" w:cs="Times New Roman"/>
          <w:sz w:val="24"/>
          <w:szCs w:val="24"/>
        </w:rPr>
        <w:t xml:space="preserve">Una prima considerazione è relativa alla notevole presenza di opere di edilizia convenzionata, soprattutto  realizzate nell’ambito del primo settennio del Piano INA - Casa (1949-1956). Tra gli interventi più significativi sono segnalati il quartiere della </w:t>
      </w:r>
      <w:proofErr w:type="spellStart"/>
      <w:r>
        <w:rPr>
          <w:rFonts w:ascii="Times New Roman" w:hAnsi="Times New Roman" w:cs="Times New Roman"/>
          <w:sz w:val="24"/>
          <w:szCs w:val="24"/>
        </w:rPr>
        <w:t>Falchera</w:t>
      </w:r>
      <w:proofErr w:type="spellEnd"/>
      <w:r>
        <w:rPr>
          <w:rFonts w:ascii="Times New Roman" w:hAnsi="Times New Roman" w:cs="Times New Roman"/>
          <w:sz w:val="24"/>
          <w:szCs w:val="24"/>
        </w:rPr>
        <w:t xml:space="preserve"> di Giovanni Astengo</w:t>
      </w:r>
      <w:r>
        <w:rPr>
          <w:rStyle w:val="Rimandonotaapidipagina"/>
          <w:rFonts w:ascii="Times New Roman" w:hAnsi="Times New Roman" w:cs="Times New Roman"/>
          <w:sz w:val="24"/>
          <w:szCs w:val="24"/>
        </w:rPr>
        <w:footnoteReference w:id="8"/>
      </w:r>
      <w:r>
        <w:rPr>
          <w:rFonts w:ascii="Times New Roman" w:hAnsi="Times New Roman" w:cs="Times New Roman"/>
          <w:sz w:val="24"/>
          <w:szCs w:val="24"/>
        </w:rPr>
        <w:t xml:space="preserve"> e quello di Regio Parco di Franco </w:t>
      </w:r>
      <w:proofErr w:type="spellStart"/>
      <w:r>
        <w:rPr>
          <w:rFonts w:ascii="Times New Roman" w:hAnsi="Times New Roman" w:cs="Times New Roman"/>
          <w:sz w:val="24"/>
          <w:szCs w:val="24"/>
        </w:rPr>
        <w:t>Berlanda</w:t>
      </w:r>
      <w:proofErr w:type="spellEnd"/>
      <w:r>
        <w:rPr>
          <w:rFonts w:ascii="Times New Roman" w:hAnsi="Times New Roman" w:cs="Times New Roman"/>
          <w:sz w:val="24"/>
          <w:szCs w:val="24"/>
        </w:rPr>
        <w:t xml:space="preserve"> a Torino, ma anche numerosi altri quartieri realizzati nei comuni della cintura, tra cui Borgaro, Chieri, </w:t>
      </w:r>
      <w:proofErr w:type="spellStart"/>
      <w:r>
        <w:rPr>
          <w:rFonts w:ascii="Times New Roman" w:hAnsi="Times New Roman" w:cs="Times New Roman"/>
          <w:sz w:val="24"/>
          <w:szCs w:val="24"/>
        </w:rPr>
        <w:t>Leyni</w:t>
      </w:r>
      <w:proofErr w:type="spellEnd"/>
      <w:r>
        <w:rPr>
          <w:rFonts w:ascii="Times New Roman" w:hAnsi="Times New Roman" w:cs="Times New Roman"/>
          <w:sz w:val="24"/>
          <w:szCs w:val="24"/>
        </w:rPr>
        <w:t xml:space="preserve">, Moncalieri, Settimo Torinese, San Mauro, Pinerolo, Trofarello, e anche ad Alessandria e a Saluzzo. Anche l’Istituto Case Popolari è citato come autore di una serie di interventi di case economiche. Tra queste opere a forte contenuto sociale si trovano in mostra anche alcuni progetti promossi da imprenditori illuminati, come la casa per impiegati </w:t>
      </w:r>
      <w:r>
        <w:rPr>
          <w:rFonts w:ascii="Times New Roman" w:hAnsi="Times New Roman" w:cs="Times New Roman"/>
          <w:sz w:val="24"/>
          <w:szCs w:val="24"/>
        </w:rPr>
        <w:lastRenderedPageBreak/>
        <w:t xml:space="preserve">Borsalino di Alessandria di Ignazio </w:t>
      </w:r>
      <w:proofErr w:type="spellStart"/>
      <w:r>
        <w:rPr>
          <w:rFonts w:ascii="Times New Roman" w:hAnsi="Times New Roman" w:cs="Times New Roman"/>
          <w:sz w:val="24"/>
          <w:szCs w:val="24"/>
        </w:rPr>
        <w:t>Gardella</w:t>
      </w:r>
      <w:proofErr w:type="spellEnd"/>
      <w:r>
        <w:rPr>
          <w:rFonts w:ascii="Times New Roman" w:hAnsi="Times New Roman" w:cs="Times New Roman"/>
          <w:sz w:val="24"/>
          <w:szCs w:val="24"/>
        </w:rPr>
        <w:t xml:space="preserve"> e le case per impiegati e dirigenti della Olivetti, nel quartiere Canton </w:t>
      </w:r>
      <w:proofErr w:type="spellStart"/>
      <w:r>
        <w:rPr>
          <w:rFonts w:ascii="Times New Roman" w:hAnsi="Times New Roman" w:cs="Times New Roman"/>
          <w:sz w:val="24"/>
          <w:szCs w:val="24"/>
        </w:rPr>
        <w:t>Vesco</w:t>
      </w:r>
      <w:proofErr w:type="spellEnd"/>
      <w:r>
        <w:rPr>
          <w:rFonts w:ascii="Times New Roman" w:hAnsi="Times New Roman" w:cs="Times New Roman"/>
          <w:sz w:val="24"/>
          <w:szCs w:val="24"/>
        </w:rPr>
        <w:t xml:space="preserve"> a Ivrea di Annibale Fiocchi e Marcello </w:t>
      </w:r>
      <w:proofErr w:type="spellStart"/>
      <w:r>
        <w:rPr>
          <w:rFonts w:ascii="Times New Roman" w:hAnsi="Times New Roman" w:cs="Times New Roman"/>
          <w:sz w:val="24"/>
          <w:szCs w:val="24"/>
        </w:rPr>
        <w:t>Nizzoli</w:t>
      </w:r>
      <w:proofErr w:type="spellEnd"/>
      <w:r>
        <w:rPr>
          <w:rFonts w:ascii="Times New Roman" w:hAnsi="Times New Roman" w:cs="Times New Roman"/>
          <w:sz w:val="24"/>
          <w:szCs w:val="24"/>
        </w:rPr>
        <w:t xml:space="preserve">. </w:t>
      </w:r>
    </w:p>
    <w:p>
      <w:pPr>
        <w:rPr>
          <w:rFonts w:ascii="Times New Roman" w:hAnsi="Times New Roman" w:cs="Times New Roman"/>
          <w:sz w:val="24"/>
          <w:szCs w:val="24"/>
        </w:rPr>
      </w:pPr>
      <w:r>
        <w:rPr>
          <w:rFonts w:ascii="Times New Roman" w:hAnsi="Times New Roman" w:cs="Times New Roman"/>
          <w:sz w:val="24"/>
          <w:szCs w:val="24"/>
        </w:rPr>
        <w:t xml:space="preserve">Tra le architetture per la residenza vi sono numerosi condomini realizzati a Torino al tempo dei piani di ricostruzione, tipici della fase di sviluppo quantitativo della città, con esempi che presentano una alta mediazione tra intenti speculativi e attenzione al buon costruire. Tra altre si segnalano le opere di  Sauro Adorno, Felice Bardelli, Umberto </w:t>
      </w:r>
      <w:proofErr w:type="spellStart"/>
      <w:r>
        <w:rPr>
          <w:rFonts w:ascii="Times New Roman" w:hAnsi="Times New Roman" w:cs="Times New Roman"/>
          <w:sz w:val="24"/>
          <w:szCs w:val="24"/>
        </w:rPr>
        <w:t>Cuzzi</w:t>
      </w:r>
      <w:proofErr w:type="spellEnd"/>
      <w:r>
        <w:rPr>
          <w:rFonts w:ascii="Times New Roman" w:hAnsi="Times New Roman" w:cs="Times New Roman"/>
          <w:sz w:val="24"/>
          <w:szCs w:val="24"/>
        </w:rPr>
        <w:t xml:space="preserve">, Franco </w:t>
      </w:r>
      <w:proofErr w:type="spellStart"/>
      <w:r>
        <w:rPr>
          <w:rFonts w:ascii="Times New Roman" w:hAnsi="Times New Roman" w:cs="Times New Roman"/>
          <w:sz w:val="24"/>
          <w:szCs w:val="24"/>
        </w:rPr>
        <w:t>Dolza</w:t>
      </w:r>
      <w:proofErr w:type="spellEnd"/>
      <w:r>
        <w:rPr>
          <w:rFonts w:ascii="Times New Roman" w:hAnsi="Times New Roman" w:cs="Times New Roman"/>
          <w:sz w:val="24"/>
          <w:szCs w:val="24"/>
        </w:rPr>
        <w:t xml:space="preserve">, Gino Levi-Montalcini, Domenico Morelli e Mario Roggero. Tra le architetture destinate ad una committenza di alto livello sono esposte le ville di Ottorino Aloisio (via Petrarca a Torino), Albino </w:t>
      </w:r>
      <w:proofErr w:type="spellStart"/>
      <w:r>
        <w:rPr>
          <w:rFonts w:ascii="Times New Roman" w:hAnsi="Times New Roman" w:cs="Times New Roman"/>
          <w:sz w:val="24"/>
          <w:szCs w:val="24"/>
        </w:rPr>
        <w:t>Arnaudo</w:t>
      </w:r>
      <w:proofErr w:type="spellEnd"/>
      <w:r>
        <w:rPr>
          <w:rFonts w:ascii="Times New Roman" w:hAnsi="Times New Roman" w:cs="Times New Roman"/>
          <w:sz w:val="24"/>
          <w:szCs w:val="24"/>
        </w:rPr>
        <w:t xml:space="preserve"> (villa Giusta a Cuneo),  di Luciana </w:t>
      </w:r>
      <w:proofErr w:type="spellStart"/>
      <w:r>
        <w:rPr>
          <w:rFonts w:ascii="Times New Roman" w:hAnsi="Times New Roman" w:cs="Times New Roman"/>
          <w:sz w:val="24"/>
          <w:szCs w:val="24"/>
        </w:rPr>
        <w:t>Rabezzana</w:t>
      </w:r>
      <w:proofErr w:type="spellEnd"/>
      <w:r>
        <w:rPr>
          <w:rFonts w:ascii="Times New Roman" w:hAnsi="Times New Roman" w:cs="Times New Roman"/>
          <w:sz w:val="24"/>
          <w:szCs w:val="24"/>
        </w:rPr>
        <w:t xml:space="preserve"> (villa ad Asti), Carlo Bordogna e Paolo Ceresa (entrambi autori di ville a Bardonecchia), Giuseppe Calosso, Gualtiero Casalegno, Franco </w:t>
      </w:r>
      <w:proofErr w:type="spellStart"/>
      <w:r>
        <w:rPr>
          <w:rFonts w:ascii="Times New Roman" w:hAnsi="Times New Roman" w:cs="Times New Roman"/>
          <w:sz w:val="24"/>
          <w:szCs w:val="24"/>
        </w:rPr>
        <w:t>Nelva</w:t>
      </w:r>
      <w:proofErr w:type="spellEnd"/>
      <w:r>
        <w:rPr>
          <w:rFonts w:ascii="Times New Roman" w:hAnsi="Times New Roman" w:cs="Times New Roman"/>
          <w:sz w:val="24"/>
          <w:szCs w:val="24"/>
        </w:rPr>
        <w:t>, Mario Passanti (autori di ville sulla collina Torinese).</w:t>
      </w:r>
    </w:p>
    <w:p>
      <w:pPr>
        <w:rPr>
          <w:rFonts w:ascii="Times New Roman" w:hAnsi="Times New Roman" w:cs="Times New Roman"/>
          <w:sz w:val="24"/>
          <w:szCs w:val="24"/>
        </w:rPr>
      </w:pPr>
      <w:r>
        <w:rPr>
          <w:rFonts w:ascii="Times New Roman" w:hAnsi="Times New Roman" w:cs="Times New Roman"/>
          <w:sz w:val="24"/>
          <w:szCs w:val="24"/>
        </w:rPr>
        <w:t xml:space="preserve">Risulta anche significativa la presenza di numerose opere per l’industria, tra cui lo Stabilimento Baratti &amp; Milano a Torino di Almerio Cattanea, la filiale Lancia di Napoli di Nino </w:t>
      </w:r>
      <w:proofErr w:type="spellStart"/>
      <w:r>
        <w:rPr>
          <w:rFonts w:ascii="Times New Roman" w:hAnsi="Times New Roman" w:cs="Times New Roman"/>
          <w:sz w:val="24"/>
          <w:szCs w:val="24"/>
        </w:rPr>
        <w:t>Rosani</w:t>
      </w:r>
      <w:proofErr w:type="spellEnd"/>
      <w:r>
        <w:rPr>
          <w:rFonts w:ascii="Times New Roman" w:hAnsi="Times New Roman" w:cs="Times New Roman"/>
          <w:sz w:val="24"/>
          <w:szCs w:val="24"/>
        </w:rPr>
        <w:t xml:space="preserve">, lo stabilimento industriale di Ciriè di Massimo Lusso, la manifattura tessile di Moncalieri di Mario Passanti e Paolo </w:t>
      </w:r>
      <w:proofErr w:type="spellStart"/>
      <w:r>
        <w:rPr>
          <w:rFonts w:ascii="Times New Roman" w:hAnsi="Times New Roman" w:cs="Times New Roman"/>
          <w:sz w:val="24"/>
          <w:szCs w:val="24"/>
        </w:rPr>
        <w:t>Perona</w:t>
      </w:r>
      <w:proofErr w:type="spellEnd"/>
      <w:r>
        <w:rPr>
          <w:rFonts w:ascii="Times New Roman" w:hAnsi="Times New Roman" w:cs="Times New Roman"/>
          <w:sz w:val="24"/>
          <w:szCs w:val="24"/>
        </w:rPr>
        <w:t xml:space="preserve">, la fabbrica di ceramica a Vietri sul Mare di Paolo </w:t>
      </w:r>
      <w:proofErr w:type="spellStart"/>
      <w:r>
        <w:rPr>
          <w:rFonts w:ascii="Times New Roman" w:hAnsi="Times New Roman" w:cs="Times New Roman"/>
          <w:sz w:val="24"/>
          <w:szCs w:val="24"/>
        </w:rPr>
        <w:t>Soleri</w:t>
      </w:r>
      <w:proofErr w:type="spellEnd"/>
      <w:r>
        <w:rPr>
          <w:rFonts w:ascii="Times New Roman" w:hAnsi="Times New Roman" w:cs="Times New Roman"/>
          <w:sz w:val="24"/>
          <w:szCs w:val="24"/>
        </w:rPr>
        <w:t xml:space="preserve"> e Francesco </w:t>
      </w:r>
      <w:proofErr w:type="spellStart"/>
      <w:r>
        <w:rPr>
          <w:rFonts w:ascii="Times New Roman" w:hAnsi="Times New Roman" w:cs="Times New Roman"/>
          <w:sz w:val="24"/>
          <w:szCs w:val="24"/>
        </w:rPr>
        <w:t>Immormino</w:t>
      </w:r>
      <w:proofErr w:type="spellEnd"/>
      <w:r>
        <w:rPr>
          <w:rFonts w:ascii="Times New Roman" w:hAnsi="Times New Roman" w:cs="Times New Roman"/>
          <w:sz w:val="24"/>
          <w:szCs w:val="24"/>
        </w:rPr>
        <w:t xml:space="preserve">, la </w:t>
      </w:r>
      <w:proofErr w:type="spellStart"/>
      <w:r>
        <w:rPr>
          <w:rFonts w:ascii="Times New Roman" w:hAnsi="Times New Roman" w:cs="Times New Roman"/>
          <w:sz w:val="24"/>
          <w:szCs w:val="24"/>
        </w:rPr>
        <w:t>cementeria</w:t>
      </w:r>
      <w:proofErr w:type="spellEnd"/>
      <w:r>
        <w:rPr>
          <w:rFonts w:ascii="Times New Roman" w:hAnsi="Times New Roman" w:cs="Times New Roman"/>
          <w:sz w:val="24"/>
          <w:szCs w:val="24"/>
        </w:rPr>
        <w:t xml:space="preserve"> SAICE a Lugagnano (Piacenza) di Giuseppe </w:t>
      </w:r>
      <w:proofErr w:type="spellStart"/>
      <w:r>
        <w:rPr>
          <w:rFonts w:ascii="Times New Roman" w:hAnsi="Times New Roman" w:cs="Times New Roman"/>
          <w:sz w:val="24"/>
          <w:szCs w:val="24"/>
        </w:rPr>
        <w:t>Trinchero</w:t>
      </w:r>
      <w:proofErr w:type="spellEnd"/>
      <w:r>
        <w:rPr>
          <w:rFonts w:ascii="Times New Roman" w:hAnsi="Times New Roman" w:cs="Times New Roman"/>
          <w:sz w:val="24"/>
          <w:szCs w:val="24"/>
        </w:rPr>
        <w:t xml:space="preserve">, lo stabilimento Pirelli di Settimo Torinese di Giuseppe </w:t>
      </w:r>
      <w:proofErr w:type="spellStart"/>
      <w:r>
        <w:rPr>
          <w:rFonts w:ascii="Times New Roman" w:hAnsi="Times New Roman" w:cs="Times New Roman"/>
          <w:sz w:val="24"/>
          <w:szCs w:val="24"/>
        </w:rPr>
        <w:t>Voltolina</w:t>
      </w:r>
      <w:proofErr w:type="spellEnd"/>
      <w:r>
        <w:rPr>
          <w:rFonts w:ascii="Times New Roman" w:hAnsi="Times New Roman" w:cs="Times New Roman"/>
          <w:sz w:val="24"/>
          <w:szCs w:val="24"/>
        </w:rPr>
        <w:t xml:space="preserve">, la Nuova officina materiale mobile delle Tranvie municipali di via Daniele Manin a Torino di Pier Luigi Nervi e gli impianti di produzione idroelettrica della AEM al lago </w:t>
      </w:r>
      <w:proofErr w:type="spellStart"/>
      <w:r>
        <w:rPr>
          <w:rFonts w:ascii="Times New Roman" w:hAnsi="Times New Roman" w:cs="Times New Roman"/>
          <w:sz w:val="24"/>
          <w:szCs w:val="24"/>
        </w:rPr>
        <w:t>Serrù</w:t>
      </w:r>
      <w:proofErr w:type="spellEnd"/>
      <w:r>
        <w:rPr>
          <w:rFonts w:ascii="Times New Roman" w:hAnsi="Times New Roman" w:cs="Times New Roman"/>
          <w:sz w:val="24"/>
          <w:szCs w:val="24"/>
        </w:rPr>
        <w:t xml:space="preserve"> e quelli della SIP a </w:t>
      </w:r>
      <w:proofErr w:type="spellStart"/>
      <w:r>
        <w:rPr>
          <w:rFonts w:ascii="Times New Roman" w:hAnsi="Times New Roman" w:cs="Times New Roman"/>
          <w:sz w:val="24"/>
          <w:szCs w:val="24"/>
        </w:rPr>
        <w:t>Pontei</w:t>
      </w:r>
      <w:proofErr w:type="spellEnd"/>
      <w:r>
        <w:rPr>
          <w:rFonts w:ascii="Times New Roman" w:hAnsi="Times New Roman" w:cs="Times New Roman"/>
          <w:sz w:val="24"/>
          <w:szCs w:val="24"/>
        </w:rPr>
        <w:t xml:space="preserve">, progettati di Giulio Gentile. Una segnalazione a parte merita il notevole elenco di opere per la produzione di autoveicoli realizzate dall’Ufficio Tecnico della Fiat, Sezione costruzioni e impianti (diretto da Vittorio </w:t>
      </w:r>
      <w:proofErr w:type="spellStart"/>
      <w:r>
        <w:rPr>
          <w:rFonts w:ascii="Times New Roman" w:hAnsi="Times New Roman" w:cs="Times New Roman"/>
          <w:sz w:val="24"/>
          <w:szCs w:val="24"/>
        </w:rPr>
        <w:t>Bonadè</w:t>
      </w:r>
      <w:proofErr w:type="spellEnd"/>
      <w:r>
        <w:rPr>
          <w:rFonts w:ascii="Times New Roman" w:hAnsi="Times New Roman" w:cs="Times New Roman"/>
          <w:sz w:val="24"/>
          <w:szCs w:val="24"/>
        </w:rPr>
        <w:t xml:space="preserve"> Bottino). L’ufficio è autore anche di importanti infrastrutture viarie tra cui è citato in mostra il viadotto Ceva-Savona, in cemento armato precompresso. Altro esempio di imponente uso del cemento armato è il ponte sul Po della strada Carignano - Villastellone di Eugenio </w:t>
      </w:r>
      <w:proofErr w:type="spellStart"/>
      <w:r>
        <w:rPr>
          <w:rFonts w:ascii="Times New Roman" w:hAnsi="Times New Roman" w:cs="Times New Roman"/>
          <w:sz w:val="24"/>
          <w:szCs w:val="24"/>
        </w:rPr>
        <w:t>Norzi</w:t>
      </w:r>
      <w:proofErr w:type="spellEnd"/>
      <w:r>
        <w:rPr>
          <w:rFonts w:ascii="Times New Roman" w:hAnsi="Times New Roman" w:cs="Times New Roman"/>
          <w:sz w:val="24"/>
          <w:szCs w:val="24"/>
        </w:rPr>
        <w:t xml:space="preserve">.  </w:t>
      </w:r>
    </w:p>
    <w:p>
      <w:pPr>
        <w:rPr>
          <w:rFonts w:ascii="Times New Roman" w:hAnsi="Times New Roman" w:cs="Times New Roman"/>
          <w:sz w:val="24"/>
          <w:szCs w:val="24"/>
        </w:rPr>
      </w:pPr>
      <w:r>
        <w:rPr>
          <w:rFonts w:ascii="Times New Roman" w:hAnsi="Times New Roman" w:cs="Times New Roman"/>
          <w:sz w:val="24"/>
          <w:szCs w:val="24"/>
        </w:rPr>
        <w:t xml:space="preserve">Non molto numerosi, ma non meno significativi sono alcuni edifici religiosi e monumenti funebri, in particolare la Chiesa parrocchiale di Madonna di Campagna di Giuseppe Cento, la Chiesa di Santa Barbara in Campo </w:t>
      </w:r>
      <w:proofErr w:type="spellStart"/>
      <w:r>
        <w:rPr>
          <w:rFonts w:ascii="Times New Roman" w:hAnsi="Times New Roman" w:cs="Times New Roman"/>
          <w:sz w:val="24"/>
          <w:szCs w:val="24"/>
        </w:rPr>
        <w:t>Tizzoro</w:t>
      </w:r>
      <w:proofErr w:type="spellEnd"/>
      <w:r>
        <w:rPr>
          <w:rFonts w:ascii="Times New Roman" w:hAnsi="Times New Roman" w:cs="Times New Roman"/>
          <w:sz w:val="24"/>
          <w:szCs w:val="24"/>
        </w:rPr>
        <w:t xml:space="preserve"> (Pistoia) di Amedeo </w:t>
      </w:r>
      <w:proofErr w:type="spellStart"/>
      <w:r>
        <w:rPr>
          <w:rFonts w:ascii="Times New Roman" w:hAnsi="Times New Roman" w:cs="Times New Roman"/>
          <w:sz w:val="24"/>
          <w:szCs w:val="24"/>
        </w:rPr>
        <w:t>Lavini</w:t>
      </w:r>
      <w:proofErr w:type="spellEnd"/>
      <w:r>
        <w:rPr>
          <w:rFonts w:ascii="Times New Roman" w:hAnsi="Times New Roman" w:cs="Times New Roman"/>
          <w:sz w:val="24"/>
          <w:szCs w:val="24"/>
        </w:rPr>
        <w:t xml:space="preserve">, </w:t>
      </w:r>
      <w:r>
        <w:rPr>
          <w:rFonts w:ascii="Times New Roman" w:hAnsi="Times New Roman" w:cs="Times New Roman"/>
          <w:sz w:val="24"/>
          <w:szCs w:val="24"/>
        </w:rPr>
        <w:t>la sepoltura dei Martiri della libertà di Casal Monferrato di Aldo Rondelli</w:t>
      </w:r>
      <w:r>
        <w:rPr>
          <w:rFonts w:ascii="Times New Roman" w:hAnsi="Times New Roman" w:cs="Times New Roman"/>
          <w:sz w:val="24"/>
          <w:szCs w:val="24"/>
        </w:rPr>
        <w:t xml:space="preserve"> e il monumento funebre al partigiano Medaglia d’oro Ettore </w:t>
      </w:r>
      <w:proofErr w:type="spellStart"/>
      <w:r>
        <w:rPr>
          <w:rFonts w:ascii="Times New Roman" w:hAnsi="Times New Roman" w:cs="Times New Roman"/>
          <w:sz w:val="24"/>
          <w:szCs w:val="24"/>
        </w:rPr>
        <w:t>Ruocco</w:t>
      </w:r>
      <w:proofErr w:type="spellEnd"/>
      <w:r>
        <w:rPr>
          <w:rFonts w:ascii="Times New Roman" w:hAnsi="Times New Roman" w:cs="Times New Roman"/>
          <w:sz w:val="24"/>
          <w:szCs w:val="24"/>
        </w:rPr>
        <w:t xml:space="preserve"> al Cimitero di Torino di Franco </w:t>
      </w:r>
      <w:proofErr w:type="spellStart"/>
      <w:r>
        <w:rPr>
          <w:rFonts w:ascii="Times New Roman" w:hAnsi="Times New Roman" w:cs="Times New Roman"/>
          <w:sz w:val="24"/>
          <w:szCs w:val="24"/>
        </w:rPr>
        <w:t>Berlanda</w:t>
      </w:r>
      <w:proofErr w:type="spellEnd"/>
      <w:r>
        <w:rPr>
          <w:rFonts w:ascii="Times New Roman" w:hAnsi="Times New Roman" w:cs="Times New Roman"/>
          <w:sz w:val="24"/>
          <w:szCs w:val="24"/>
        </w:rPr>
        <w:t xml:space="preserve">, Gabriele Manfredi, Sergio Nicola e Alberto </w:t>
      </w:r>
      <w:proofErr w:type="spellStart"/>
      <w:r>
        <w:rPr>
          <w:rFonts w:ascii="Times New Roman" w:hAnsi="Times New Roman" w:cs="Times New Roman"/>
          <w:sz w:val="24"/>
          <w:szCs w:val="24"/>
        </w:rPr>
        <w:t>Todros</w:t>
      </w:r>
      <w:proofErr w:type="spellEnd"/>
      <w:r>
        <w:rPr>
          <w:rFonts w:ascii="Times New Roman" w:hAnsi="Times New Roman" w:cs="Times New Roman"/>
          <w:sz w:val="24"/>
          <w:szCs w:val="24"/>
        </w:rPr>
        <w:t>.</w:t>
      </w:r>
    </w:p>
    <w:p>
      <w:pPr>
        <w:rPr>
          <w:rFonts w:ascii="Times New Roman" w:hAnsi="Times New Roman" w:cs="Times New Roman"/>
          <w:sz w:val="24"/>
          <w:szCs w:val="24"/>
        </w:rPr>
      </w:pPr>
      <w:r>
        <w:rPr>
          <w:rFonts w:ascii="Times New Roman" w:hAnsi="Times New Roman" w:cs="Times New Roman"/>
          <w:sz w:val="24"/>
          <w:szCs w:val="24"/>
        </w:rPr>
        <w:t xml:space="preserve">Altre opere minori riguardano allestimenti per mostre e padiglioni provvisori, arredamenti e progetti di interni. Da segnalare il padiglione a tenda della mostra torinese della Moda e del tessile al castello di Stupinigi di Ludovico Belgioioso, Enrico </w:t>
      </w:r>
      <w:proofErr w:type="spellStart"/>
      <w:r>
        <w:rPr>
          <w:rFonts w:ascii="Times New Roman" w:hAnsi="Times New Roman" w:cs="Times New Roman"/>
          <w:sz w:val="24"/>
          <w:szCs w:val="24"/>
        </w:rPr>
        <w:t>Peressutti</w:t>
      </w:r>
      <w:proofErr w:type="spellEnd"/>
      <w:r>
        <w:rPr>
          <w:rFonts w:ascii="Times New Roman" w:hAnsi="Times New Roman" w:cs="Times New Roman"/>
          <w:sz w:val="24"/>
          <w:szCs w:val="24"/>
        </w:rPr>
        <w:t xml:space="preserve">, Ernesto </w:t>
      </w:r>
      <w:proofErr w:type="spellStart"/>
      <w:r>
        <w:rPr>
          <w:rFonts w:ascii="Times New Roman" w:hAnsi="Times New Roman" w:cs="Times New Roman"/>
          <w:sz w:val="24"/>
          <w:szCs w:val="24"/>
        </w:rPr>
        <w:t>Rogers</w:t>
      </w:r>
      <w:proofErr w:type="spellEnd"/>
      <w:r>
        <w:rPr>
          <w:rFonts w:ascii="Times New Roman" w:hAnsi="Times New Roman" w:cs="Times New Roman"/>
          <w:sz w:val="24"/>
          <w:szCs w:val="24"/>
        </w:rPr>
        <w:t xml:space="preserve"> (BBPR), lo stand  Liquigas alla Mostra della Meccanica di Torino di Sandro </w:t>
      </w:r>
      <w:proofErr w:type="spellStart"/>
      <w:r>
        <w:rPr>
          <w:rFonts w:ascii="Times New Roman" w:hAnsi="Times New Roman" w:cs="Times New Roman"/>
          <w:sz w:val="24"/>
          <w:szCs w:val="24"/>
        </w:rPr>
        <w:t>Bigliani</w:t>
      </w:r>
      <w:proofErr w:type="spellEnd"/>
      <w:r>
        <w:rPr>
          <w:rFonts w:ascii="Times New Roman" w:hAnsi="Times New Roman" w:cs="Times New Roman"/>
          <w:sz w:val="24"/>
          <w:szCs w:val="24"/>
        </w:rPr>
        <w:t xml:space="preserve">, Giglio </w:t>
      </w:r>
      <w:proofErr w:type="spellStart"/>
      <w:r>
        <w:rPr>
          <w:rFonts w:ascii="Times New Roman" w:hAnsi="Times New Roman" w:cs="Times New Roman"/>
          <w:sz w:val="24"/>
          <w:szCs w:val="24"/>
        </w:rPr>
        <w:t>Tarone</w:t>
      </w:r>
      <w:proofErr w:type="spellEnd"/>
      <w:r>
        <w:rPr>
          <w:rFonts w:ascii="Times New Roman" w:hAnsi="Times New Roman" w:cs="Times New Roman"/>
          <w:sz w:val="24"/>
          <w:szCs w:val="24"/>
        </w:rPr>
        <w:t xml:space="preserve"> e Norberto Vairano, il padiglione Asia alla Mostra d’oltremare di Napoli di Franco Campo e Carlo Graffi, autori anche del divertente allestimento del furgone pubblicitario della Liquigas e il Sacrario alla Mostra nazionale delle Truppe alpine di Nicola e Leonardo Mosso. Tra gli arredamenti è anche esposto uno studio medico di grande razionalità del secondo futurista Nicola </w:t>
      </w:r>
      <w:proofErr w:type="spellStart"/>
      <w:r>
        <w:rPr>
          <w:rFonts w:ascii="Times New Roman" w:hAnsi="Times New Roman" w:cs="Times New Roman"/>
          <w:sz w:val="24"/>
          <w:szCs w:val="24"/>
        </w:rPr>
        <w:t>Diulgheroff</w:t>
      </w:r>
      <w:proofErr w:type="spellEnd"/>
      <w:r>
        <w:rPr>
          <w:rFonts w:ascii="Times New Roman" w:hAnsi="Times New Roman" w:cs="Times New Roman"/>
          <w:sz w:val="24"/>
          <w:szCs w:val="24"/>
        </w:rPr>
        <w:t xml:space="preserve">, un salone </w:t>
      </w:r>
      <w:r>
        <w:rPr>
          <w:rFonts w:ascii="Times New Roman" w:hAnsi="Times New Roman" w:cs="Times New Roman"/>
          <w:sz w:val="24"/>
          <w:szCs w:val="24"/>
        </w:rPr>
        <w:lastRenderedPageBreak/>
        <w:t>dell’architetto dirigente dell’Ufficio tecnico del Comune Gianni Ricci e  un ingresso dell’</w:t>
      </w:r>
      <w:r>
        <w:rPr>
          <w:rFonts w:ascii="Times New Roman" w:hAnsi="Times New Roman" w:cs="Times New Roman"/>
          <w:sz w:val="24"/>
          <w:szCs w:val="24"/>
        </w:rPr>
        <w:t>artista e architetto</w:t>
      </w:r>
      <w:r>
        <w:rPr>
          <w:rFonts w:ascii="Times New Roman" w:hAnsi="Times New Roman" w:cs="Times New Roman"/>
          <w:sz w:val="24"/>
          <w:szCs w:val="24"/>
        </w:rPr>
        <w:t xml:space="preserve"> Otto Maraini</w:t>
      </w:r>
      <w:r>
        <w:rPr>
          <w:rStyle w:val="Rimandonotaapidipagina"/>
          <w:rFonts w:ascii="Times New Roman" w:hAnsi="Times New Roman" w:cs="Times New Roman"/>
          <w:sz w:val="24"/>
          <w:szCs w:val="24"/>
        </w:rPr>
        <w:footnoteReference w:id="9"/>
      </w:r>
      <w:r>
        <w:rPr>
          <w:rFonts w:ascii="Times New Roman" w:hAnsi="Times New Roman" w:cs="Times New Roman"/>
          <w:sz w:val="24"/>
          <w:szCs w:val="24"/>
        </w:rPr>
        <w:t xml:space="preserve">. </w:t>
      </w:r>
    </w:p>
    <w:p>
      <w:pPr>
        <w:rPr>
          <w:rFonts w:ascii="Times New Roman" w:hAnsi="Times New Roman" w:cs="Times New Roman"/>
          <w:sz w:val="24"/>
          <w:szCs w:val="24"/>
        </w:rPr>
      </w:pPr>
      <w:r>
        <w:rPr>
          <w:rFonts w:ascii="Times New Roman" w:hAnsi="Times New Roman" w:cs="Times New Roman"/>
          <w:sz w:val="24"/>
          <w:szCs w:val="24"/>
        </w:rPr>
        <w:t xml:space="preserve">La mostra dedica anche spazio al ricordo di tre importanti professionisti torinesi molto noti sia per la loro attività progettuale, sia per il loro ruolo nelle commissioni dell’Amministrazione comunale e  nelle associazioni culturali, scomparsi proprio in prossimità dell’evento. Di Giovanni </w:t>
      </w:r>
      <w:proofErr w:type="spellStart"/>
      <w:r>
        <w:rPr>
          <w:rFonts w:ascii="Times New Roman" w:hAnsi="Times New Roman" w:cs="Times New Roman"/>
          <w:sz w:val="24"/>
          <w:szCs w:val="24"/>
        </w:rPr>
        <w:t>Chevalley</w:t>
      </w:r>
      <w:proofErr w:type="spellEnd"/>
      <w:r>
        <w:rPr>
          <w:rFonts w:ascii="Times New Roman" w:hAnsi="Times New Roman" w:cs="Times New Roman"/>
          <w:sz w:val="24"/>
          <w:szCs w:val="24"/>
        </w:rPr>
        <w:t xml:space="preserve"> (1868-1954) è segnalato  l’albergo Principi di Piemonte al Sestriere, costruito secondo una originale commistione fra tradizione montana ed eclettismo. Il Sanatorio San Luigi, che verrà di li a poco demolito per fare posto all’ampliamento dello stabilimento Fiat di Mirafiori, è citato tra le opere più significative  dell’ingegnere Eugenio Mollino (1873-1953), mentre per Ettore Sottsass (1892-1954) è presentato il Padiglione della moda di Torino (1939), capolavoro del razionalismo, pubblicato su “</w:t>
      </w:r>
      <w:proofErr w:type="spellStart"/>
      <w:r>
        <w:rPr>
          <w:rFonts w:ascii="Times New Roman" w:hAnsi="Times New Roman" w:cs="Times New Roman"/>
          <w:sz w:val="24"/>
          <w:szCs w:val="24"/>
        </w:rPr>
        <w:t>Casabella</w:t>
      </w:r>
      <w:proofErr w:type="spellEnd"/>
      <w:r>
        <w:rPr>
          <w:rFonts w:ascii="Times New Roman" w:hAnsi="Times New Roman" w:cs="Times New Roman"/>
          <w:sz w:val="24"/>
          <w:szCs w:val="24"/>
        </w:rPr>
        <w:t xml:space="preserve">” e poi più volte trasformato con la collaborazione dello stesso progettista. </w:t>
      </w:r>
    </w:p>
    <w:p>
      <w:pPr>
        <w:rPr>
          <w:rFonts w:ascii="Times New Roman" w:hAnsi="Times New Roman" w:cs="Times New Roman"/>
          <w:sz w:val="24"/>
          <w:szCs w:val="24"/>
        </w:rPr>
      </w:pPr>
      <w:r>
        <w:rPr>
          <w:rFonts w:ascii="Times New Roman" w:hAnsi="Times New Roman" w:cs="Times New Roman"/>
          <w:sz w:val="24"/>
          <w:szCs w:val="24"/>
        </w:rPr>
        <w:t xml:space="preserve">La volontà dei curatori della mostra non è quella di prendere posizione a favore di una tendenza o di alcuni autori, ma piuttosto quella di offrire un panorama oggettivo di quanto si è fatto nel corso di un decennio. Scrive il presidente della SIAT, Giovani Pugno a proposito della mostra: </w:t>
      </w:r>
      <w:r>
        <w:rPr>
          <w:rFonts w:ascii="Times New Roman" w:hAnsi="Times New Roman" w:cs="Times New Roman"/>
          <w:i/>
          <w:sz w:val="24"/>
          <w:szCs w:val="24"/>
        </w:rPr>
        <w:t>essa vuol essere la fotografia di una situazione, l’aspetto attuale dell’architettura; senza disprezzi o lacrimosi rimpianti e senza la tracotante presunzione di penetrare o signoreggiare l’avvenire</w:t>
      </w:r>
      <w:r>
        <w:rPr>
          <w:rStyle w:val="Rimandonotaapidipagina"/>
          <w:rFonts w:ascii="Times New Roman" w:hAnsi="Times New Roman" w:cs="Times New Roman"/>
          <w:i/>
          <w:sz w:val="24"/>
          <w:szCs w:val="24"/>
        </w:rPr>
        <w:footnoteReference w:id="10"/>
      </w:r>
      <w:r>
        <w:rPr>
          <w:rFonts w:ascii="Times New Roman" w:hAnsi="Times New Roman" w:cs="Times New Roman"/>
          <w:sz w:val="24"/>
          <w:szCs w:val="24"/>
        </w:rPr>
        <w:t xml:space="preserve">. Anche il curatore sottolinea questo approccio, pur esprimendo una pacata adesione  alla battaglia per la modernità: </w:t>
      </w:r>
      <w:r>
        <w:rPr>
          <w:rFonts w:ascii="Times New Roman" w:hAnsi="Times New Roman" w:cs="Times New Roman"/>
          <w:i/>
          <w:sz w:val="24"/>
          <w:szCs w:val="24"/>
        </w:rPr>
        <w:t>Dalla rassegna delle opere presentate appare, con sufficiente evidenza, come il tempo delle faticose polemiche da Sant’Elia a Pagano, non sia trascorso invano e come la stasi architettonica determinata dall’ultima guerra, abbia permesso ai giovani e ai meno giovani di meditare con efficacia</w:t>
      </w:r>
      <w:r>
        <w:rPr>
          <w:rStyle w:val="Rimandonotaapidipagina"/>
          <w:rFonts w:ascii="Times New Roman" w:hAnsi="Times New Roman" w:cs="Times New Roman"/>
          <w:sz w:val="24"/>
          <w:szCs w:val="24"/>
        </w:rPr>
        <w:footnoteReference w:id="11"/>
      </w:r>
      <w:r>
        <w:rPr>
          <w:rFonts w:ascii="Times New Roman" w:hAnsi="Times New Roman" w:cs="Times New Roman"/>
          <w:i/>
          <w:sz w:val="24"/>
          <w:szCs w:val="24"/>
        </w:rPr>
        <w:t>.</w:t>
      </w:r>
    </w:p>
    <w:p>
      <w:pPr>
        <w:rPr>
          <w:rFonts w:ascii="Times New Roman" w:hAnsi="Times New Roman" w:cs="Times New Roman"/>
          <w:sz w:val="24"/>
          <w:szCs w:val="24"/>
        </w:rPr>
      </w:pPr>
      <w:r>
        <w:rPr>
          <w:rFonts w:ascii="Times New Roman" w:hAnsi="Times New Roman" w:cs="Times New Roman"/>
          <w:sz w:val="24"/>
          <w:szCs w:val="24"/>
        </w:rPr>
        <w:t xml:space="preserve">Unica nota polemica è quella dell’ingegnere C. Bert che sul bollettino degli ingegneri scrive, a proposito della mostra, ma senza fare nomi, di </w:t>
      </w:r>
      <w:r>
        <w:rPr>
          <w:rFonts w:ascii="Times New Roman" w:hAnsi="Times New Roman" w:cs="Times New Roman"/>
          <w:i/>
          <w:sz w:val="24"/>
          <w:szCs w:val="24"/>
        </w:rPr>
        <w:t>un certo</w:t>
      </w:r>
      <w:r>
        <w:rPr>
          <w:rFonts w:ascii="Times New Roman" w:hAnsi="Times New Roman" w:cs="Times New Roman"/>
          <w:sz w:val="24"/>
          <w:szCs w:val="24"/>
        </w:rPr>
        <w:t xml:space="preserve"> </w:t>
      </w:r>
      <w:r>
        <w:rPr>
          <w:rFonts w:ascii="Times New Roman" w:hAnsi="Times New Roman" w:cs="Times New Roman"/>
          <w:i/>
          <w:sz w:val="24"/>
          <w:szCs w:val="24"/>
        </w:rPr>
        <w:t>scatolame edilizio, di certi “muri del pianto” di biblica memoria e di certe civetterie di forme che troppo indulgono alla moda del tempo</w:t>
      </w:r>
      <w:r>
        <w:rPr>
          <w:rStyle w:val="Rimandonotaapidipagina"/>
          <w:rFonts w:ascii="Times New Roman" w:hAnsi="Times New Roman" w:cs="Times New Roman"/>
          <w:sz w:val="24"/>
          <w:szCs w:val="24"/>
        </w:rPr>
        <w:footnoteReference w:id="12"/>
      </w:r>
      <w:r>
        <w:rPr>
          <w:rFonts w:ascii="Times New Roman" w:hAnsi="Times New Roman" w:cs="Times New Roman"/>
          <w:sz w:val="24"/>
          <w:szCs w:val="24"/>
        </w:rPr>
        <w:t>. La sua critica è rivolta esplicitamente alle opere degli architetti e sembra voler rinfocolare l’annosa polemica tra ingegneri e architetti, ma verrà smentito nel numero successivo della rivista da una nota della redazione che prenderà decisamente le distanze da questa posizione</w:t>
      </w:r>
      <w:r>
        <w:rPr>
          <w:rStyle w:val="Rimandonotaapidipagina"/>
          <w:rFonts w:ascii="Times New Roman" w:hAnsi="Times New Roman" w:cs="Times New Roman"/>
          <w:sz w:val="24"/>
          <w:szCs w:val="24"/>
        </w:rPr>
        <w:footnoteReference w:id="13"/>
      </w:r>
      <w:r>
        <w:rPr>
          <w:rFonts w:ascii="Times New Roman" w:hAnsi="Times New Roman" w:cs="Times New Roman"/>
          <w:sz w:val="24"/>
          <w:szCs w:val="24"/>
        </w:rPr>
        <w:t xml:space="preserve">. </w:t>
      </w:r>
    </w:p>
    <w:p>
      <w:pPr>
        <w:rPr>
          <w:rFonts w:ascii="Times New Roman" w:hAnsi="Times New Roman" w:cs="Times New Roman"/>
          <w:sz w:val="24"/>
          <w:szCs w:val="24"/>
        </w:rPr>
      </w:pPr>
      <w:r>
        <w:rPr>
          <w:rFonts w:ascii="Times New Roman" w:hAnsi="Times New Roman" w:cs="Times New Roman"/>
          <w:sz w:val="24"/>
          <w:szCs w:val="24"/>
        </w:rPr>
        <w:t>Il numero di “Atti e Rassegna Tecnica” n. 8 del 1954, dedicato alla prese</w:t>
      </w:r>
      <w:r>
        <w:rPr>
          <w:rFonts w:ascii="Times New Roman" w:hAnsi="Times New Roman" w:cs="Times New Roman"/>
          <w:sz w:val="24"/>
          <w:szCs w:val="24"/>
        </w:rPr>
        <w:t xml:space="preserve">ntazione della mostra, </w:t>
      </w:r>
      <w:r>
        <w:rPr>
          <w:rFonts w:ascii="Times New Roman" w:hAnsi="Times New Roman" w:cs="Times New Roman"/>
          <w:sz w:val="24"/>
          <w:szCs w:val="24"/>
        </w:rPr>
        <w:t>oltre ad una breve informativa, alla prolusione e alla relazione, ospita una serie di articoli che affrontano vari temi di attualità, come i regolamenti, la casa popolare, la ricerca strutturale e l’aggiornamento intorno a varie tipologie moderne (edifici per l’industria, per gli uffici, per gli alberghi, per lo spettacolo, per mostre e musei). Tuttavia quasi nessuno degli interventi si riferisce ad opere della mostra, ma piuttosto affronta temi di carattere generale, con frequenti riferimenti ad altri paesi come la Germania, la Francia e gli USA.</w:t>
      </w:r>
    </w:p>
    <w:p>
      <w:pPr>
        <w:rPr>
          <w:rFonts w:ascii="Times New Roman" w:hAnsi="Times New Roman" w:cs="Times New Roman"/>
          <w:sz w:val="24"/>
          <w:szCs w:val="24"/>
        </w:rPr>
      </w:pPr>
      <w:r>
        <w:rPr>
          <w:rFonts w:ascii="Times New Roman" w:hAnsi="Times New Roman" w:cs="Times New Roman"/>
          <w:sz w:val="24"/>
          <w:szCs w:val="24"/>
        </w:rPr>
        <w:lastRenderedPageBreak/>
        <w:t>Il primo articolo, di Levi-Montalcini, si sofferma sul tema delle norme  e del funzionamento della Commissione Igienico edilizia sottolineando la necessità di superare i vecchi regolamenti troppo rigidi e legati al passato e proponendo il loro adeguamento partendo da una nuova attenzione alla densità, ai cortili, ai balconi</w:t>
      </w:r>
      <w:r>
        <w:rPr>
          <w:rStyle w:val="Rimandonotaapidipagina"/>
          <w:rFonts w:ascii="Times New Roman" w:hAnsi="Times New Roman" w:cs="Times New Roman"/>
          <w:sz w:val="24"/>
          <w:szCs w:val="24"/>
        </w:rPr>
        <w:footnoteReference w:id="14"/>
      </w:r>
      <w:r>
        <w:rPr>
          <w:rFonts w:ascii="Times New Roman" w:hAnsi="Times New Roman" w:cs="Times New Roman"/>
          <w:sz w:val="24"/>
          <w:szCs w:val="24"/>
        </w:rPr>
        <w:t xml:space="preserve">. Le proposte risentono di quella visione propagandata dalla “Carta d’Atene” di Le </w:t>
      </w:r>
      <w:proofErr w:type="spellStart"/>
      <w:r>
        <w:rPr>
          <w:rFonts w:ascii="Times New Roman" w:hAnsi="Times New Roman" w:cs="Times New Roman"/>
          <w:sz w:val="24"/>
          <w:szCs w:val="24"/>
        </w:rPr>
        <w:t>Corbusier</w:t>
      </w:r>
      <w:proofErr w:type="spellEnd"/>
      <w:r>
        <w:rPr>
          <w:rFonts w:ascii="Times New Roman" w:hAnsi="Times New Roman" w:cs="Times New Roman"/>
          <w:sz w:val="24"/>
          <w:szCs w:val="24"/>
        </w:rPr>
        <w:t xml:space="preserve"> che era al tempo condivisa dagli architetti del Movimento moderno, ma non tiene conto della stratificazione storica della città e dell’importanza della sua tutela. Le proposte di svincolare le nuove abitazioni dagli  “allineamenti costrittivi”, o di variare il disegno dei cortili in nome delle esigenze dell’orientamento, del soleggiamento e dell’allargamento delle strade, in parte messe in opera in alcune ricostruzioni del centro storico, paiono ora inadeguate di fronte all’esigenza di valorizzare i contenuti di memoria della città, dimostrando come sia difficile attuare nella città storica europea il mito del verde adottato dalla città estesa americana. </w:t>
      </w:r>
      <w:r>
        <w:rPr>
          <w:rFonts w:ascii="Times New Roman" w:hAnsi="Times New Roman" w:cs="Times New Roman"/>
          <w:i/>
          <w:sz w:val="24"/>
          <w:szCs w:val="24"/>
        </w:rPr>
        <w:t xml:space="preserve"> </w:t>
      </w:r>
    </w:p>
    <w:p>
      <w:pPr>
        <w:rPr>
          <w:rFonts w:ascii="Times New Roman" w:hAnsi="Times New Roman" w:cs="Times New Roman"/>
          <w:sz w:val="24"/>
          <w:szCs w:val="24"/>
        </w:rPr>
      </w:pPr>
      <w:r>
        <w:rPr>
          <w:rFonts w:ascii="Times New Roman" w:hAnsi="Times New Roman" w:cs="Times New Roman"/>
          <w:sz w:val="24"/>
          <w:szCs w:val="24"/>
        </w:rPr>
        <w:t xml:space="preserve">Cesare </w:t>
      </w:r>
      <w:proofErr w:type="spellStart"/>
      <w:r>
        <w:rPr>
          <w:rFonts w:ascii="Times New Roman" w:hAnsi="Times New Roman" w:cs="Times New Roman"/>
          <w:sz w:val="24"/>
          <w:szCs w:val="24"/>
        </w:rPr>
        <w:t>Bairati</w:t>
      </w:r>
      <w:proofErr w:type="spellEnd"/>
      <w:r>
        <w:rPr>
          <w:rFonts w:ascii="Times New Roman" w:hAnsi="Times New Roman" w:cs="Times New Roman"/>
          <w:sz w:val="24"/>
          <w:szCs w:val="24"/>
        </w:rPr>
        <w:t>, nel suo articolo sull’architettura sovvenzionata</w:t>
      </w:r>
      <w:r>
        <w:rPr>
          <w:rStyle w:val="Rimandonotaapidipagina"/>
          <w:rFonts w:ascii="Times New Roman" w:hAnsi="Times New Roman" w:cs="Times New Roman"/>
          <w:sz w:val="24"/>
          <w:szCs w:val="24"/>
        </w:rPr>
        <w:footnoteReference w:id="15"/>
      </w:r>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sottolinea il successo del piano INA-Casa in termini di quantità, in rapporto al poco tempo e alla scarsità di risorse, tuttavia rileva l’insufficienza dell’attenzione ai particolari costruttivi e alle soluzioni di interni. Sono invece ritenute positive le scelte progettuali di evitare i casermoni adottando il modello delle case di due, tre piani, con attenzione all’orientamento e al disegno di logge per la vita all’aperto. </w:t>
      </w:r>
    </w:p>
    <w:p>
      <w:pPr>
        <w:rPr>
          <w:rFonts w:ascii="Times New Roman" w:hAnsi="Times New Roman" w:cs="Times New Roman"/>
          <w:sz w:val="24"/>
          <w:szCs w:val="24"/>
        </w:rPr>
      </w:pPr>
      <w:r>
        <w:rPr>
          <w:rFonts w:ascii="Times New Roman" w:hAnsi="Times New Roman" w:cs="Times New Roman"/>
          <w:sz w:val="24"/>
          <w:szCs w:val="24"/>
        </w:rPr>
        <w:t>Armando Melis propone una riflessione sugli aspetti compositivi e tecnologici della progettazione degli edifici per uffici</w:t>
      </w:r>
      <w:r>
        <w:rPr>
          <w:rStyle w:val="Rimandonotaapidipagina"/>
          <w:rFonts w:ascii="Times New Roman" w:hAnsi="Times New Roman" w:cs="Times New Roman"/>
          <w:sz w:val="24"/>
          <w:szCs w:val="24"/>
        </w:rPr>
        <w:footnoteReference w:id="16"/>
      </w:r>
      <w:r>
        <w:rPr>
          <w:rFonts w:ascii="Times New Roman" w:hAnsi="Times New Roman" w:cs="Times New Roman"/>
          <w:sz w:val="24"/>
          <w:szCs w:val="24"/>
        </w:rPr>
        <w:t xml:space="preserve">, richiamando le ricerche americane e citando il progetto di  </w:t>
      </w:r>
      <w:proofErr w:type="spellStart"/>
      <w:r>
        <w:rPr>
          <w:rFonts w:ascii="Times New Roman" w:hAnsi="Times New Roman" w:cs="Times New Roman"/>
          <w:sz w:val="24"/>
          <w:szCs w:val="24"/>
        </w:rPr>
        <w:t>Giò</w:t>
      </w:r>
      <w:proofErr w:type="spellEnd"/>
      <w:r>
        <w:rPr>
          <w:rFonts w:ascii="Times New Roman" w:hAnsi="Times New Roman" w:cs="Times New Roman"/>
          <w:sz w:val="24"/>
          <w:szCs w:val="24"/>
        </w:rPr>
        <w:t xml:space="preserve"> Ponti a Milano, ma senza alcun rapporto con le opere raccolte in mostra. Anche Leonardo Mosso non fa riferimenti alle opere in mostra, ma sottolinea la necessità di salvaguardare la dignità dell’uomo nei confronti della macchina</w:t>
      </w:r>
      <w:r>
        <w:rPr>
          <w:rStyle w:val="Rimandonotaapidipagina"/>
          <w:rFonts w:ascii="Times New Roman" w:hAnsi="Times New Roman" w:cs="Times New Roman"/>
          <w:sz w:val="24"/>
          <w:szCs w:val="24"/>
        </w:rPr>
        <w:footnoteReference w:id="17"/>
      </w:r>
      <w:r>
        <w:rPr>
          <w:rFonts w:ascii="Times New Roman" w:hAnsi="Times New Roman" w:cs="Times New Roman"/>
          <w:sz w:val="24"/>
          <w:szCs w:val="24"/>
        </w:rPr>
        <w:t>. Dunque  propone una progettazione degli edifici industriali in cui l’architettura assuma una precisa responsabilità nei confronti del benessere dei lavoratori.</w:t>
      </w:r>
    </w:p>
    <w:p>
      <w:pPr>
        <w:rPr>
          <w:rFonts w:ascii="Times New Roman" w:hAnsi="Times New Roman" w:cs="Times New Roman"/>
          <w:strike/>
          <w:sz w:val="24"/>
          <w:szCs w:val="24"/>
        </w:rPr>
      </w:pPr>
      <w:r>
        <w:rPr>
          <w:rFonts w:ascii="Times New Roman" w:hAnsi="Times New Roman" w:cs="Times New Roman"/>
          <w:sz w:val="24"/>
          <w:szCs w:val="24"/>
        </w:rPr>
        <w:t xml:space="preserve">Augusto Cavallari </w:t>
      </w:r>
      <w:proofErr w:type="spellStart"/>
      <w:r>
        <w:rPr>
          <w:rFonts w:ascii="Times New Roman" w:hAnsi="Times New Roman" w:cs="Times New Roman"/>
          <w:sz w:val="24"/>
          <w:szCs w:val="24"/>
        </w:rPr>
        <w:t>Murat</w:t>
      </w:r>
      <w:proofErr w:type="spellEnd"/>
      <w:r>
        <w:rPr>
          <w:rFonts w:ascii="Times New Roman" w:hAnsi="Times New Roman" w:cs="Times New Roman"/>
          <w:sz w:val="24"/>
          <w:szCs w:val="24"/>
        </w:rPr>
        <w:t xml:space="preserve">, dopo aver puntualizzato l’importanza dell’espressione della struttura nell’architettura (secondo la visione di </w:t>
      </w:r>
      <w:proofErr w:type="spellStart"/>
      <w:r>
        <w:rPr>
          <w:rFonts w:ascii="Times New Roman" w:hAnsi="Times New Roman" w:cs="Times New Roman"/>
          <w:sz w:val="24"/>
          <w:szCs w:val="24"/>
        </w:rPr>
        <w:t>Shopenhauer</w:t>
      </w:r>
      <w:proofErr w:type="spellEnd"/>
      <w:r>
        <w:rPr>
          <w:rFonts w:ascii="Times New Roman" w:hAnsi="Times New Roman" w:cs="Times New Roman"/>
          <w:sz w:val="24"/>
          <w:szCs w:val="24"/>
        </w:rPr>
        <w:t xml:space="preserve">), cita la semplicità formale del Lodoli e di </w:t>
      </w:r>
      <w:proofErr w:type="spellStart"/>
      <w:r>
        <w:rPr>
          <w:rFonts w:ascii="Times New Roman" w:hAnsi="Times New Roman" w:cs="Times New Roman"/>
          <w:sz w:val="24"/>
          <w:szCs w:val="24"/>
        </w:rPr>
        <w:t>Ledoux</w:t>
      </w:r>
      <w:proofErr w:type="spellEnd"/>
      <w:r>
        <w:rPr>
          <w:rFonts w:ascii="Times New Roman" w:hAnsi="Times New Roman" w:cs="Times New Roman"/>
          <w:sz w:val="24"/>
          <w:szCs w:val="24"/>
        </w:rPr>
        <w:t xml:space="preserve">  e porta ad esempio la copertura di Torino esposizioni di Nervi come esempio di svincolo della soggezione alle casseforme squadrate</w:t>
      </w:r>
      <w:r>
        <w:rPr>
          <w:rStyle w:val="Rimandonotaapidipagina"/>
          <w:rFonts w:ascii="Times New Roman" w:hAnsi="Times New Roman" w:cs="Times New Roman"/>
          <w:sz w:val="24"/>
          <w:szCs w:val="24"/>
        </w:rPr>
        <w:footnoteReference w:id="18"/>
      </w:r>
      <w:r>
        <w:rPr>
          <w:rFonts w:ascii="Times New Roman" w:hAnsi="Times New Roman" w:cs="Times New Roman"/>
          <w:sz w:val="24"/>
          <w:szCs w:val="24"/>
        </w:rPr>
        <w:t xml:space="preserve">.  </w:t>
      </w:r>
    </w:p>
    <w:p>
      <w:pPr>
        <w:rPr>
          <w:rFonts w:ascii="Times New Roman" w:hAnsi="Times New Roman" w:cs="Times New Roman"/>
          <w:sz w:val="24"/>
          <w:szCs w:val="24"/>
        </w:rPr>
      </w:pPr>
      <w:r>
        <w:rPr>
          <w:rFonts w:ascii="Times New Roman" w:hAnsi="Times New Roman" w:cs="Times New Roman"/>
          <w:sz w:val="24"/>
          <w:szCs w:val="24"/>
        </w:rPr>
        <w:t>Slegato dalle opere della mostra è il contributo di Roberto Gabetti sulla progettazione degli alberghi che, dopo aver passato in rassegna molti esempi italiani, ricorda le realizzazioni americane come esempi a cui riferirsi.</w:t>
      </w:r>
      <w:r>
        <w:rPr>
          <w:rStyle w:val="Rimandonotaapidipagina"/>
          <w:rFonts w:ascii="Times New Roman" w:hAnsi="Times New Roman" w:cs="Times New Roman"/>
          <w:sz w:val="24"/>
          <w:szCs w:val="24"/>
        </w:rPr>
        <w:footnoteReference w:id="19"/>
      </w:r>
      <w:r>
        <w:rPr>
          <w:rFonts w:ascii="Times New Roman" w:hAnsi="Times New Roman" w:cs="Times New Roman"/>
          <w:sz w:val="24"/>
          <w:szCs w:val="24"/>
        </w:rPr>
        <w:t xml:space="preserve"> Anche il contributo di Mario F. Roggero sulla progettazione delle sale per spettacoli </w:t>
      </w:r>
      <w:r>
        <w:rPr>
          <w:rStyle w:val="Rimandonotaapidipagina"/>
          <w:rFonts w:ascii="Times New Roman" w:hAnsi="Times New Roman" w:cs="Times New Roman"/>
          <w:sz w:val="24"/>
          <w:szCs w:val="24"/>
        </w:rPr>
        <w:footnoteReference w:id="20"/>
      </w:r>
      <w:r>
        <w:rPr>
          <w:rFonts w:ascii="Times New Roman" w:hAnsi="Times New Roman" w:cs="Times New Roman"/>
          <w:sz w:val="24"/>
          <w:szCs w:val="24"/>
        </w:rPr>
        <w:t xml:space="preserve"> non si riferisce alla opere in mostra, ma sottolinea la necessità di una progettazione in grado di inserire attivamente lo spettatore nella spettacolo e si esprime per una  ricostruzione del Teatro Regio che non sia vincolata al “come era, dove era”.</w:t>
      </w:r>
    </w:p>
    <w:p>
      <w:pPr>
        <w:rPr>
          <w:rFonts w:ascii="Times New Roman" w:hAnsi="Times New Roman" w:cs="Times New Roman"/>
          <w:sz w:val="24"/>
          <w:szCs w:val="24"/>
        </w:rPr>
      </w:pPr>
      <w:r>
        <w:rPr>
          <w:rFonts w:ascii="Times New Roman" w:hAnsi="Times New Roman" w:cs="Times New Roman"/>
          <w:sz w:val="24"/>
          <w:szCs w:val="24"/>
        </w:rPr>
        <w:lastRenderedPageBreak/>
        <w:t>Enrico Pellegrini nel suo testo sui musei e sulle mostre sottolinea l’attrattività e la flessibilità del progetto delle mostre commerciali e propone di applicare questi metodi per rendere i musei più attrattivi. Inoltre giudica la Galleria d’Arte Moderna di Torino, da poco assegnata per concorso (1952) ai milanesi Carlo Bassi e Goffredo Boschetti, “una delle più moderne ed attrezzate gallerie”</w:t>
      </w:r>
      <w:r>
        <w:rPr>
          <w:rStyle w:val="Rimandonotaapidipagina"/>
          <w:rFonts w:ascii="Times New Roman" w:hAnsi="Times New Roman" w:cs="Times New Roman"/>
          <w:sz w:val="24"/>
          <w:szCs w:val="24"/>
        </w:rPr>
        <w:footnoteReference w:id="21"/>
      </w:r>
      <w:r>
        <w:rPr>
          <w:rFonts w:ascii="Times New Roman" w:hAnsi="Times New Roman" w:cs="Times New Roman"/>
          <w:sz w:val="24"/>
          <w:szCs w:val="24"/>
        </w:rPr>
        <w:t>. Infine Mario Oreglia si dilunga in una storia del culto dei morti che conclude con la proposta di una più organica regolamentazione dei cimiteri</w:t>
      </w:r>
      <w:r>
        <w:rPr>
          <w:rStyle w:val="Rimandonotaapidipagina"/>
          <w:rFonts w:ascii="Times New Roman" w:hAnsi="Times New Roman" w:cs="Times New Roman"/>
          <w:sz w:val="24"/>
          <w:szCs w:val="24"/>
        </w:rPr>
        <w:footnoteReference w:id="22"/>
      </w:r>
      <w:r>
        <w:rPr>
          <w:rFonts w:ascii="Times New Roman" w:hAnsi="Times New Roman" w:cs="Times New Roman"/>
          <w:sz w:val="24"/>
          <w:szCs w:val="24"/>
        </w:rPr>
        <w:t xml:space="preserve">.  </w:t>
      </w:r>
    </w:p>
    <w:p>
      <w:pPr>
        <w:rPr>
          <w:rFonts w:ascii="Times New Roman" w:hAnsi="Times New Roman" w:cs="Times New Roman"/>
          <w:sz w:val="24"/>
          <w:szCs w:val="24"/>
        </w:rPr>
      </w:pPr>
      <w:r>
        <w:rPr>
          <w:rFonts w:ascii="Times New Roman" w:hAnsi="Times New Roman" w:cs="Times New Roman"/>
          <w:sz w:val="24"/>
          <w:szCs w:val="24"/>
        </w:rPr>
        <w:t xml:space="preserve">Come si vede da questa rapida sintesi nessuno degli autori prende posizione a proposito delle opere esposte dei colleghi, tuttavia attraverso l’esame dell’insieme delle architetture citate emerge in filigrana un quadro dei problemi e del dibattito del tempo. </w:t>
      </w:r>
    </w:p>
    <w:p>
      <w:pPr>
        <w:rPr>
          <w:rFonts w:ascii="Times New Roman" w:hAnsi="Times New Roman" w:cs="Times New Roman"/>
          <w:sz w:val="24"/>
          <w:szCs w:val="24"/>
        </w:rPr>
      </w:pPr>
      <w:r>
        <w:rPr>
          <w:rFonts w:ascii="Times New Roman" w:hAnsi="Times New Roman" w:cs="Times New Roman"/>
          <w:sz w:val="24"/>
          <w:szCs w:val="24"/>
        </w:rPr>
        <w:t>Dalla lettura per tipologie edilizie della mostra emerge in primo luogo la quasi totale assenza di edifici per scuole, per ambulatori e per servizi sociali, testimonianza di una mancanza che diventerà drammatica a Torino e nelle altre grandi città in conseguenza della tumultuosa crescita della popolazione, seguita ai movimenti migratori dalle campagne e dal sud, in conseguenza della ripresa industriale degli anni Sessanta</w:t>
      </w:r>
      <w:r>
        <w:rPr>
          <w:rStyle w:val="Rimandonotaapidipagina"/>
          <w:rFonts w:ascii="Times New Roman" w:hAnsi="Times New Roman" w:cs="Times New Roman"/>
          <w:sz w:val="24"/>
          <w:szCs w:val="24"/>
        </w:rPr>
        <w:footnoteReference w:id="23"/>
      </w:r>
      <w:r>
        <w:rPr>
          <w:rFonts w:ascii="Times New Roman" w:hAnsi="Times New Roman" w:cs="Times New Roman"/>
          <w:sz w:val="24"/>
          <w:szCs w:val="24"/>
        </w:rPr>
        <w:t xml:space="preserve">. Anche la carenza di strumenti urbanistici, tipica della febbrile ricostruzione lasciata nelle mani dell’iniziativa dei costruttori, con i piani di fabbricazione che sostituiscono i piani regolatori, è espressa in mostra dalla presenza di un solo documento urbanistico, il progetto di piano regolatore di Chieri (Sergio </w:t>
      </w:r>
      <w:proofErr w:type="spellStart"/>
      <w:r>
        <w:rPr>
          <w:rFonts w:ascii="Times New Roman" w:hAnsi="Times New Roman" w:cs="Times New Roman"/>
          <w:sz w:val="24"/>
          <w:szCs w:val="24"/>
        </w:rPr>
        <w:t>Cavallera</w:t>
      </w:r>
      <w:proofErr w:type="spellEnd"/>
      <w:r>
        <w:rPr>
          <w:rFonts w:ascii="Times New Roman" w:hAnsi="Times New Roman" w:cs="Times New Roman"/>
          <w:sz w:val="24"/>
          <w:szCs w:val="24"/>
        </w:rPr>
        <w:t xml:space="preserve">, Fabrizio Ferrero Cesare Perelli, Flavio </w:t>
      </w:r>
      <w:proofErr w:type="spellStart"/>
      <w:r>
        <w:rPr>
          <w:rFonts w:ascii="Times New Roman" w:hAnsi="Times New Roman" w:cs="Times New Roman"/>
          <w:sz w:val="24"/>
          <w:szCs w:val="24"/>
        </w:rPr>
        <w:t>Vaudetti</w:t>
      </w:r>
      <w:proofErr w:type="spellEnd"/>
      <w:r>
        <w:rPr>
          <w:rFonts w:ascii="Times New Roman" w:hAnsi="Times New Roman" w:cs="Times New Roman"/>
          <w:sz w:val="24"/>
          <w:szCs w:val="24"/>
        </w:rPr>
        <w:t xml:space="preserve">, Giampiero Vigliano) che ottiene il primo premio </w:t>
      </w:r>
      <w:r>
        <w:rPr>
          <w:rFonts w:ascii="Times New Roman" w:hAnsi="Times New Roman" w:cs="Times New Roman"/>
          <w:i/>
          <w:sz w:val="24"/>
          <w:szCs w:val="24"/>
        </w:rPr>
        <w:t>ex aequo</w:t>
      </w:r>
      <w:r>
        <w:rPr>
          <w:rFonts w:ascii="Times New Roman" w:hAnsi="Times New Roman" w:cs="Times New Roman"/>
          <w:sz w:val="24"/>
          <w:szCs w:val="24"/>
        </w:rPr>
        <w:t xml:space="preserve"> al concorso per la sistemazione del nucleo urbano indetto dal Comune.</w:t>
      </w:r>
    </w:p>
    <w:p>
      <w:pPr>
        <w:rPr>
          <w:rFonts w:ascii="Times New Roman" w:hAnsi="Times New Roman" w:cs="Times New Roman"/>
          <w:sz w:val="24"/>
          <w:szCs w:val="24"/>
        </w:rPr>
      </w:pPr>
      <w:r>
        <w:rPr>
          <w:rFonts w:ascii="Times New Roman" w:hAnsi="Times New Roman" w:cs="Times New Roman"/>
          <w:sz w:val="24"/>
          <w:szCs w:val="24"/>
        </w:rPr>
        <w:t xml:space="preserve">Altro fattore che emerge con forza è la presenza significativa dell’edilizia sovvenzionata, settore nel quale troviamo impegnati quasi tutti  i progettisti, e in particolare quelli che avranno i maggiori riconoscimenti della critica. In effetti il piano avviato con la legge </w:t>
      </w:r>
      <w:r>
        <w:rPr>
          <w:rFonts w:ascii="Times New Roman" w:hAnsi="Times New Roman" w:cs="Times New Roman"/>
          <w:i/>
          <w:sz w:val="24"/>
          <w:szCs w:val="24"/>
        </w:rPr>
        <w:t>Provvedimenti per incrementare l’occupazione operaia, agevolando la costruzione di case per lavoratori</w:t>
      </w:r>
      <w:r>
        <w:rPr>
          <w:rFonts w:ascii="Times New Roman" w:hAnsi="Times New Roman" w:cs="Times New Roman"/>
          <w:sz w:val="24"/>
          <w:szCs w:val="24"/>
        </w:rPr>
        <w:t>, presentata dal ministro del lavoro Amintore Fanfani, per la costruzione di alloggi a basso costo intende  affrontare sia il problema della mancanza di alloggi legata ai danni bellici e all’inurbamento, sia il problema della disoccupazione. Nei fatti il Piano INA-Casa non solo costituisce il più significativo impegno per la casa sociale mai realizzato nel nostro Paese, ma rappresenta un processo di integrazione sul territorio nazionale di saperi e di scelte organizzative che sarà decisivo per tutti gli sviluppi della progettazione edilizia</w:t>
      </w:r>
      <w:r>
        <w:rPr>
          <w:rStyle w:val="Rimandonotaapidipagina"/>
          <w:rFonts w:ascii="Times New Roman" w:hAnsi="Times New Roman" w:cs="Times New Roman"/>
          <w:sz w:val="24"/>
          <w:szCs w:val="24"/>
        </w:rPr>
        <w:footnoteReference w:id="24"/>
      </w:r>
      <w:r>
        <w:rPr>
          <w:rFonts w:ascii="Times New Roman" w:hAnsi="Times New Roman" w:cs="Times New Roman"/>
          <w:sz w:val="24"/>
          <w:szCs w:val="24"/>
        </w:rPr>
        <w:t xml:space="preserve">. Sotto la direzione di Arnaldo </w:t>
      </w:r>
      <w:proofErr w:type="spellStart"/>
      <w:r>
        <w:rPr>
          <w:rFonts w:ascii="Times New Roman" w:hAnsi="Times New Roman" w:cs="Times New Roman"/>
          <w:sz w:val="24"/>
          <w:szCs w:val="24"/>
        </w:rPr>
        <w:t>Foschini</w:t>
      </w:r>
      <w:proofErr w:type="spellEnd"/>
      <w:r>
        <w:rPr>
          <w:rFonts w:ascii="Times New Roman" w:hAnsi="Times New Roman" w:cs="Times New Roman"/>
          <w:sz w:val="24"/>
          <w:szCs w:val="24"/>
        </w:rPr>
        <w:t xml:space="preserve"> e di Adalberto Libera si avvia un ufficio di progettazione nazionale che coinvolge i migliori professionisti del tempo in un processo di aggiornamento e di internazionalizzazione della progettazione cui aderisce circa la metà dell’intero corpo degli architetti e degli ingegneri del tempo. La SIAT si fa strumento di questo processo di crescita collettiva sia attraverso la diffusione del </w:t>
      </w:r>
      <w:r>
        <w:rPr>
          <w:rFonts w:ascii="Times New Roman" w:hAnsi="Times New Roman" w:cs="Times New Roman"/>
          <w:i/>
          <w:sz w:val="24"/>
          <w:szCs w:val="24"/>
        </w:rPr>
        <w:t>Manuale dell’architetto</w:t>
      </w:r>
      <w:r>
        <w:rPr>
          <w:rStyle w:val="Rimandonotaapidipagina"/>
          <w:rFonts w:ascii="Times New Roman" w:hAnsi="Times New Roman" w:cs="Times New Roman"/>
          <w:sz w:val="24"/>
          <w:szCs w:val="24"/>
        </w:rPr>
        <w:footnoteReference w:id="25"/>
      </w:r>
      <w:r>
        <w:rPr>
          <w:rFonts w:ascii="Times New Roman" w:hAnsi="Times New Roman" w:cs="Times New Roman"/>
          <w:i/>
          <w:sz w:val="24"/>
          <w:szCs w:val="24"/>
        </w:rPr>
        <w:t xml:space="preserve"> </w:t>
      </w:r>
      <w:r>
        <w:rPr>
          <w:rFonts w:ascii="Times New Roman" w:hAnsi="Times New Roman" w:cs="Times New Roman"/>
          <w:sz w:val="24"/>
          <w:szCs w:val="24"/>
        </w:rPr>
        <w:t xml:space="preserve">che può </w:t>
      </w:r>
      <w:r>
        <w:rPr>
          <w:rFonts w:ascii="Times New Roman" w:hAnsi="Times New Roman" w:cs="Times New Roman"/>
          <w:sz w:val="24"/>
          <w:szCs w:val="24"/>
        </w:rPr>
        <w:lastRenderedPageBreak/>
        <w:t>essere ritirato presso la sede gratuitamente da tutti i professionisti che ne fanno richiesta</w:t>
      </w:r>
      <w:r>
        <w:rPr>
          <w:rStyle w:val="Rimandonotaapidipagina"/>
          <w:rFonts w:ascii="Times New Roman" w:hAnsi="Times New Roman" w:cs="Times New Roman"/>
          <w:sz w:val="24"/>
          <w:szCs w:val="24"/>
        </w:rPr>
        <w:footnoteReference w:id="26"/>
      </w:r>
      <w:r>
        <w:rPr>
          <w:rFonts w:ascii="Times New Roman" w:hAnsi="Times New Roman" w:cs="Times New Roman"/>
          <w:sz w:val="24"/>
          <w:szCs w:val="24"/>
        </w:rPr>
        <w:t>, sia attraverso i numerosi dibattiti animati dai suoi soci intorno alla questione della “casa per i lavoratori"</w:t>
      </w:r>
      <w:r>
        <w:rPr>
          <w:rStyle w:val="Rimandonotaapidipagina"/>
          <w:rFonts w:ascii="Times New Roman" w:hAnsi="Times New Roman" w:cs="Times New Roman"/>
          <w:sz w:val="24"/>
          <w:szCs w:val="24"/>
        </w:rPr>
        <w:footnoteReference w:id="27"/>
      </w:r>
      <w:r>
        <w:rPr>
          <w:rFonts w:ascii="Times New Roman" w:hAnsi="Times New Roman" w:cs="Times New Roman"/>
          <w:sz w:val="24"/>
          <w:szCs w:val="24"/>
        </w:rPr>
        <w:t>.</w:t>
      </w:r>
    </w:p>
    <w:p>
      <w:pPr>
        <w:rPr>
          <w:rFonts w:ascii="Times New Roman" w:hAnsi="Times New Roman" w:cs="Times New Roman"/>
          <w:sz w:val="24"/>
          <w:szCs w:val="24"/>
        </w:rPr>
      </w:pPr>
      <w:r>
        <w:rPr>
          <w:rFonts w:ascii="Times New Roman" w:hAnsi="Times New Roman" w:cs="Times New Roman"/>
          <w:sz w:val="24"/>
          <w:szCs w:val="24"/>
        </w:rPr>
        <w:t>Appare anche interessante che nella mostra sia data pari importanza tanto alle architetture per la residenza quanto alle opere per l’industria, per la produzione idroelettrica e per le infrastrutture. Evidentemente è presente ai curatori l’importanza di queste opere per l’avvio del processo di industrializzazione nel Paese, gravemente danneggiato dalla guerra e impegnato in una difficile opera di ricostruzione. L’importanza assegnata all’Ufficio costruzioni della Fiat attraverso le numerose opere segnalate, dimostra anche il ruolo fondamentale  delle scelte della grande industria nei processi di trasformazione urbana e territoriale che accompagneranno il “boom economico”. Tra queste le grandi opere di infrastrutturazione viaria, come la nuova autostrada per il mare Torino – Savona</w:t>
      </w:r>
      <w:r>
        <w:rPr>
          <w:rStyle w:val="Rimandonotaapidipagina"/>
          <w:rFonts w:ascii="Times New Roman" w:hAnsi="Times New Roman" w:cs="Times New Roman"/>
          <w:sz w:val="24"/>
          <w:szCs w:val="24"/>
        </w:rPr>
        <w:footnoteReference w:id="28"/>
      </w:r>
      <w:r>
        <w:rPr>
          <w:rFonts w:ascii="Times New Roman" w:hAnsi="Times New Roman" w:cs="Times New Roman"/>
          <w:sz w:val="24"/>
          <w:szCs w:val="24"/>
        </w:rPr>
        <w:t xml:space="preserve">, sono emblematiche della promozione del trasporto su gomma che avrà come conseguenza, da un lato, lo straordinario sviluppo dell’industria automobilistica, dall’altro, i fenomeni di inquinamento, di congestione e di consumo del suolo di cui soltanto recentemente si ha una diffusa consapevolezza. </w:t>
      </w:r>
    </w:p>
    <w:p>
      <w:pPr>
        <w:rPr>
          <w:rFonts w:ascii="Times New Roman" w:hAnsi="Times New Roman" w:cs="Times New Roman"/>
          <w:sz w:val="24"/>
          <w:szCs w:val="24"/>
        </w:rPr>
      </w:pPr>
      <w:r>
        <w:rPr>
          <w:rFonts w:ascii="Times New Roman" w:hAnsi="Times New Roman" w:cs="Times New Roman"/>
          <w:sz w:val="24"/>
          <w:szCs w:val="24"/>
        </w:rPr>
        <w:t>E’ difficile valutare l’impatto che la mostra ha al tempo della sua apertura. Se è vero che i giornali locali ne danno conto diffusamente</w:t>
      </w:r>
      <w:r>
        <w:rPr>
          <w:rStyle w:val="Rimandonotaapidipagina"/>
          <w:rFonts w:ascii="Times New Roman" w:hAnsi="Times New Roman" w:cs="Times New Roman"/>
          <w:sz w:val="24"/>
          <w:szCs w:val="24"/>
        </w:rPr>
        <w:footnoteReference w:id="29"/>
      </w:r>
      <w:r>
        <w:rPr>
          <w:rFonts w:ascii="Times New Roman" w:hAnsi="Times New Roman" w:cs="Times New Roman"/>
          <w:sz w:val="24"/>
          <w:szCs w:val="24"/>
        </w:rPr>
        <w:t xml:space="preserve">  è pur vero che la pubblicistica specialistica non dedica attenzione all’evento, la cui portata parrebbe dunque prevalentemente locale</w:t>
      </w:r>
      <w:r>
        <w:rPr>
          <w:rStyle w:val="Rimandonotaapidipagina"/>
          <w:rFonts w:ascii="Times New Roman" w:hAnsi="Times New Roman" w:cs="Times New Roman"/>
          <w:sz w:val="24"/>
          <w:szCs w:val="24"/>
        </w:rPr>
        <w:footnoteReference w:id="30"/>
      </w:r>
      <w:r>
        <w:rPr>
          <w:rFonts w:ascii="Times New Roman" w:hAnsi="Times New Roman" w:cs="Times New Roman"/>
          <w:sz w:val="24"/>
          <w:szCs w:val="24"/>
        </w:rPr>
        <w:t>. Nonostante un comitato scientifico di altissimo livello</w:t>
      </w:r>
      <w:r>
        <w:rPr>
          <w:rStyle w:val="Rimandonotaapidipagina"/>
          <w:rFonts w:ascii="Times New Roman" w:hAnsi="Times New Roman" w:cs="Times New Roman"/>
          <w:sz w:val="24"/>
          <w:szCs w:val="24"/>
        </w:rPr>
        <w:footnoteReference w:id="31"/>
      </w:r>
      <w:r>
        <w:rPr>
          <w:rFonts w:ascii="Times New Roman" w:hAnsi="Times New Roman" w:cs="Times New Roman"/>
          <w:sz w:val="24"/>
          <w:szCs w:val="24"/>
        </w:rPr>
        <w:t xml:space="preserve"> e la segnalazione di opere di architetti destinati a diventare molto noti, la mostra sembra essere l’espressione di uno sguardo locale che solo la rilettura attuale può strappare all’oblio e ricollocare nel contesto del tempo. </w:t>
      </w:r>
    </w:p>
    <w:p>
      <w:pPr>
        <w:rPr>
          <w:rFonts w:ascii="Times New Roman" w:hAnsi="Times New Roman" w:cs="Times New Roman"/>
          <w:sz w:val="24"/>
          <w:szCs w:val="24"/>
        </w:rPr>
      </w:pPr>
      <w:r>
        <w:rPr>
          <w:rFonts w:ascii="Times New Roman" w:hAnsi="Times New Roman" w:cs="Times New Roman"/>
          <w:sz w:val="24"/>
          <w:szCs w:val="24"/>
        </w:rPr>
        <w:t xml:space="preserve">Tra le architetture raccolte nella mostra alcune assurgeranno a icone indiscusse dell’architettura italiana del Novecento, come il Rifugio al </w:t>
      </w:r>
      <w:proofErr w:type="spellStart"/>
      <w:r>
        <w:rPr>
          <w:rFonts w:ascii="Times New Roman" w:hAnsi="Times New Roman" w:cs="Times New Roman"/>
          <w:sz w:val="24"/>
          <w:szCs w:val="24"/>
        </w:rPr>
        <w:t>Pirovano</w:t>
      </w:r>
      <w:proofErr w:type="spellEnd"/>
      <w:r>
        <w:rPr>
          <w:rFonts w:ascii="Times New Roman" w:hAnsi="Times New Roman" w:cs="Times New Roman"/>
          <w:sz w:val="24"/>
          <w:szCs w:val="24"/>
        </w:rPr>
        <w:t xml:space="preserve"> (Cervinia) di Franco Albini, il salone di Torino Esposizioni di Pier Luigi Nervi, la Borsa Valori a Torino di Roberto Gabetti, Aimaro Isola e Giorgio Raineri, la Casa per gli impiegati di Alessandria di Ignazio </w:t>
      </w:r>
      <w:proofErr w:type="spellStart"/>
      <w:r>
        <w:rPr>
          <w:rFonts w:ascii="Times New Roman" w:hAnsi="Times New Roman" w:cs="Times New Roman"/>
          <w:sz w:val="24"/>
          <w:szCs w:val="24"/>
        </w:rPr>
        <w:t>Gardella</w:t>
      </w:r>
      <w:proofErr w:type="spellEnd"/>
      <w:r>
        <w:rPr>
          <w:rFonts w:ascii="Times New Roman" w:hAnsi="Times New Roman" w:cs="Times New Roman"/>
          <w:sz w:val="24"/>
          <w:szCs w:val="24"/>
        </w:rPr>
        <w:t xml:space="preserve"> e la Casa di abitazioni ad Aosta di Carlo Mollino</w:t>
      </w:r>
      <w:r>
        <w:rPr>
          <w:rStyle w:val="Rimandonotaapidipagina"/>
          <w:rFonts w:ascii="Times New Roman" w:hAnsi="Times New Roman" w:cs="Times New Roman"/>
          <w:sz w:val="24"/>
          <w:szCs w:val="24"/>
        </w:rPr>
        <w:footnoteReference w:id="32"/>
      </w:r>
      <w:r>
        <w:rPr>
          <w:rFonts w:ascii="Times New Roman" w:hAnsi="Times New Roman" w:cs="Times New Roman"/>
          <w:sz w:val="24"/>
          <w:szCs w:val="24"/>
        </w:rPr>
        <w:t>. Queste opere, consegnate alla storia dalla critica consolidata, non appaiono però in questo contesto come emergenze isolate, ma piuttosto come parte di un tessuto complesso il cui dato comune è una diffusa pratica del buon costruire che non si è ancora persa nell’architettura quantitativa della speculazione degli anni Sessanta. Tuttavia sono proprio alcune tra queste architetture, in particolare quelle di Albini, dei BBPR, di Mollino, di Gabetti ed Isola che saranno al centro della riflessione degli anni del dopoguerra e avvieranno una nuova stagione di esperienze intorno al tema del rapporto con la tradizione. La</w:t>
      </w:r>
      <w:r>
        <w:rPr>
          <w:rFonts w:ascii="Times New Roman" w:hAnsi="Times New Roman" w:cs="Times New Roman"/>
          <w:sz w:val="24"/>
          <w:szCs w:val="24"/>
        </w:rPr>
        <w:t xml:space="preserve"> polemica </w:t>
      </w:r>
      <w:r>
        <w:rPr>
          <w:rFonts w:ascii="Times New Roman" w:hAnsi="Times New Roman" w:cs="Times New Roman"/>
          <w:sz w:val="24"/>
          <w:szCs w:val="24"/>
        </w:rPr>
        <w:t>internazionale avviata dalla</w:t>
      </w:r>
      <w:r>
        <w:rPr>
          <w:rFonts w:ascii="Times New Roman" w:hAnsi="Times New Roman" w:cs="Times New Roman"/>
          <w:sz w:val="24"/>
          <w:szCs w:val="24"/>
        </w:rPr>
        <w:t xml:space="preserve"> </w:t>
      </w:r>
      <w:r>
        <w:rPr>
          <w:rFonts w:ascii="Times New Roman" w:hAnsi="Times New Roman" w:cs="Times New Roman"/>
          <w:sz w:val="24"/>
          <w:szCs w:val="24"/>
        </w:rPr>
        <w:t xml:space="preserve">condanna del critico </w:t>
      </w:r>
      <w:proofErr w:type="spellStart"/>
      <w:r>
        <w:rPr>
          <w:rFonts w:ascii="Times New Roman" w:hAnsi="Times New Roman" w:cs="Times New Roman"/>
          <w:sz w:val="24"/>
          <w:szCs w:val="24"/>
        </w:rPr>
        <w:t>Reyner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Banham</w:t>
      </w:r>
      <w:proofErr w:type="spellEnd"/>
      <w:r>
        <w:rPr>
          <w:rFonts w:ascii="Times New Roman" w:hAnsi="Times New Roman" w:cs="Times New Roman"/>
          <w:sz w:val="24"/>
          <w:szCs w:val="24"/>
        </w:rPr>
        <w:t xml:space="preserve"> nei confronti dei giovani architetti italiani accusati di </w:t>
      </w:r>
      <w:r>
        <w:rPr>
          <w:rFonts w:ascii="Times New Roman" w:hAnsi="Times New Roman" w:cs="Times New Roman"/>
          <w:sz w:val="24"/>
          <w:szCs w:val="24"/>
        </w:rPr>
        <w:t>“ri</w:t>
      </w:r>
      <w:r>
        <w:rPr>
          <w:rFonts w:ascii="Times New Roman" w:hAnsi="Times New Roman" w:cs="Times New Roman"/>
          <w:sz w:val="24"/>
          <w:szCs w:val="24"/>
        </w:rPr>
        <w:t xml:space="preserve">tirata </w:t>
      </w:r>
      <w:r>
        <w:rPr>
          <w:rFonts w:ascii="Times New Roman" w:hAnsi="Times New Roman" w:cs="Times New Roman"/>
          <w:sz w:val="24"/>
          <w:szCs w:val="24"/>
        </w:rPr>
        <w:lastRenderedPageBreak/>
        <w:t>dell’Italia d</w:t>
      </w:r>
      <w:r>
        <w:rPr>
          <w:rFonts w:ascii="Times New Roman" w:hAnsi="Times New Roman" w:cs="Times New Roman"/>
          <w:sz w:val="24"/>
          <w:szCs w:val="24"/>
        </w:rPr>
        <w:t>el Movimento moderno” si avvierà proprio a partire da un’opera torinese di Gabetti e Isola, quella “bottega di Erasmo” di cui la Borsa Valori era già una matura anticipazione</w:t>
      </w:r>
      <w:r>
        <w:rPr>
          <w:rStyle w:val="Rimandonotaapidipagina"/>
          <w:rFonts w:ascii="Times New Roman" w:hAnsi="Times New Roman" w:cs="Times New Roman"/>
          <w:sz w:val="24"/>
          <w:szCs w:val="24"/>
        </w:rPr>
        <w:footnoteReference w:id="33"/>
      </w:r>
      <w:r>
        <w:rPr>
          <w:rFonts w:ascii="Times New Roman" w:hAnsi="Times New Roman" w:cs="Times New Roman"/>
          <w:sz w:val="24"/>
          <w:szCs w:val="24"/>
        </w:rPr>
        <w:t>.</w:t>
      </w:r>
    </w:p>
    <w:p>
      <w:pPr>
        <w:rPr>
          <w:rFonts w:ascii="Times New Roman" w:hAnsi="Times New Roman" w:cs="Times New Roman"/>
          <w:sz w:val="24"/>
          <w:szCs w:val="24"/>
        </w:rPr>
      </w:pPr>
      <w:r>
        <w:rPr>
          <w:rFonts w:ascii="Times New Roman" w:hAnsi="Times New Roman" w:cs="Times New Roman"/>
          <w:sz w:val="24"/>
          <w:szCs w:val="24"/>
        </w:rPr>
        <w:t xml:space="preserve">A distanza di circa trent’anni la SIAT organizzerà a Torino la </w:t>
      </w:r>
      <w:r>
        <w:rPr>
          <w:rFonts w:ascii="Times New Roman" w:hAnsi="Times New Roman" w:cs="Times New Roman"/>
          <w:sz w:val="24"/>
          <w:szCs w:val="24"/>
        </w:rPr>
        <w:t>Mostra sull’architettura degli anni Ottanta in Piemonte</w:t>
      </w:r>
      <w:r>
        <w:rPr>
          <w:rFonts w:ascii="Times New Roman" w:hAnsi="Times New Roman" w:cs="Times New Roman"/>
          <w:sz w:val="24"/>
          <w:szCs w:val="24"/>
        </w:rPr>
        <w:t xml:space="preserve">. Il curatore del catalogo, </w:t>
      </w:r>
      <w:r>
        <w:rPr>
          <w:rFonts w:ascii="Times New Roman" w:hAnsi="Times New Roman" w:cs="Times New Roman"/>
          <w:sz w:val="24"/>
          <w:szCs w:val="24"/>
        </w:rPr>
        <w:t xml:space="preserve">Pierre-Alain </w:t>
      </w:r>
      <w:proofErr w:type="spellStart"/>
      <w:r>
        <w:rPr>
          <w:rFonts w:ascii="Times New Roman" w:hAnsi="Times New Roman" w:cs="Times New Roman"/>
          <w:sz w:val="24"/>
          <w:szCs w:val="24"/>
        </w:rPr>
        <w:t>Croset</w:t>
      </w:r>
      <w:proofErr w:type="spellEnd"/>
      <w:r>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afferma che nella mostra del 1954 emerge</w:t>
      </w:r>
      <w:r>
        <w:rPr>
          <w:rFonts w:ascii="Times New Roman" w:hAnsi="Times New Roman" w:cs="Times New Roman"/>
          <w:sz w:val="24"/>
          <w:szCs w:val="24"/>
        </w:rPr>
        <w:t xml:space="preserve"> </w:t>
      </w:r>
      <w:r>
        <w:rPr>
          <w:rFonts w:ascii="Times New Roman" w:hAnsi="Times New Roman" w:cs="Times New Roman"/>
          <w:sz w:val="24"/>
          <w:szCs w:val="24"/>
        </w:rPr>
        <w:t xml:space="preserve">non tanto una comune </w:t>
      </w:r>
      <w:r>
        <w:rPr>
          <w:rFonts w:ascii="Times New Roman" w:hAnsi="Times New Roman" w:cs="Times New Roman"/>
          <w:sz w:val="24"/>
          <w:szCs w:val="24"/>
        </w:rPr>
        <w:t xml:space="preserve">“cultura progettuale” </w:t>
      </w:r>
      <w:r>
        <w:rPr>
          <w:rFonts w:ascii="Times New Roman" w:hAnsi="Times New Roman" w:cs="Times New Roman"/>
          <w:sz w:val="24"/>
          <w:szCs w:val="24"/>
        </w:rPr>
        <w:t>dei progettisti, quanto un ritrovarsi su alcune grandi questioni, già richiamate, come la casa popolare, l’innovazione tecnologica, la dotazione di infrastrutture</w:t>
      </w:r>
      <w:r>
        <w:rPr>
          <w:rStyle w:val="Rimandonotaapidipagina"/>
          <w:rFonts w:ascii="Times New Roman" w:hAnsi="Times New Roman" w:cs="Times New Roman"/>
          <w:sz w:val="24"/>
          <w:szCs w:val="24"/>
        </w:rPr>
        <w:footnoteReference w:id="34"/>
      </w:r>
      <w:r>
        <w:rPr>
          <w:rFonts w:ascii="Times New Roman" w:hAnsi="Times New Roman" w:cs="Times New Roman"/>
          <w:sz w:val="24"/>
          <w:szCs w:val="24"/>
        </w:rPr>
        <w:t xml:space="preserve">. </w:t>
      </w:r>
      <w:r>
        <w:rPr>
          <w:rFonts w:ascii="Times New Roman" w:hAnsi="Times New Roman" w:cs="Times New Roman"/>
          <w:sz w:val="24"/>
          <w:szCs w:val="24"/>
        </w:rPr>
        <w:t>Nota inoltre come sia cambiata la composizione del mondo della progettazione: mentre  nel 1954 gli architetti costituivano il 5% del totale dei professionisti, gli ingegneri il 37%, e i geometri il 58%, nel 1990  tali percentuali sono molto diverse: 25% gli architetti, 35% gli ingegneri e 40% i geometri</w:t>
      </w:r>
      <w:r>
        <w:rPr>
          <w:rStyle w:val="Rimandonotaapidipagina"/>
          <w:rFonts w:ascii="Times New Roman" w:hAnsi="Times New Roman" w:cs="Times New Roman"/>
          <w:sz w:val="24"/>
          <w:szCs w:val="24"/>
        </w:rPr>
        <w:footnoteReference w:id="35"/>
      </w:r>
      <w:r>
        <w:rPr>
          <w:rFonts w:ascii="Times New Roman" w:hAnsi="Times New Roman" w:cs="Times New Roman"/>
          <w:sz w:val="24"/>
          <w:szCs w:val="24"/>
        </w:rPr>
        <w:t xml:space="preserve">. </w:t>
      </w:r>
    </w:p>
    <w:p>
      <w:pPr>
        <w:rPr>
          <w:rFonts w:ascii="Times New Roman" w:hAnsi="Times New Roman" w:cs="Times New Roman"/>
          <w:sz w:val="24"/>
          <w:szCs w:val="24"/>
        </w:rPr>
      </w:pPr>
      <w:r>
        <w:rPr>
          <w:rFonts w:ascii="Times New Roman" w:hAnsi="Times New Roman" w:cs="Times New Roman"/>
          <w:sz w:val="24"/>
          <w:szCs w:val="24"/>
        </w:rPr>
        <w:t>La mostra del 1954 dunque restituisce uno sguardo didascalico e rispettoso delle varie posizioni in un clima che,</w:t>
      </w:r>
      <w:r>
        <w:rPr>
          <w:rFonts w:ascii="Times New Roman" w:hAnsi="Times New Roman" w:cs="Times New Roman"/>
          <w:sz w:val="24"/>
          <w:szCs w:val="24"/>
        </w:rPr>
        <w:t xml:space="preserve"> come ricorda Roberto Gabetti</w:t>
      </w:r>
      <w:r>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 xml:space="preserve">era espressione </w:t>
      </w:r>
      <w:r>
        <w:rPr>
          <w:rFonts w:ascii="Times New Roman" w:hAnsi="Times New Roman" w:cs="Times New Roman"/>
          <w:sz w:val="24"/>
          <w:szCs w:val="24"/>
        </w:rPr>
        <w:t>di ent</w:t>
      </w:r>
      <w:r>
        <w:rPr>
          <w:rFonts w:ascii="Times New Roman" w:hAnsi="Times New Roman" w:cs="Times New Roman"/>
          <w:sz w:val="24"/>
          <w:szCs w:val="24"/>
        </w:rPr>
        <w:t>usiasmo e occasione di confronto</w:t>
      </w:r>
      <w:r>
        <w:rPr>
          <w:rStyle w:val="Rimandonotaapidipagina"/>
          <w:rFonts w:ascii="Times New Roman" w:hAnsi="Times New Roman" w:cs="Times New Roman"/>
          <w:sz w:val="24"/>
          <w:szCs w:val="24"/>
        </w:rPr>
        <w:footnoteReference w:id="36"/>
      </w:r>
      <w:r>
        <w:rPr>
          <w:rFonts w:ascii="Times New Roman" w:hAnsi="Times New Roman" w:cs="Times New Roman"/>
          <w:sz w:val="24"/>
          <w:szCs w:val="24"/>
        </w:rPr>
        <w:t xml:space="preserve">. </w:t>
      </w:r>
      <w:r>
        <w:rPr>
          <w:rFonts w:ascii="Times New Roman" w:hAnsi="Times New Roman" w:cs="Times New Roman"/>
          <w:sz w:val="24"/>
          <w:szCs w:val="24"/>
        </w:rPr>
        <w:t xml:space="preserve"> E’ il clima di una generazione</w:t>
      </w:r>
      <w:r>
        <w:rPr>
          <w:rFonts w:ascii="Times New Roman" w:hAnsi="Times New Roman" w:cs="Times New Roman"/>
          <w:sz w:val="24"/>
          <w:szCs w:val="24"/>
        </w:rPr>
        <w:t xml:space="preserve"> che esce dall’esperienza del regime fascista e della guerra con la volontà di affrancarsi dalla retorica dell’Accademia storicista, ma anche dalla ”nuova Accademia”</w:t>
      </w:r>
      <w:r>
        <w:rPr>
          <w:rFonts w:ascii="Times New Roman" w:hAnsi="Times New Roman" w:cs="Times New Roman"/>
          <w:sz w:val="24"/>
          <w:szCs w:val="24"/>
        </w:rPr>
        <w:t xml:space="preserve"> del Movimento moderno</w:t>
      </w:r>
      <w:r>
        <w:rPr>
          <w:rFonts w:ascii="Times New Roman" w:hAnsi="Times New Roman" w:cs="Times New Roman"/>
          <w:sz w:val="24"/>
          <w:szCs w:val="24"/>
        </w:rPr>
        <w:t>.</w:t>
      </w:r>
      <w:r>
        <w:rPr>
          <w:rFonts w:ascii="Times New Roman" w:hAnsi="Times New Roman" w:cs="Times New Roman"/>
          <w:sz w:val="24"/>
          <w:szCs w:val="24"/>
        </w:rPr>
        <w:t xml:space="preserve"> Sarà proprio in questo clima che matureranno le esperienze più interessanti di architetti “eretici” della modernità che sapranno superare le secche del razionalismo ed elaborare una nuova attenzione ai luoghi, alla memoria, all’impegno sociale dell’architettura che costituiscono gli elementi più interessanti della ricerca del dopoguerra. A quel clima si potrebbe forse ancora oggi guardare per trovare qualche antidoto alle derive contemporanee dell’architettura delle “</w:t>
      </w:r>
      <w:proofErr w:type="spellStart"/>
      <w:r>
        <w:rPr>
          <w:rFonts w:ascii="Times New Roman" w:hAnsi="Times New Roman" w:cs="Times New Roman"/>
          <w:sz w:val="24"/>
          <w:szCs w:val="24"/>
        </w:rPr>
        <w:t>archistar</w:t>
      </w:r>
      <w:proofErr w:type="spellEnd"/>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37"/>
      </w:r>
      <w:r>
        <w:rPr>
          <w:rFonts w:ascii="Times New Roman" w:hAnsi="Times New Roman" w:cs="Times New Roman"/>
          <w:sz w:val="24"/>
          <w:szCs w:val="24"/>
        </w:rPr>
        <w:t xml:space="preserve"> e dei “no</w:t>
      </w:r>
      <w:bookmarkStart w:id="0" w:name="_GoBack"/>
      <w:bookmarkEnd w:id="0"/>
      <w:r>
        <w:rPr>
          <w:rFonts w:ascii="Times New Roman" w:hAnsi="Times New Roman" w:cs="Times New Roman"/>
          <w:sz w:val="24"/>
          <w:szCs w:val="24"/>
        </w:rPr>
        <w:t>n luoghi”</w:t>
      </w:r>
      <w:r>
        <w:rPr>
          <w:rStyle w:val="Rimandonotaapidipagina"/>
          <w:rFonts w:ascii="Times New Roman" w:hAnsi="Times New Roman" w:cs="Times New Roman"/>
          <w:sz w:val="24"/>
          <w:szCs w:val="24"/>
        </w:rPr>
        <w:footnoteReference w:id="38"/>
      </w:r>
      <w:r>
        <w:rPr>
          <w:rFonts w:ascii="Times New Roman" w:hAnsi="Times New Roman" w:cs="Times New Roman"/>
          <w:sz w:val="24"/>
          <w:szCs w:val="24"/>
        </w:rPr>
        <w:t>.</w:t>
      </w:r>
    </w:p>
    <w:p>
      <w:pPr>
        <w:rPr>
          <w:rFonts w:ascii="Times New Roman" w:hAnsi="Times New Roman" w:cs="Times New Roman"/>
          <w:sz w:val="24"/>
          <w:szCs w:val="24"/>
        </w:rPr>
      </w:pPr>
      <w:r>
        <w:rPr>
          <w:rFonts w:ascii="Times New Roman" w:hAnsi="Times New Roman" w:cs="Times New Roman"/>
          <w:sz w:val="24"/>
          <w:szCs w:val="24"/>
        </w:rPr>
        <w:t xml:space="preserve"> </w:t>
      </w:r>
    </w:p>
    <w:p>
      <w:pPr>
        <w:rPr>
          <w:rFonts w:ascii="Times New Roman" w:hAnsi="Times New Roman" w:cs="Times New Roman"/>
          <w:sz w:val="24"/>
          <w:szCs w:val="24"/>
        </w:rPr>
      </w:pPr>
    </w:p>
    <w:p>
      <w:pPr>
        <w:tabs>
          <w:tab w:val="left" w:pos="1980"/>
        </w:tabs>
        <w:spacing w:after="0" w:line="240" w:lineRule="auto"/>
        <w:jc w:val="both"/>
        <w:rPr>
          <w:rFonts w:ascii="Times New Roman" w:eastAsia="Times New Roman" w:hAnsi="Times New Roman" w:cs="Times New Roman"/>
          <w:sz w:val="24"/>
          <w:szCs w:val="24"/>
          <w:lang w:eastAsia="it-IT"/>
        </w:rPr>
      </w:pPr>
      <w:r>
        <w:rPr>
          <w:rFonts w:ascii="Times New Roman" w:eastAsia="Times New Roman" w:hAnsi="Times New Roman" w:cs="Times New Roman"/>
          <w:b/>
          <w:sz w:val="24"/>
          <w:szCs w:val="24"/>
          <w:lang w:eastAsia="it-IT"/>
        </w:rPr>
        <w:t xml:space="preserve"> </w:t>
      </w:r>
    </w:p>
    <w:p>
      <w:pPr>
        <w:tabs>
          <w:tab w:val="left" w:pos="1980"/>
          <w:tab w:val="left" w:pos="2205"/>
        </w:tabs>
        <w:spacing w:after="0" w:line="240" w:lineRule="auto"/>
        <w:jc w:val="both"/>
        <w:rPr>
          <w:rFonts w:ascii="Times New Roman" w:eastAsia="Times New Roman" w:hAnsi="Times New Roman" w:cs="Times New Roman"/>
          <w:b/>
          <w:sz w:val="24"/>
          <w:szCs w:val="24"/>
          <w:lang w:eastAsia="it-IT"/>
        </w:rPr>
      </w:pPr>
    </w:p>
    <w:p>
      <w:pPr>
        <w:tabs>
          <w:tab w:val="left" w:pos="1980"/>
          <w:tab w:val="left" w:pos="2205"/>
        </w:tabs>
        <w:spacing w:after="0" w:line="240" w:lineRule="auto"/>
        <w:jc w:val="both"/>
        <w:rPr>
          <w:rFonts w:ascii="Times New Roman" w:eastAsia="Times New Roman" w:hAnsi="Times New Roman" w:cs="Times New Roman"/>
          <w:b/>
          <w:sz w:val="24"/>
          <w:szCs w:val="24"/>
          <w:lang w:eastAsia="it-IT"/>
        </w:rPr>
      </w:pPr>
    </w:p>
    <w:p>
      <w:pPr>
        <w:tabs>
          <w:tab w:val="left" w:pos="1980"/>
          <w:tab w:val="left" w:pos="2205"/>
        </w:tabs>
        <w:spacing w:after="0" w:line="240" w:lineRule="auto"/>
        <w:jc w:val="both"/>
        <w:rPr>
          <w:rFonts w:ascii="Times New Roman" w:eastAsia="Times New Roman" w:hAnsi="Times New Roman" w:cs="Times New Roman"/>
          <w:sz w:val="24"/>
          <w:szCs w:val="24"/>
          <w:lang w:eastAsia="it-IT"/>
        </w:rPr>
      </w:pPr>
      <w:r>
        <w:rPr>
          <w:rFonts w:ascii="Times New Roman" w:eastAsia="Times New Roman" w:hAnsi="Times New Roman" w:cs="Times New Roman"/>
          <w:b/>
          <w:sz w:val="24"/>
          <w:szCs w:val="24"/>
          <w:lang w:eastAsia="it-IT"/>
        </w:rPr>
        <w:t>Abbreviazioni</w:t>
      </w:r>
      <w:r>
        <w:rPr>
          <w:rFonts w:ascii="Times New Roman" w:eastAsia="Times New Roman" w:hAnsi="Times New Roman" w:cs="Times New Roman"/>
          <w:sz w:val="24"/>
          <w:szCs w:val="24"/>
          <w:lang w:eastAsia="it-IT"/>
        </w:rPr>
        <w:t xml:space="preserve"> </w:t>
      </w:r>
      <w:r>
        <w:rPr>
          <w:rFonts w:ascii="Times New Roman" w:eastAsia="Times New Roman" w:hAnsi="Times New Roman" w:cs="Times New Roman"/>
          <w:sz w:val="24"/>
          <w:szCs w:val="24"/>
          <w:lang w:eastAsia="it-IT"/>
        </w:rPr>
        <w:tab/>
      </w:r>
    </w:p>
    <w:p>
      <w:pPr>
        <w:tabs>
          <w:tab w:val="left" w:pos="1980"/>
        </w:tabs>
        <w:spacing w:after="0" w:line="240" w:lineRule="auto"/>
        <w:jc w:val="both"/>
        <w:rPr>
          <w:rFonts w:ascii="Times New Roman" w:eastAsia="Times New Roman" w:hAnsi="Times New Roman" w:cs="Times New Roman"/>
          <w:sz w:val="24"/>
          <w:szCs w:val="24"/>
          <w:lang w:eastAsia="it-IT"/>
        </w:rPr>
      </w:pPr>
    </w:p>
    <w:p>
      <w:pPr>
        <w:tabs>
          <w:tab w:val="left" w:pos="1980"/>
        </w:tabs>
        <w:spacing w:after="0" w:line="240" w:lineRule="auto"/>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CNA - Consiglio Nazionale Architetti</w:t>
      </w:r>
    </w:p>
    <w:p>
      <w:pPr>
        <w:tabs>
          <w:tab w:val="left" w:pos="1980"/>
        </w:tabs>
        <w:spacing w:after="0" w:line="240" w:lineRule="auto"/>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CNR - Consiglio Nazionale delle Ricerche</w:t>
      </w:r>
    </w:p>
    <w:p>
      <w:pPr>
        <w:tabs>
          <w:tab w:val="left" w:pos="1980"/>
        </w:tabs>
        <w:spacing w:after="0" w:line="240" w:lineRule="auto"/>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Ina-Casa - Istituto Nazionale delle Assicurazioni – Gestione Casa</w:t>
      </w:r>
    </w:p>
    <w:p>
      <w:pPr>
        <w:spacing w:after="0" w:line="240" w:lineRule="auto"/>
        <w:rPr>
          <w:rFonts w:ascii="Times New Roman" w:hAnsi="Times New Roman" w:cs="Times New Roman"/>
          <w:sz w:val="24"/>
          <w:szCs w:val="24"/>
        </w:rPr>
      </w:pPr>
      <w:r>
        <w:rPr>
          <w:rFonts w:ascii="Times New Roman" w:hAnsi="Times New Roman" w:cs="Times New Roman"/>
          <w:sz w:val="24"/>
          <w:szCs w:val="24"/>
        </w:rPr>
        <w:t>INU - Istituto Nazionale Urbanistica</w:t>
      </w:r>
    </w:p>
    <w:p>
      <w:pPr>
        <w:spacing w:line="240" w:lineRule="auto"/>
        <w:rPr>
          <w:rFonts w:ascii="Times New Roman" w:hAnsi="Times New Roman" w:cs="Times New Roman"/>
          <w:sz w:val="24"/>
          <w:szCs w:val="24"/>
        </w:rPr>
      </w:pPr>
      <w:r>
        <w:rPr>
          <w:rFonts w:ascii="Times New Roman" w:hAnsi="Times New Roman" w:cs="Times New Roman"/>
          <w:sz w:val="24"/>
          <w:szCs w:val="24"/>
        </w:rPr>
        <w:t>SIAT - Società degli Ingegneri e degli Architetti in Torino</w:t>
      </w:r>
    </w:p>
    <w:sectPr>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0187590"/>
      <w:docPartObj>
        <w:docPartGallery w:val="Page Numbers (Bottom of Page)"/>
        <w:docPartUnique/>
      </w:docPartObj>
    </w:sdtPr>
    <w:sdtContent>
      <w:p>
        <w:pPr>
          <w:pStyle w:val="Pidipagina"/>
          <w:jc w:val="right"/>
        </w:pPr>
        <w:r>
          <w:fldChar w:fldCharType="begin"/>
        </w:r>
        <w:r>
          <w:instrText>PAGE   \* MERGEFORMAT</w:instrText>
        </w:r>
        <w:r>
          <w:fldChar w:fldCharType="separate"/>
        </w:r>
        <w:r>
          <w:rPr>
            <w:noProof/>
          </w:rPr>
          <w:t>1</w:t>
        </w:r>
        <w:r>
          <w:fldChar w:fldCharType="end"/>
        </w:r>
      </w:p>
    </w:sdtContent>
  </w:sdt>
  <w:p>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pacing w:after="0" w:line="240" w:lineRule="auto"/>
      </w:pPr>
      <w:r>
        <w:separator/>
      </w:r>
    </w:p>
  </w:footnote>
  <w:footnote w:type="continuationSeparator" w:id="0">
    <w:p>
      <w:pPr>
        <w:spacing w:after="0" w:line="240" w:lineRule="auto"/>
      </w:pPr>
      <w:r>
        <w:continuationSeparator/>
      </w:r>
    </w:p>
  </w:footnote>
  <w:footnote w:id="1">
    <w:p>
      <w:pPr>
        <w:pStyle w:val="Testonotaapidipagina"/>
      </w:pPr>
      <w:r>
        <w:rPr>
          <w:rStyle w:val="Rimandonotaapidipagina"/>
        </w:rPr>
        <w:footnoteRef/>
      </w:r>
      <w:r>
        <w:t xml:space="preserve"> La mostra è finanziata dall’Università di Torino, dalla </w:t>
      </w:r>
      <w:proofErr w:type="spellStart"/>
      <w:r>
        <w:t>Siat</w:t>
      </w:r>
      <w:proofErr w:type="spellEnd"/>
      <w:r>
        <w:t xml:space="preserve">, dalla Città di Torino e da imprese, banche e giornali. Nel Comitato d’Onore siedono numerose personalità del mondo politico, della cultura e dell’arte, tra cui il presidente del CNR Gustavo </w:t>
      </w:r>
      <w:proofErr w:type="spellStart"/>
      <w:r>
        <w:t>Colonnetti</w:t>
      </w:r>
      <w:proofErr w:type="spellEnd"/>
      <w:r>
        <w:t xml:space="preserve">, il presidente del CNA, Arnaldo </w:t>
      </w:r>
      <w:proofErr w:type="spellStart"/>
      <w:r>
        <w:t>Foschini</w:t>
      </w:r>
      <w:proofErr w:type="spellEnd"/>
      <w:r>
        <w:t xml:space="preserve">, l’ispettore generale delle Belle Arti, Giulio Carlo Argan, il presidente dell’INU Adriano Olivetti. </w:t>
      </w:r>
    </w:p>
  </w:footnote>
  <w:footnote w:id="2">
    <w:p>
      <w:pPr>
        <w:pStyle w:val="Testonotaapidipagina"/>
      </w:pPr>
      <w:r>
        <w:rPr>
          <w:rStyle w:val="Rimandonotaapidipagina"/>
        </w:rPr>
        <w:footnoteRef/>
      </w:r>
      <w:r>
        <w:t xml:space="preserve"> </w:t>
      </w:r>
      <w:r>
        <w:rPr>
          <w:i/>
        </w:rPr>
        <w:t>Relazione di Nicola Mosso presidente della Mostra</w:t>
      </w:r>
      <w:r>
        <w:t xml:space="preserve">, in “Atti e Rassegna tecnica della </w:t>
      </w:r>
      <w:proofErr w:type="spellStart"/>
      <w:r>
        <w:t>SIat</w:t>
      </w:r>
      <w:proofErr w:type="spellEnd"/>
      <w:r>
        <w:t>” n. 8, agosto 1954, p. 301.</w:t>
      </w:r>
    </w:p>
  </w:footnote>
  <w:footnote w:id="3">
    <w:p>
      <w:pPr>
        <w:pStyle w:val="Testonotaapidipagina"/>
      </w:pPr>
      <w:r>
        <w:rPr>
          <w:rStyle w:val="Rimandonotaapidipagina"/>
        </w:rPr>
        <w:footnoteRef/>
      </w:r>
      <w:r>
        <w:t xml:space="preserve"> </w:t>
      </w:r>
      <w:r>
        <w:rPr>
          <w:i/>
        </w:rPr>
        <w:t>Ibidem.</w:t>
      </w:r>
    </w:p>
  </w:footnote>
  <w:footnote w:id="4">
    <w:p>
      <w:pPr>
        <w:pStyle w:val="Testonotaapidipagina"/>
      </w:pPr>
      <w:r>
        <w:rPr>
          <w:rStyle w:val="Rimandonotaapidipagina"/>
        </w:rPr>
        <w:footnoteRef/>
      </w:r>
      <w:r>
        <w:t xml:space="preserve"> </w:t>
      </w:r>
      <w:r>
        <w:rPr>
          <w:i/>
        </w:rPr>
        <w:t>Incontri alla Galleria d’Arte della Gazzetta del Popolo. Mostra di architettura piemontese 1944-1954. Organizzata dal gruppo architetti della Società degli Ingegne</w:t>
      </w:r>
      <w:r>
        <w:rPr>
          <w:i/>
        </w:rPr>
        <w:t xml:space="preserve">ri e degli Architetti di Torino, </w:t>
      </w:r>
      <w:r>
        <w:t>Torino 1954.</w:t>
      </w:r>
    </w:p>
  </w:footnote>
  <w:footnote w:id="5">
    <w:p>
      <w:pPr>
        <w:pStyle w:val="Testonotaapidipagina"/>
        <w:rPr>
          <w:i/>
        </w:rPr>
      </w:pPr>
      <w:r>
        <w:rPr>
          <w:rStyle w:val="Rimandonotaapidipagina"/>
        </w:rPr>
        <w:footnoteRef/>
      </w:r>
      <w:r>
        <w:t xml:space="preserve"> </w:t>
      </w:r>
      <w:r>
        <w:rPr>
          <w:i/>
        </w:rPr>
        <w:t>Ibidem.</w:t>
      </w:r>
    </w:p>
  </w:footnote>
  <w:footnote w:id="6">
    <w:p>
      <w:pPr>
        <w:pStyle w:val="Testonotaapidipagina"/>
      </w:pPr>
      <w:r>
        <w:rPr>
          <w:rStyle w:val="Rimandonotaapidipagina"/>
        </w:rPr>
        <w:footnoteRef/>
      </w:r>
      <w:r>
        <w:t xml:space="preserve"> Archivio storico SIAT.</w:t>
      </w:r>
    </w:p>
  </w:footnote>
  <w:footnote w:id="7">
    <w:p>
      <w:pPr>
        <w:pStyle w:val="Testonotaapidipagina"/>
      </w:pPr>
      <w:r>
        <w:rPr>
          <w:rStyle w:val="Rimandonotaapidipagina"/>
        </w:rPr>
        <w:footnoteRef/>
      </w:r>
      <w:r>
        <w:t xml:space="preserve"> Per una prima ricognizione intorno alle opere di seguito citate: A. Magnaghi, M. </w:t>
      </w:r>
      <w:proofErr w:type="spellStart"/>
      <w:r>
        <w:t>Monge</w:t>
      </w:r>
      <w:proofErr w:type="spellEnd"/>
      <w:r>
        <w:t xml:space="preserve">, L. Re, </w:t>
      </w:r>
      <w:r>
        <w:rPr>
          <w:i/>
        </w:rPr>
        <w:t>Guida all’architettura moderna di Torino</w:t>
      </w:r>
      <w:r>
        <w:t xml:space="preserve">, </w:t>
      </w:r>
      <w:proofErr w:type="spellStart"/>
      <w:r>
        <w:t>Celid</w:t>
      </w:r>
      <w:proofErr w:type="spellEnd"/>
      <w:r>
        <w:t xml:space="preserve"> Torino 2005 (I. ed. 1982).</w:t>
      </w:r>
    </w:p>
  </w:footnote>
  <w:footnote w:id="8">
    <w:p>
      <w:pPr>
        <w:pStyle w:val="Testonotaapidipagina"/>
      </w:pPr>
      <w:r>
        <w:rPr>
          <w:rStyle w:val="Rimandonotaapidipagina"/>
        </w:rPr>
        <w:footnoteRef/>
      </w:r>
      <w:r>
        <w:t xml:space="preserve"> Sono anche segnalati tra i progettisti dei blocchi edilizi: E. Sott-</w:t>
      </w:r>
      <w:proofErr w:type="spellStart"/>
      <w:r>
        <w:t>Sass</w:t>
      </w:r>
      <w:proofErr w:type="spellEnd"/>
      <w:r>
        <w:t>, M. Passanti, A. Molli-</w:t>
      </w:r>
      <w:proofErr w:type="spellStart"/>
      <w:r>
        <w:t>Boffa</w:t>
      </w:r>
      <w:proofErr w:type="spellEnd"/>
      <w:r>
        <w:t xml:space="preserve">, N. </w:t>
      </w:r>
      <w:proofErr w:type="spellStart"/>
      <w:r>
        <w:t>Renacco</w:t>
      </w:r>
      <w:proofErr w:type="spellEnd"/>
      <w:r>
        <w:t xml:space="preserve">, A. </w:t>
      </w:r>
      <w:proofErr w:type="spellStart"/>
      <w:r>
        <w:t>Rizzotti</w:t>
      </w:r>
      <w:proofErr w:type="spellEnd"/>
      <w:r>
        <w:t xml:space="preserve">, A. Romano, G. Becker, P. </w:t>
      </w:r>
      <w:proofErr w:type="spellStart"/>
      <w:r>
        <w:t>Perona</w:t>
      </w:r>
      <w:proofErr w:type="spellEnd"/>
      <w:r>
        <w:t>, F. Fasana, F. Grassi, M. Oreglia.</w:t>
      </w:r>
    </w:p>
  </w:footnote>
  <w:footnote w:id="9">
    <w:p>
      <w:pPr>
        <w:pStyle w:val="Testonotaapidipagina"/>
      </w:pPr>
      <w:r>
        <w:rPr>
          <w:rStyle w:val="Rimandonotaapidipagina"/>
        </w:rPr>
        <w:footnoteRef/>
      </w:r>
      <w:r>
        <w:t xml:space="preserve"> A. Bruno, </w:t>
      </w:r>
      <w:r>
        <w:rPr>
          <w:i/>
        </w:rPr>
        <w:t>Otto Maraini. Architetto-Artista</w:t>
      </w:r>
      <w:r>
        <w:t xml:space="preserve">, </w:t>
      </w:r>
      <w:proofErr w:type="spellStart"/>
      <w:r>
        <w:t>Celid</w:t>
      </w:r>
      <w:proofErr w:type="spellEnd"/>
      <w:r>
        <w:t xml:space="preserve">, Torino 2004. </w:t>
      </w:r>
    </w:p>
  </w:footnote>
  <w:footnote w:id="10">
    <w:p>
      <w:pPr>
        <w:pStyle w:val="Testonotaapidipagina"/>
      </w:pPr>
      <w:r>
        <w:rPr>
          <w:rStyle w:val="Rimandonotaapidipagina"/>
        </w:rPr>
        <w:footnoteRef/>
      </w:r>
      <w:r>
        <w:t xml:space="preserve"> </w:t>
      </w:r>
      <w:r>
        <w:rPr>
          <w:i/>
        </w:rPr>
        <w:t>La prolusione di G. M. Pugno, Presidente della Società,</w:t>
      </w:r>
      <w:r>
        <w:t xml:space="preserve"> in  “Atti e Rassegna tecnica della </w:t>
      </w:r>
      <w:proofErr w:type="spellStart"/>
      <w:r>
        <w:t>SIat</w:t>
      </w:r>
      <w:proofErr w:type="spellEnd"/>
      <w:r>
        <w:t>” n. 8, agosto 1954, p. 301.</w:t>
      </w:r>
    </w:p>
  </w:footnote>
  <w:footnote w:id="11">
    <w:p>
      <w:pPr>
        <w:pStyle w:val="Testonotaapidipagina"/>
      </w:pPr>
      <w:r>
        <w:rPr>
          <w:rStyle w:val="Rimandonotaapidipagina"/>
        </w:rPr>
        <w:footnoteRef/>
      </w:r>
      <w:r>
        <w:t xml:space="preserve"> </w:t>
      </w:r>
      <w:r>
        <w:rPr>
          <w:i/>
        </w:rPr>
        <w:t>Relazione di Nicola Mosso presidente della Mostra</w:t>
      </w:r>
      <w:r>
        <w:t xml:space="preserve">, in “Atti e Rassegna tecnica della </w:t>
      </w:r>
      <w:proofErr w:type="spellStart"/>
      <w:r>
        <w:t>SIat</w:t>
      </w:r>
      <w:proofErr w:type="spellEnd"/>
      <w:r>
        <w:t>” n. 8, agosto 1954, p. 301.</w:t>
      </w:r>
    </w:p>
  </w:footnote>
  <w:footnote w:id="12">
    <w:p>
      <w:pPr>
        <w:pStyle w:val="Testonotaapidipagina"/>
      </w:pPr>
      <w:r>
        <w:rPr>
          <w:rStyle w:val="Rimandonotaapidipagina"/>
        </w:rPr>
        <w:footnoteRef/>
      </w:r>
      <w:r>
        <w:t xml:space="preserve"> C. Bert, </w:t>
      </w:r>
      <w:r>
        <w:rPr>
          <w:i/>
        </w:rPr>
        <w:t>La mostra di Architettura Piemontese</w:t>
      </w:r>
      <w:r>
        <w:t xml:space="preserve">, in “Bollettino d’informazioni dell’Ordine degli Ingegneri della Provincia di Torino”, n. 5, 1954, in “Atti e Rassegna tecnica </w:t>
      </w:r>
      <w:proofErr w:type="spellStart"/>
      <w:r>
        <w:t>Siat</w:t>
      </w:r>
      <w:proofErr w:type="spellEnd"/>
      <w:r>
        <w:t xml:space="preserve"> n. 8 agosto 1954, p. 2.</w:t>
      </w:r>
    </w:p>
  </w:footnote>
  <w:footnote w:id="13">
    <w:p>
      <w:pPr>
        <w:pStyle w:val="Testonotaapidipagina"/>
      </w:pPr>
      <w:r>
        <w:rPr>
          <w:rStyle w:val="Rimandonotaapidipagina"/>
        </w:rPr>
        <w:footnoteRef/>
      </w:r>
      <w:r>
        <w:t xml:space="preserve"> “Bollettino d’informazioni dell’Ordine degli Ingegneri della Provincia di Torino”, n. 6, 1954, in “Atti e Rassegna tecnica della </w:t>
      </w:r>
      <w:proofErr w:type="spellStart"/>
      <w:r>
        <w:t>Siat</w:t>
      </w:r>
      <w:proofErr w:type="spellEnd"/>
      <w:r>
        <w:t xml:space="preserve"> n. 9 settembre 1954, p. 2.</w:t>
      </w:r>
    </w:p>
  </w:footnote>
  <w:footnote w:id="14">
    <w:p>
      <w:pPr>
        <w:pStyle w:val="Testonotaapidipagina"/>
      </w:pPr>
      <w:r>
        <w:rPr>
          <w:rStyle w:val="Rimandonotaapidipagina"/>
        </w:rPr>
        <w:footnoteRef/>
      </w:r>
      <w:r>
        <w:t xml:space="preserve"> G. Levi-Montalcini, </w:t>
      </w:r>
      <w:r>
        <w:rPr>
          <w:i/>
        </w:rPr>
        <w:t>Per una città migliore. I regolamenti come norma non come costrizione</w:t>
      </w:r>
      <w:r>
        <w:t xml:space="preserve">, in “Atti e Rassegna tecnica della </w:t>
      </w:r>
      <w:proofErr w:type="spellStart"/>
      <w:r>
        <w:t>SIat</w:t>
      </w:r>
      <w:proofErr w:type="spellEnd"/>
      <w:r>
        <w:t>” n. 8, agosto 1954, p.303-306.</w:t>
      </w:r>
    </w:p>
  </w:footnote>
  <w:footnote w:id="15">
    <w:p>
      <w:pPr>
        <w:pStyle w:val="Testonotaapidipagina"/>
      </w:pPr>
      <w:r>
        <w:rPr>
          <w:rStyle w:val="Rimandonotaapidipagina"/>
        </w:rPr>
        <w:footnoteRef/>
      </w:r>
      <w:r>
        <w:t xml:space="preserve"> </w:t>
      </w:r>
      <w:r>
        <w:rPr>
          <w:rFonts w:cstheme="minorHAnsi"/>
          <w:i/>
        </w:rPr>
        <w:t>L’abitazione sovvenzionata</w:t>
      </w:r>
      <w:r>
        <w:rPr>
          <w:rFonts w:cstheme="minorHAnsi"/>
        </w:rPr>
        <w:t xml:space="preserve">, in “Atti e Rassegna tecnica della </w:t>
      </w:r>
      <w:proofErr w:type="spellStart"/>
      <w:r>
        <w:rPr>
          <w:rFonts w:cstheme="minorHAnsi"/>
        </w:rPr>
        <w:t>SIat</w:t>
      </w:r>
      <w:proofErr w:type="spellEnd"/>
      <w:r>
        <w:rPr>
          <w:rFonts w:cstheme="minorHAnsi"/>
        </w:rPr>
        <w:t>” n. 8, agosto 1954</w:t>
      </w:r>
      <w:r>
        <w:rPr>
          <w:rFonts w:cstheme="minorHAnsi"/>
          <w:i/>
        </w:rPr>
        <w:t xml:space="preserve">, </w:t>
      </w:r>
      <w:r>
        <w:rPr>
          <w:rFonts w:cstheme="minorHAnsi"/>
        </w:rPr>
        <w:t>pp. 307-312.</w:t>
      </w:r>
    </w:p>
  </w:footnote>
  <w:footnote w:id="16">
    <w:p>
      <w:pPr>
        <w:pStyle w:val="Testonotaapidipagina"/>
      </w:pPr>
      <w:r>
        <w:rPr>
          <w:rStyle w:val="Rimandonotaapidipagina"/>
        </w:rPr>
        <w:footnoteRef/>
      </w:r>
      <w:r>
        <w:t xml:space="preserve">A. Melis, </w:t>
      </w:r>
      <w:r>
        <w:rPr>
          <w:rFonts w:cstheme="minorHAnsi"/>
          <w:i/>
        </w:rPr>
        <w:t xml:space="preserve">Edifici per uffici, </w:t>
      </w:r>
      <w:r>
        <w:rPr>
          <w:rFonts w:cstheme="minorHAnsi"/>
        </w:rPr>
        <w:t xml:space="preserve">in “Atti e Rassegna tecnica della </w:t>
      </w:r>
      <w:proofErr w:type="spellStart"/>
      <w:r>
        <w:rPr>
          <w:rFonts w:cstheme="minorHAnsi"/>
        </w:rPr>
        <w:t>SIat</w:t>
      </w:r>
      <w:proofErr w:type="spellEnd"/>
      <w:r>
        <w:rPr>
          <w:rFonts w:cstheme="minorHAnsi"/>
        </w:rPr>
        <w:t>” n. 8, agosto 1954</w:t>
      </w:r>
      <w:r>
        <w:rPr>
          <w:rFonts w:cstheme="minorHAnsi"/>
          <w:i/>
        </w:rPr>
        <w:t xml:space="preserve">, </w:t>
      </w:r>
      <w:r>
        <w:rPr>
          <w:rFonts w:cstheme="minorHAnsi"/>
        </w:rPr>
        <w:t>pp. 312-317.</w:t>
      </w:r>
      <w:r>
        <w:rPr>
          <w:rFonts w:ascii="Times New Roman" w:hAnsi="Times New Roman" w:cs="Times New Roman"/>
          <w:sz w:val="24"/>
          <w:szCs w:val="24"/>
        </w:rPr>
        <w:t xml:space="preserve"> </w:t>
      </w:r>
    </w:p>
  </w:footnote>
  <w:footnote w:id="17">
    <w:p>
      <w:pPr>
        <w:pStyle w:val="Testonotaapidipagina"/>
        <w:rPr>
          <w:rFonts w:cstheme="minorHAnsi"/>
        </w:rPr>
      </w:pPr>
      <w:r>
        <w:rPr>
          <w:rStyle w:val="Rimandonotaapidipagina"/>
        </w:rPr>
        <w:footnoteRef/>
      </w:r>
      <w:r>
        <w:t xml:space="preserve"> L. Mosso, </w:t>
      </w:r>
      <w:r>
        <w:rPr>
          <w:rFonts w:cstheme="minorHAnsi"/>
          <w:i/>
        </w:rPr>
        <w:t xml:space="preserve">Architettura industriale, </w:t>
      </w:r>
      <w:r>
        <w:rPr>
          <w:rFonts w:cstheme="minorHAnsi"/>
        </w:rPr>
        <w:t xml:space="preserve">in “Atti e Rassegna tecnica della </w:t>
      </w:r>
      <w:proofErr w:type="spellStart"/>
      <w:r>
        <w:rPr>
          <w:rFonts w:cstheme="minorHAnsi"/>
        </w:rPr>
        <w:t>SIat</w:t>
      </w:r>
      <w:proofErr w:type="spellEnd"/>
      <w:r>
        <w:rPr>
          <w:rFonts w:cstheme="minorHAnsi"/>
        </w:rPr>
        <w:t>” n. 8, agosto 1954, pp. 317-319.</w:t>
      </w:r>
    </w:p>
  </w:footnote>
  <w:footnote w:id="18">
    <w:p>
      <w:pPr>
        <w:pStyle w:val="Testonotaapidipagina"/>
      </w:pPr>
      <w:r>
        <w:rPr>
          <w:rStyle w:val="Rimandonotaapidipagina"/>
        </w:rPr>
        <w:footnoteRef/>
      </w:r>
      <w:r>
        <w:t xml:space="preserve"> A. Cavallari </w:t>
      </w:r>
      <w:proofErr w:type="spellStart"/>
      <w:r>
        <w:t>Murat</w:t>
      </w:r>
      <w:proofErr w:type="spellEnd"/>
      <w:r>
        <w:rPr>
          <w:rFonts w:cstheme="minorHAnsi"/>
        </w:rPr>
        <w:t xml:space="preserve">, </w:t>
      </w:r>
      <w:r>
        <w:rPr>
          <w:rFonts w:cstheme="minorHAnsi"/>
          <w:i/>
        </w:rPr>
        <w:t>La struttura portante come architettura</w:t>
      </w:r>
      <w:r>
        <w:rPr>
          <w:rFonts w:cstheme="minorHAnsi"/>
        </w:rPr>
        <w:t xml:space="preserve">, in “Atti e Rassegna tecnica della </w:t>
      </w:r>
      <w:proofErr w:type="spellStart"/>
      <w:r>
        <w:rPr>
          <w:rFonts w:cstheme="minorHAnsi"/>
        </w:rPr>
        <w:t>SIat</w:t>
      </w:r>
      <w:proofErr w:type="spellEnd"/>
      <w:r>
        <w:rPr>
          <w:rFonts w:cstheme="minorHAnsi"/>
        </w:rPr>
        <w:t>” n. 8, agosto 1954, pp. 320-324.</w:t>
      </w:r>
    </w:p>
  </w:footnote>
  <w:footnote w:id="19">
    <w:p>
      <w:pPr>
        <w:pStyle w:val="Testonotaapidipagina"/>
      </w:pPr>
      <w:r>
        <w:rPr>
          <w:rStyle w:val="Rimandonotaapidipagina"/>
        </w:rPr>
        <w:footnoteRef/>
      </w:r>
      <w:r>
        <w:t xml:space="preserve"> </w:t>
      </w:r>
      <w:r>
        <w:rPr>
          <w:rFonts w:cstheme="minorHAnsi"/>
        </w:rPr>
        <w:t xml:space="preserve">R. Gabetti, </w:t>
      </w:r>
      <w:r>
        <w:rPr>
          <w:rFonts w:cstheme="minorHAnsi"/>
          <w:i/>
        </w:rPr>
        <w:t>L’attuale problema alberghiero</w:t>
      </w:r>
      <w:r>
        <w:rPr>
          <w:rFonts w:cstheme="minorHAnsi"/>
        </w:rPr>
        <w:t xml:space="preserve">, in “Atti e Rassegna tecnica della </w:t>
      </w:r>
      <w:proofErr w:type="spellStart"/>
      <w:r>
        <w:rPr>
          <w:rFonts w:cstheme="minorHAnsi"/>
        </w:rPr>
        <w:t>SIat</w:t>
      </w:r>
      <w:proofErr w:type="spellEnd"/>
      <w:r>
        <w:rPr>
          <w:rFonts w:cstheme="minorHAnsi"/>
        </w:rPr>
        <w:t>” n. 8, agosto 1954, pp. 324-330</w:t>
      </w:r>
      <w:r>
        <w:rPr>
          <w:rFonts w:ascii="Times New Roman" w:hAnsi="Times New Roman" w:cs="Times New Roman"/>
          <w:sz w:val="24"/>
          <w:szCs w:val="24"/>
        </w:rPr>
        <w:t>.</w:t>
      </w:r>
    </w:p>
  </w:footnote>
  <w:footnote w:id="20">
    <w:p>
      <w:pPr>
        <w:pStyle w:val="Testonotaapidipagina"/>
      </w:pPr>
      <w:r>
        <w:rPr>
          <w:rStyle w:val="Rimandonotaapidipagina"/>
        </w:rPr>
        <w:footnoteRef/>
      </w:r>
      <w:r>
        <w:t xml:space="preserve"> M. Roggero</w:t>
      </w:r>
      <w:r>
        <w:rPr>
          <w:rFonts w:cstheme="minorHAnsi"/>
        </w:rPr>
        <w:t xml:space="preserve">, </w:t>
      </w:r>
      <w:r>
        <w:rPr>
          <w:rFonts w:cstheme="minorHAnsi"/>
          <w:i/>
        </w:rPr>
        <w:t>Gli attuali orientamenti per le sale di spettacolo</w:t>
      </w:r>
      <w:r>
        <w:rPr>
          <w:rFonts w:cstheme="minorHAnsi"/>
        </w:rPr>
        <w:t xml:space="preserve">, in “Atti e Rassegna tecnica della </w:t>
      </w:r>
      <w:proofErr w:type="spellStart"/>
      <w:r>
        <w:rPr>
          <w:rFonts w:cstheme="minorHAnsi"/>
        </w:rPr>
        <w:t>SIat</w:t>
      </w:r>
      <w:proofErr w:type="spellEnd"/>
      <w:r>
        <w:rPr>
          <w:rFonts w:cstheme="minorHAnsi"/>
        </w:rPr>
        <w:t>” n. 8, agosto 1954, pp. 330-333.</w:t>
      </w:r>
    </w:p>
  </w:footnote>
  <w:footnote w:id="21">
    <w:p>
      <w:pPr>
        <w:pStyle w:val="Testonotaapidipagina"/>
      </w:pPr>
      <w:r>
        <w:rPr>
          <w:rStyle w:val="Rimandonotaapidipagina"/>
        </w:rPr>
        <w:footnoteRef/>
      </w:r>
      <w:r>
        <w:t xml:space="preserve"> E. Pellegrini, </w:t>
      </w:r>
      <w:r>
        <w:rPr>
          <w:rFonts w:cstheme="minorHAnsi"/>
          <w:i/>
        </w:rPr>
        <w:t xml:space="preserve">Vita difficile ed effimera delle mostre e dei musei, </w:t>
      </w:r>
      <w:r>
        <w:rPr>
          <w:rFonts w:cstheme="minorHAnsi"/>
        </w:rPr>
        <w:t>in “Atti e Rassegna tecnica della SIAT” n. 8, agosto 1954, pp. 333-337.</w:t>
      </w:r>
    </w:p>
  </w:footnote>
  <w:footnote w:id="22">
    <w:p>
      <w:pPr>
        <w:pStyle w:val="Testonotaapidipagina"/>
        <w:rPr>
          <w:rFonts w:cstheme="minorHAnsi"/>
        </w:rPr>
      </w:pPr>
      <w:r>
        <w:rPr>
          <w:rStyle w:val="Rimandonotaapidipagina"/>
        </w:rPr>
        <w:footnoteRef/>
      </w:r>
      <w:r>
        <w:t xml:space="preserve"> M. Oreglia</w:t>
      </w:r>
      <w:r>
        <w:rPr>
          <w:rFonts w:cstheme="minorHAnsi"/>
        </w:rPr>
        <w:t>,</w:t>
      </w:r>
      <w:r>
        <w:rPr>
          <w:rFonts w:cstheme="minorHAnsi"/>
          <w:i/>
        </w:rPr>
        <w:t xml:space="preserve"> Architettura funeraria</w:t>
      </w:r>
      <w:r>
        <w:rPr>
          <w:rFonts w:cstheme="minorHAnsi"/>
        </w:rPr>
        <w:t xml:space="preserve">, in “Atti e Rassegna tecnica della </w:t>
      </w:r>
      <w:proofErr w:type="spellStart"/>
      <w:r>
        <w:rPr>
          <w:rFonts w:cstheme="minorHAnsi"/>
        </w:rPr>
        <w:t>SIat</w:t>
      </w:r>
      <w:proofErr w:type="spellEnd"/>
      <w:r>
        <w:rPr>
          <w:rFonts w:cstheme="minorHAnsi"/>
        </w:rPr>
        <w:t>” n. 8, agosto 1954, pp. 337-340.</w:t>
      </w:r>
    </w:p>
  </w:footnote>
  <w:footnote w:id="23">
    <w:p>
      <w:pPr>
        <w:pStyle w:val="Testonotaapidipagina"/>
      </w:pPr>
      <w:r>
        <w:rPr>
          <w:rStyle w:val="Rimandonotaapidipagina"/>
        </w:rPr>
        <w:footnoteRef/>
      </w:r>
      <w:r>
        <w:t xml:space="preserve"> Tra le opere per servizi sociali si rileva soltanto la Colonia Alpina “Martini e Rossi” a Sauze d’Oulx, di Matteo Minelli.</w:t>
      </w:r>
    </w:p>
  </w:footnote>
  <w:footnote w:id="24">
    <w:p>
      <w:pPr>
        <w:pStyle w:val="Testonotaapidipagina"/>
      </w:pPr>
      <w:r>
        <w:rPr>
          <w:rStyle w:val="Rimandonotaapidipagina"/>
        </w:rPr>
        <w:footnoteRef/>
      </w:r>
      <w:r>
        <w:t xml:space="preserve"> P. Di Biagi (a cura di) </w:t>
      </w:r>
      <w:r>
        <w:rPr>
          <w:i/>
        </w:rPr>
        <w:t>La grande ricostruzione. Il piano Ina-Casa e l’Italia degli anni ’50</w:t>
      </w:r>
      <w:r>
        <w:t xml:space="preserve">, Donzelli, Roma 2001.  - G. Montanari, </w:t>
      </w:r>
      <w:r>
        <w:rPr>
          <w:i/>
        </w:rPr>
        <w:t>Dalle baracche ai quartieri di edilizia economica popolare. Il problema della casa tra emergenza  e “miracolo economico”. Torino 1945-65</w:t>
      </w:r>
      <w:r>
        <w:t xml:space="preserve">, in P. Bonifazio, S. Pace, M. Rosso, P. Scrivano (a cura di) </w:t>
      </w:r>
      <w:r>
        <w:rPr>
          <w:i/>
        </w:rPr>
        <w:t>Tra guerra e pace. Società, cultura architettura nel secondo dopoguerra</w:t>
      </w:r>
      <w:r>
        <w:t>, F. Angeli, Milano 1998.</w:t>
      </w:r>
    </w:p>
  </w:footnote>
  <w:footnote w:id="25">
    <w:p>
      <w:pPr>
        <w:pStyle w:val="Testonotaapidipagina"/>
      </w:pPr>
      <w:r>
        <w:rPr>
          <w:rStyle w:val="Rimandonotaapidipagina"/>
        </w:rPr>
        <w:footnoteRef/>
      </w:r>
      <w:r>
        <w:t xml:space="preserve"> M. </w:t>
      </w:r>
      <w:proofErr w:type="spellStart"/>
      <w:r>
        <w:t>Ridolfi</w:t>
      </w:r>
      <w:proofErr w:type="spellEnd"/>
      <w:r>
        <w:t xml:space="preserve">, M. Fiorentino, B. Zevi, C. </w:t>
      </w:r>
      <w:proofErr w:type="spellStart"/>
      <w:r>
        <w:t>Calcaprina</w:t>
      </w:r>
      <w:proofErr w:type="spellEnd"/>
      <w:r>
        <w:t xml:space="preserve">, A. Cardelli (a cura di) </w:t>
      </w:r>
      <w:r>
        <w:rPr>
          <w:i/>
        </w:rPr>
        <w:t>Manuale dell’architetto</w:t>
      </w:r>
      <w:r>
        <w:t>, Consiglio Nazionale delle Ricerche, Roma 1946.</w:t>
      </w:r>
    </w:p>
  </w:footnote>
  <w:footnote w:id="26">
    <w:p>
      <w:pPr>
        <w:pStyle w:val="Testonotaapidipagina"/>
      </w:pPr>
      <w:r>
        <w:rPr>
          <w:rStyle w:val="Rimandonotaapidipagina"/>
        </w:rPr>
        <w:footnoteRef/>
      </w:r>
      <w:r>
        <w:t xml:space="preserve"> Archivio storico SIAT.</w:t>
      </w:r>
    </w:p>
  </w:footnote>
  <w:footnote w:id="27">
    <w:p>
      <w:pPr>
        <w:pStyle w:val="Testonotaapidipagina"/>
      </w:pPr>
      <w:r>
        <w:rPr>
          <w:rStyle w:val="Rimandonotaapidipagina"/>
        </w:rPr>
        <w:footnoteRef/>
      </w:r>
      <w:r>
        <w:t xml:space="preserve"> I. Diotallevi, F. Marescotti, </w:t>
      </w:r>
      <w:r>
        <w:rPr>
          <w:i/>
        </w:rPr>
        <w:t>Il problema sociale costruttivo ed economico dell’abitazione</w:t>
      </w:r>
      <w:r>
        <w:t>, Milano, 1948.</w:t>
      </w:r>
    </w:p>
  </w:footnote>
  <w:footnote w:id="28">
    <w:p>
      <w:pPr>
        <w:pStyle w:val="Testonotaapidipagina"/>
      </w:pPr>
      <w:r>
        <w:rPr>
          <w:rStyle w:val="Rimandonotaapidipagina"/>
        </w:rPr>
        <w:footnoteRef/>
      </w:r>
      <w:r>
        <w:t xml:space="preserve"> M. Bonino, M. </w:t>
      </w:r>
      <w:proofErr w:type="spellStart"/>
      <w:r>
        <w:t>Moraglio</w:t>
      </w:r>
      <w:proofErr w:type="spellEnd"/>
      <w:r>
        <w:t xml:space="preserve">, </w:t>
      </w:r>
      <w:r>
        <w:rPr>
          <w:i/>
        </w:rPr>
        <w:t>Inventare gli spostamenti. Storia e immagini dell’autostrada Torino –Savona</w:t>
      </w:r>
      <w:r>
        <w:t xml:space="preserve">, Allemandi, Torino 2005. </w:t>
      </w:r>
    </w:p>
  </w:footnote>
  <w:footnote w:id="29">
    <w:p>
      <w:pPr>
        <w:pStyle w:val="Testonotaapidipagina"/>
      </w:pPr>
      <w:r>
        <w:rPr>
          <w:rStyle w:val="Rimandonotaapidipagina"/>
        </w:rPr>
        <w:footnoteRef/>
      </w:r>
      <w:r>
        <w:t xml:space="preserve"> In particolare la “Gazzetta del Popolo” con il numero sopra citato e, brevemente, anche la rivista mensile “Torino”.</w:t>
      </w:r>
    </w:p>
  </w:footnote>
  <w:footnote w:id="30">
    <w:p>
      <w:pPr>
        <w:pStyle w:val="Testonotaapidipagina"/>
      </w:pPr>
      <w:r>
        <w:rPr>
          <w:rStyle w:val="Rimandonotaapidipagina"/>
        </w:rPr>
        <w:footnoteRef/>
      </w:r>
      <w:r>
        <w:t xml:space="preserve"> La ricerca è stata condotta per le riviste “ </w:t>
      </w:r>
      <w:proofErr w:type="spellStart"/>
      <w:r>
        <w:t>Casabella</w:t>
      </w:r>
      <w:proofErr w:type="spellEnd"/>
      <w:r>
        <w:t>-C</w:t>
      </w:r>
      <w:r>
        <w:t>ontinuità”, Comunità”, ”Domus” e “</w:t>
      </w:r>
      <w:proofErr w:type="spellStart"/>
      <w:r>
        <w:t>Metron</w:t>
      </w:r>
      <w:proofErr w:type="spellEnd"/>
      <w:r>
        <w:t xml:space="preserve">”. </w:t>
      </w:r>
    </w:p>
  </w:footnote>
  <w:footnote w:id="31">
    <w:p>
      <w:pPr>
        <w:pStyle w:val="Testonotaapidipagina"/>
      </w:pPr>
      <w:r>
        <w:rPr>
          <w:rStyle w:val="Rimandonotaapidipagina"/>
        </w:rPr>
        <w:footnoteRef/>
      </w:r>
      <w:r>
        <w:t xml:space="preserve"> Cfr. nota 1.</w:t>
      </w:r>
    </w:p>
  </w:footnote>
  <w:footnote w:id="32">
    <w:p>
      <w:pPr>
        <w:pStyle w:val="Testonotaapidipagina"/>
      </w:pPr>
      <w:r>
        <w:rPr>
          <w:rStyle w:val="Rimandonotaapidipagina"/>
        </w:rPr>
        <w:footnoteRef/>
      </w:r>
      <w:r>
        <w:t xml:space="preserve"> M. </w:t>
      </w:r>
      <w:proofErr w:type="spellStart"/>
      <w:r>
        <w:t>Tafuri</w:t>
      </w:r>
      <w:proofErr w:type="spellEnd"/>
      <w:r>
        <w:t xml:space="preserve">, </w:t>
      </w:r>
      <w:r>
        <w:rPr>
          <w:i/>
        </w:rPr>
        <w:t>Storia dell’architettura italiana 1944-1985</w:t>
      </w:r>
      <w:r>
        <w:t xml:space="preserve">, Einaudi, Torino II ed. 1985, G. Ciucci, F. Dal Co, </w:t>
      </w:r>
      <w:r>
        <w:rPr>
          <w:i/>
        </w:rPr>
        <w:t>Architettura italiana del ‘900. Atlante</w:t>
      </w:r>
      <w:r>
        <w:t xml:space="preserve">, </w:t>
      </w:r>
      <w:proofErr w:type="spellStart"/>
      <w:r>
        <w:t>Electa</w:t>
      </w:r>
      <w:proofErr w:type="spellEnd"/>
      <w:r>
        <w:t xml:space="preserve">, Milano 1990.  - M. </w:t>
      </w:r>
      <w:proofErr w:type="spellStart"/>
      <w:r>
        <w:t>Rebecchini</w:t>
      </w:r>
      <w:proofErr w:type="spellEnd"/>
      <w:r>
        <w:t xml:space="preserve">, </w:t>
      </w:r>
      <w:r>
        <w:rPr>
          <w:i/>
        </w:rPr>
        <w:t>Architetti italiani 1930-1990,</w:t>
      </w:r>
      <w:r>
        <w:t xml:space="preserve"> Officina edizioni, Roma 2002.</w:t>
      </w:r>
    </w:p>
  </w:footnote>
  <w:footnote w:id="33">
    <w:p>
      <w:pPr>
        <w:pStyle w:val="Testonotaapidipagina"/>
      </w:pPr>
      <w:r>
        <w:rPr>
          <w:rStyle w:val="Rimandonotaapidipagina"/>
        </w:rPr>
        <w:footnoteRef/>
      </w:r>
      <w:r>
        <w:t xml:space="preserve"> La polemica prende le mosse dal</w:t>
      </w:r>
      <w:r>
        <w:t>la pubblicazione della “Bottega di Erasmo” sul</w:t>
      </w:r>
      <w:r>
        <w:t xml:space="preserve"> famoso numero di  “</w:t>
      </w:r>
      <w:proofErr w:type="spellStart"/>
      <w:r>
        <w:t>Casabella</w:t>
      </w:r>
      <w:proofErr w:type="spellEnd"/>
      <w:r>
        <w:t>-Continuità”, n. 215, aprile-maggio 1957.</w:t>
      </w:r>
    </w:p>
  </w:footnote>
  <w:footnote w:id="34">
    <w:p>
      <w:pPr>
        <w:pStyle w:val="Testonotaapidipagina"/>
      </w:pPr>
      <w:r>
        <w:rPr>
          <w:rStyle w:val="Rimandonotaapidipagina"/>
        </w:rPr>
        <w:footnoteRef/>
      </w:r>
      <w:r>
        <w:t xml:space="preserve"> P.</w:t>
      </w:r>
      <w:r>
        <w:t xml:space="preserve"> </w:t>
      </w:r>
      <w:r>
        <w:t xml:space="preserve">A. </w:t>
      </w:r>
      <w:proofErr w:type="spellStart"/>
      <w:r>
        <w:t>Croset</w:t>
      </w:r>
      <w:proofErr w:type="spellEnd"/>
      <w:r>
        <w:t xml:space="preserve"> (a cura di), </w:t>
      </w:r>
      <w:r>
        <w:rPr>
          <w:i/>
        </w:rPr>
        <w:t xml:space="preserve">Architettura degli anni ’80 in Piemonte, </w:t>
      </w:r>
      <w:proofErr w:type="spellStart"/>
      <w:r>
        <w:t>Electa</w:t>
      </w:r>
      <w:proofErr w:type="spellEnd"/>
      <w:r>
        <w:t xml:space="preserve">, Milano 1990, </w:t>
      </w:r>
      <w:r>
        <w:t>Catalogo della Mostra omonima, Torino, Palazzina della Società Promotrice delle Belle Arti al Valentino, 7 luglio - 4 agosto 1990</w:t>
      </w:r>
      <w:r>
        <w:t xml:space="preserve">. </w:t>
      </w:r>
    </w:p>
  </w:footnote>
  <w:footnote w:id="35">
    <w:p>
      <w:pPr>
        <w:pStyle w:val="Testonotaapidipagina"/>
      </w:pPr>
      <w:r>
        <w:rPr>
          <w:rStyle w:val="Rimandonotaapidipagina"/>
        </w:rPr>
        <w:footnoteRef/>
      </w:r>
      <w:r>
        <w:t xml:space="preserve"> </w:t>
      </w:r>
      <w:r>
        <w:rPr>
          <w:i/>
        </w:rPr>
        <w:t>Ibidem,</w:t>
      </w:r>
      <w:r>
        <w:t xml:space="preserve"> pp. 19-20.</w:t>
      </w:r>
    </w:p>
  </w:footnote>
  <w:footnote w:id="36">
    <w:p>
      <w:pPr>
        <w:pStyle w:val="Testonotaapidipagina"/>
      </w:pPr>
      <w:r>
        <w:rPr>
          <w:rStyle w:val="Rimandonotaapidipagina"/>
        </w:rPr>
        <w:footnoteRef/>
      </w:r>
      <w:r>
        <w:t xml:space="preserve"> L. Falco, G. </w:t>
      </w:r>
      <w:proofErr w:type="spellStart"/>
      <w:r>
        <w:t>Rosental</w:t>
      </w:r>
      <w:proofErr w:type="spellEnd"/>
      <w:r>
        <w:t xml:space="preserve">, </w:t>
      </w:r>
      <w:r>
        <w:rPr>
          <w:i/>
        </w:rPr>
        <w:t>Alcune considerazioni sulla mostra dell’architettura degli anni ‘80 in Piemonte</w:t>
      </w:r>
      <w:r>
        <w:t xml:space="preserve">”, in P.A. </w:t>
      </w:r>
      <w:proofErr w:type="spellStart"/>
      <w:r>
        <w:t>Croset</w:t>
      </w:r>
      <w:proofErr w:type="spellEnd"/>
      <w:r>
        <w:t xml:space="preserve"> (a cura di), </w:t>
      </w:r>
      <w:r>
        <w:rPr>
          <w:i/>
        </w:rPr>
        <w:t xml:space="preserve">Architettura degli anni ’80 in Piemonte, </w:t>
      </w:r>
      <w:proofErr w:type="spellStart"/>
      <w:r>
        <w:t>Electa</w:t>
      </w:r>
      <w:proofErr w:type="spellEnd"/>
      <w:r>
        <w:t xml:space="preserve">, Milano 1990, pp. 15-18. </w:t>
      </w:r>
    </w:p>
  </w:footnote>
  <w:footnote w:id="37">
    <w:p>
      <w:pPr>
        <w:pStyle w:val="Testonotaapidipagina"/>
      </w:pPr>
      <w:r>
        <w:rPr>
          <w:rStyle w:val="Rimandonotaapidipagina"/>
        </w:rPr>
        <w:footnoteRef/>
      </w:r>
      <w:r>
        <w:t xml:space="preserve"> </w:t>
      </w:r>
      <w:r>
        <w:rPr>
          <w:rFonts w:cstheme="minorHAnsi"/>
        </w:rPr>
        <w:t>G. Lo Ricco, S. Micheli,</w:t>
      </w:r>
      <w:r>
        <w:rPr>
          <w:rFonts w:cstheme="minorHAnsi"/>
        </w:rPr>
        <w:t xml:space="preserve"> </w:t>
      </w:r>
      <w:r>
        <w:rPr>
          <w:rFonts w:cstheme="minorHAnsi"/>
          <w:i/>
          <w:iCs/>
        </w:rPr>
        <w:t>Lo spettacolo dell’architettura. Profilo dell’</w:t>
      </w:r>
      <w:proofErr w:type="spellStart"/>
      <w:r>
        <w:rPr>
          <w:rFonts w:cstheme="minorHAnsi"/>
          <w:i/>
          <w:iCs/>
        </w:rPr>
        <w:t>archistar</w:t>
      </w:r>
      <w:proofErr w:type="spellEnd"/>
      <w:r>
        <w:rPr>
          <w:rFonts w:cstheme="minorHAnsi"/>
          <w:i/>
          <w:iCs/>
          <w:vertAlign w:val="superscript"/>
        </w:rPr>
        <w:t xml:space="preserve">©,  </w:t>
      </w:r>
      <w:r>
        <w:rPr>
          <w:rFonts w:cstheme="minorHAnsi"/>
        </w:rPr>
        <w:t>Bruno Mondadori, Milano 2003;</w:t>
      </w:r>
      <w:r>
        <w:rPr>
          <w:rFonts w:cstheme="minorHAnsi"/>
        </w:rPr>
        <w:t xml:space="preserve"> </w:t>
      </w:r>
      <w:r>
        <w:rPr>
          <w:rFonts w:eastAsia="Times New Roman" w:cstheme="minorHAnsi"/>
          <w:color w:val="333333"/>
          <w:lang w:eastAsia="it-IT"/>
        </w:rPr>
        <w:t xml:space="preserve">F. La </w:t>
      </w:r>
      <w:proofErr w:type="spellStart"/>
      <w:r>
        <w:rPr>
          <w:rFonts w:eastAsia="Times New Roman" w:cstheme="minorHAnsi"/>
          <w:color w:val="333333"/>
          <w:lang w:eastAsia="it-IT"/>
        </w:rPr>
        <w:t>Cecla</w:t>
      </w:r>
      <w:proofErr w:type="spellEnd"/>
      <w:r>
        <w:rPr>
          <w:rFonts w:eastAsia="Times New Roman" w:cstheme="minorHAnsi"/>
          <w:color w:val="333333"/>
          <w:lang w:eastAsia="it-IT"/>
        </w:rPr>
        <w:t xml:space="preserve">, </w:t>
      </w:r>
      <w:r>
        <w:rPr>
          <w:rFonts w:eastAsia="Times New Roman" w:cstheme="minorHAnsi"/>
          <w:i/>
          <w:iCs/>
          <w:color w:val="333333"/>
          <w:lang w:eastAsia="it-IT"/>
        </w:rPr>
        <w:t>Contro l’architettura</w:t>
      </w:r>
      <w:r>
        <w:rPr>
          <w:rFonts w:eastAsia="Times New Roman" w:cstheme="minorHAnsi"/>
          <w:color w:val="333333"/>
          <w:lang w:eastAsia="it-IT"/>
        </w:rPr>
        <w:t xml:space="preserve">, Bollati </w:t>
      </w:r>
      <w:proofErr w:type="spellStart"/>
      <w:r>
        <w:rPr>
          <w:rFonts w:eastAsia="Times New Roman" w:cstheme="minorHAnsi"/>
          <w:color w:val="333333"/>
          <w:lang w:eastAsia="it-IT"/>
        </w:rPr>
        <w:t>Boringhieri</w:t>
      </w:r>
      <w:proofErr w:type="spellEnd"/>
      <w:r>
        <w:rPr>
          <w:rFonts w:eastAsia="Times New Roman" w:cstheme="minorHAnsi"/>
          <w:color w:val="333333"/>
          <w:lang w:eastAsia="it-IT"/>
        </w:rPr>
        <w:t>, Torino 2008.</w:t>
      </w:r>
      <w:r>
        <w:rPr>
          <w:rFonts w:cstheme="minorHAnsi"/>
        </w:rPr>
        <w:t xml:space="preserve">  </w:t>
      </w:r>
    </w:p>
  </w:footnote>
  <w:footnote w:id="38">
    <w:p>
      <w:pPr>
        <w:spacing w:after="0" w:line="240" w:lineRule="auto"/>
        <w:rPr>
          <w:rFonts w:eastAsia="Times New Roman" w:cstheme="minorHAnsi"/>
          <w:color w:val="333333"/>
          <w:sz w:val="20"/>
          <w:szCs w:val="20"/>
          <w:lang w:eastAsia="it-IT"/>
        </w:rPr>
      </w:pPr>
      <w:r>
        <w:rPr>
          <w:rStyle w:val="Rimandonotaapidipagina"/>
          <w:rFonts w:cstheme="minorHAnsi"/>
          <w:sz w:val="20"/>
          <w:szCs w:val="20"/>
        </w:rPr>
        <w:footnoteRef/>
      </w:r>
      <w:r>
        <w:rPr>
          <w:rFonts w:cstheme="minorHAnsi"/>
          <w:sz w:val="20"/>
          <w:szCs w:val="20"/>
        </w:rPr>
        <w:t xml:space="preserve"> M. </w:t>
      </w:r>
      <w:proofErr w:type="spellStart"/>
      <w:r>
        <w:rPr>
          <w:rFonts w:cstheme="minorHAnsi"/>
          <w:sz w:val="20"/>
          <w:szCs w:val="20"/>
        </w:rPr>
        <w:t>Augè</w:t>
      </w:r>
      <w:proofErr w:type="spellEnd"/>
      <w:r>
        <w:rPr>
          <w:rFonts w:cstheme="minorHAnsi"/>
          <w:sz w:val="20"/>
          <w:szCs w:val="20"/>
        </w:rPr>
        <w:t xml:space="preserve">, </w:t>
      </w:r>
      <w:proofErr w:type="spellStart"/>
      <w:r>
        <w:rPr>
          <w:i/>
          <w:sz w:val="20"/>
          <w:szCs w:val="20"/>
        </w:rPr>
        <w:t>Nonluoghi</w:t>
      </w:r>
      <w:proofErr w:type="spellEnd"/>
      <w:r>
        <w:rPr>
          <w:i/>
          <w:sz w:val="20"/>
          <w:szCs w:val="20"/>
        </w:rPr>
        <w:t>.</w:t>
      </w:r>
      <w:r>
        <w:rPr>
          <w:sz w:val="20"/>
          <w:szCs w:val="20"/>
        </w:rPr>
        <w:t xml:space="preserve"> </w:t>
      </w:r>
      <w:r>
        <w:rPr>
          <w:i/>
          <w:sz w:val="20"/>
          <w:szCs w:val="20"/>
        </w:rPr>
        <w:t>Introduzione a un'</w:t>
      </w:r>
      <w:r>
        <w:rPr>
          <w:i/>
          <w:sz w:val="20"/>
          <w:szCs w:val="20"/>
        </w:rPr>
        <w:t>antropologia della surmodernità</w:t>
      </w:r>
      <w:r>
        <w:rPr>
          <w:sz w:val="20"/>
          <w:szCs w:val="20"/>
        </w:rPr>
        <w:t xml:space="preserve">, </w:t>
      </w:r>
      <w:proofErr w:type="spellStart"/>
      <w:r>
        <w:rPr>
          <w:sz w:val="20"/>
          <w:szCs w:val="20"/>
        </w:rPr>
        <w:t>Elèuthera</w:t>
      </w:r>
      <w:proofErr w:type="spellEnd"/>
      <w:r>
        <w:rPr>
          <w:sz w:val="20"/>
          <w:szCs w:val="20"/>
        </w:rPr>
        <w:t xml:space="preserve">, Milano </w:t>
      </w:r>
      <w:r>
        <w:rPr>
          <w:sz w:val="20"/>
          <w:szCs w:val="20"/>
        </w:rPr>
        <w:t>2009</w:t>
      </w:r>
      <w:r>
        <w:rPr>
          <w:sz w:val="20"/>
          <w:szCs w:val="20"/>
        </w:rPr>
        <w:t>.</w:t>
      </w:r>
    </w:p>
    <w:p>
      <w:pPr>
        <w:pStyle w:val="Testonotaapidipagina"/>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482ECA"/>
    <w:multiLevelType w:val="hybridMultilevel"/>
    <w:tmpl w:val="6E82FDA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revisionView w:markup="0" w:comments="0" w:insDel="0" w:formatting="0" w:inkAnnotations="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Pr>
      <w:sz w:val="20"/>
      <w:szCs w:val="20"/>
    </w:rPr>
  </w:style>
  <w:style w:type="character" w:styleId="Rimandonotaapidipagina">
    <w:name w:val="footnote reference"/>
    <w:basedOn w:val="Carpredefinitoparagrafo"/>
    <w:uiPriority w:val="99"/>
    <w:semiHidden/>
    <w:unhideWhenUsed/>
    <w:rPr>
      <w:vertAlign w:val="superscript"/>
    </w:rPr>
  </w:style>
  <w:style w:type="character" w:styleId="Collegamentoipertestuale">
    <w:name w:val="Hyperlink"/>
    <w:basedOn w:val="Carpredefinitoparagrafo"/>
    <w:uiPriority w:val="99"/>
    <w:semiHidden/>
    <w:unhideWhenUsed/>
    <w:rPr>
      <w:color w:val="0000FF"/>
      <w:u w:val="single"/>
    </w:rPr>
  </w:style>
  <w:style w:type="character" w:styleId="Collegamentovisitato">
    <w:name w:val="FollowedHyperlink"/>
    <w:basedOn w:val="Carpredefinitoparagrafo"/>
    <w:uiPriority w:val="99"/>
    <w:semiHidden/>
    <w:unhideWhenUsed/>
    <w:rPr>
      <w:color w:val="800080" w:themeColor="followedHyperlink"/>
      <w:u w:val="single"/>
    </w:rPr>
  </w:style>
  <w:style w:type="paragraph" w:styleId="Paragrafoelenco">
    <w:name w:val="List Paragraph"/>
    <w:basedOn w:val="Normale"/>
    <w:uiPriority w:val="34"/>
    <w:qFormat/>
    <w:pPr>
      <w:ind w:left="720"/>
      <w:contextualSpacing/>
    </w:pPr>
  </w:style>
  <w:style w:type="paragraph" w:styleId="Intestazione">
    <w:name w:val="header"/>
    <w:basedOn w:val="Normale"/>
    <w:link w:val="IntestazioneCarattere"/>
    <w:uiPriority w:val="99"/>
    <w:unhideWhenUse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tyle>
  <w:style w:type="paragraph" w:styleId="Pidipagina">
    <w:name w:val="footer"/>
    <w:basedOn w:val="Normale"/>
    <w:link w:val="PidipaginaCarattere"/>
    <w:uiPriority w:val="99"/>
    <w:unhideWhenUse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Pr>
      <w:sz w:val="20"/>
      <w:szCs w:val="20"/>
    </w:rPr>
  </w:style>
  <w:style w:type="character" w:styleId="Rimandonotaapidipagina">
    <w:name w:val="footnote reference"/>
    <w:basedOn w:val="Carpredefinitoparagrafo"/>
    <w:uiPriority w:val="99"/>
    <w:semiHidden/>
    <w:unhideWhenUsed/>
    <w:rPr>
      <w:vertAlign w:val="superscript"/>
    </w:rPr>
  </w:style>
  <w:style w:type="character" w:styleId="Collegamentoipertestuale">
    <w:name w:val="Hyperlink"/>
    <w:basedOn w:val="Carpredefinitoparagrafo"/>
    <w:uiPriority w:val="99"/>
    <w:semiHidden/>
    <w:unhideWhenUsed/>
    <w:rPr>
      <w:color w:val="0000FF"/>
      <w:u w:val="single"/>
    </w:rPr>
  </w:style>
  <w:style w:type="character" w:styleId="Collegamentovisitato">
    <w:name w:val="FollowedHyperlink"/>
    <w:basedOn w:val="Carpredefinitoparagrafo"/>
    <w:uiPriority w:val="99"/>
    <w:semiHidden/>
    <w:unhideWhenUsed/>
    <w:rPr>
      <w:color w:val="800080" w:themeColor="followedHyperlink"/>
      <w:u w:val="single"/>
    </w:rPr>
  </w:style>
  <w:style w:type="paragraph" w:styleId="Paragrafoelenco">
    <w:name w:val="List Paragraph"/>
    <w:basedOn w:val="Normale"/>
    <w:uiPriority w:val="34"/>
    <w:qFormat/>
    <w:pPr>
      <w:ind w:left="720"/>
      <w:contextualSpacing/>
    </w:pPr>
  </w:style>
  <w:style w:type="paragraph" w:styleId="Intestazione">
    <w:name w:val="header"/>
    <w:basedOn w:val="Normale"/>
    <w:link w:val="IntestazioneCarattere"/>
    <w:uiPriority w:val="99"/>
    <w:unhideWhenUse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tyle>
  <w:style w:type="paragraph" w:styleId="Pidipagina">
    <w:name w:val="footer"/>
    <w:basedOn w:val="Normale"/>
    <w:link w:val="PidipaginaCarattere"/>
    <w:uiPriority w:val="99"/>
    <w:unhideWhenUse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9288474">
      <w:bodyDiv w:val="1"/>
      <w:marLeft w:val="0"/>
      <w:marRight w:val="0"/>
      <w:marTop w:val="0"/>
      <w:marBottom w:val="0"/>
      <w:divBdr>
        <w:top w:val="none" w:sz="0" w:space="0" w:color="auto"/>
        <w:left w:val="none" w:sz="0" w:space="0" w:color="auto"/>
        <w:bottom w:val="none" w:sz="0" w:space="0" w:color="auto"/>
        <w:right w:val="none" w:sz="0" w:space="0" w:color="auto"/>
      </w:divBdr>
      <w:divsChild>
        <w:div w:id="1392583473">
          <w:marLeft w:val="0"/>
          <w:marRight w:val="0"/>
          <w:marTop w:val="0"/>
          <w:marBottom w:val="0"/>
          <w:divBdr>
            <w:top w:val="none" w:sz="0" w:space="0" w:color="auto"/>
            <w:left w:val="none" w:sz="0" w:space="0" w:color="auto"/>
            <w:bottom w:val="none" w:sz="0" w:space="0" w:color="auto"/>
            <w:right w:val="none" w:sz="0" w:space="0" w:color="auto"/>
          </w:divBdr>
          <w:divsChild>
            <w:div w:id="659424799">
              <w:marLeft w:val="0"/>
              <w:marRight w:val="0"/>
              <w:marTop w:val="0"/>
              <w:marBottom w:val="0"/>
              <w:divBdr>
                <w:top w:val="none" w:sz="0" w:space="0" w:color="auto"/>
                <w:left w:val="none" w:sz="0" w:space="0" w:color="auto"/>
                <w:bottom w:val="none" w:sz="0" w:space="0" w:color="auto"/>
                <w:right w:val="none" w:sz="0" w:space="0" w:color="auto"/>
              </w:divBdr>
              <w:divsChild>
                <w:div w:id="354577213">
                  <w:marLeft w:val="0"/>
                  <w:marRight w:val="0"/>
                  <w:marTop w:val="0"/>
                  <w:marBottom w:val="0"/>
                  <w:divBdr>
                    <w:top w:val="none" w:sz="0" w:space="0" w:color="auto"/>
                    <w:left w:val="none" w:sz="0" w:space="0" w:color="auto"/>
                    <w:bottom w:val="none" w:sz="0" w:space="0" w:color="auto"/>
                    <w:right w:val="none" w:sz="0" w:space="0" w:color="auto"/>
                  </w:divBdr>
                  <w:divsChild>
                    <w:div w:id="330109653">
                      <w:marLeft w:val="0"/>
                      <w:marRight w:val="0"/>
                      <w:marTop w:val="0"/>
                      <w:marBottom w:val="0"/>
                      <w:divBdr>
                        <w:top w:val="none" w:sz="0" w:space="0" w:color="auto"/>
                        <w:left w:val="none" w:sz="0" w:space="0" w:color="auto"/>
                        <w:bottom w:val="none" w:sz="0" w:space="0" w:color="auto"/>
                        <w:right w:val="none" w:sz="0" w:space="0" w:color="auto"/>
                      </w:divBdr>
                      <w:divsChild>
                        <w:div w:id="1266115158">
                          <w:marLeft w:val="0"/>
                          <w:marRight w:val="0"/>
                          <w:marTop w:val="0"/>
                          <w:marBottom w:val="0"/>
                          <w:divBdr>
                            <w:top w:val="none" w:sz="0" w:space="0" w:color="auto"/>
                            <w:left w:val="none" w:sz="0" w:space="0" w:color="auto"/>
                            <w:bottom w:val="none" w:sz="0" w:space="0" w:color="auto"/>
                            <w:right w:val="none" w:sz="0" w:space="0" w:color="auto"/>
                          </w:divBdr>
                          <w:divsChild>
                            <w:div w:id="1710449916">
                              <w:marLeft w:val="0"/>
                              <w:marRight w:val="0"/>
                              <w:marTop w:val="0"/>
                              <w:marBottom w:val="0"/>
                              <w:divBdr>
                                <w:top w:val="none" w:sz="0" w:space="0" w:color="auto"/>
                                <w:left w:val="none" w:sz="0" w:space="0" w:color="auto"/>
                                <w:bottom w:val="none" w:sz="0" w:space="0" w:color="auto"/>
                                <w:right w:val="none" w:sz="0" w:space="0" w:color="auto"/>
                              </w:divBdr>
                              <w:divsChild>
                                <w:div w:id="1977834185">
                                  <w:marLeft w:val="0"/>
                                  <w:marRight w:val="0"/>
                                  <w:marTop w:val="450"/>
                                  <w:marBottom w:val="450"/>
                                  <w:divBdr>
                                    <w:top w:val="none" w:sz="0" w:space="0" w:color="auto"/>
                                    <w:left w:val="none" w:sz="0" w:space="0" w:color="auto"/>
                                    <w:bottom w:val="none" w:sz="0" w:space="0" w:color="auto"/>
                                    <w:right w:val="none" w:sz="0" w:space="0" w:color="auto"/>
                                  </w:divBdr>
                                  <w:divsChild>
                                    <w:div w:id="1641426086">
                                      <w:marLeft w:val="0"/>
                                      <w:marRight w:val="0"/>
                                      <w:marTop w:val="0"/>
                                      <w:marBottom w:val="0"/>
                                      <w:divBdr>
                                        <w:top w:val="none" w:sz="0" w:space="0" w:color="auto"/>
                                        <w:left w:val="none" w:sz="0" w:space="0" w:color="auto"/>
                                        <w:bottom w:val="none" w:sz="0" w:space="0" w:color="auto"/>
                                        <w:right w:val="none" w:sz="0" w:space="0" w:color="auto"/>
                                      </w:divBdr>
                                      <w:divsChild>
                                        <w:div w:id="690255241">
                                          <w:marLeft w:val="0"/>
                                          <w:marRight w:val="0"/>
                                          <w:marTop w:val="0"/>
                                          <w:marBottom w:val="0"/>
                                          <w:divBdr>
                                            <w:top w:val="none" w:sz="0" w:space="0" w:color="auto"/>
                                            <w:left w:val="none" w:sz="0" w:space="0" w:color="auto"/>
                                            <w:bottom w:val="none" w:sz="0" w:space="0" w:color="auto"/>
                                            <w:right w:val="none" w:sz="0" w:space="0" w:color="auto"/>
                                          </w:divBdr>
                                        </w:div>
                                        <w:div w:id="935871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7FA9DB-F395-4A56-8628-1D9D670561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697</TotalTime>
  <Pages>7</Pages>
  <Words>3041</Words>
  <Characters>17582</Characters>
  <Application>Microsoft Office Word</Application>
  <DocSecurity>0</DocSecurity>
  <Lines>234</Lines>
  <Paragraphs>39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Guido</dc:creator>
  <cp:keywords/>
  <dc:description/>
  <cp:lastModifiedBy>Guido</cp:lastModifiedBy>
  <cp:revision>26</cp:revision>
  <cp:lastPrinted>2012-12-10T22:53:00Z</cp:lastPrinted>
  <dcterms:created xsi:type="dcterms:W3CDTF">2012-11-18T19:01:00Z</dcterms:created>
  <dcterms:modified xsi:type="dcterms:W3CDTF">2012-12-10T23:10:00Z</dcterms:modified>
</cp:coreProperties>
</file>