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4612" w:rsidRPr="00922C07" w:rsidRDefault="00922C07"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caps/>
          <w:lang w:val="en-GB"/>
        </w:rPr>
      </w:pPr>
      <w:r w:rsidRPr="00922C07">
        <w:rPr>
          <w:lang w:val="en-GB"/>
        </w:rPr>
        <w:t xml:space="preserve">The Engagement Of Territorial Knowledge Communities With European Spatial Planning And The Territorial Cohesion Debate: A Baltic Perspective </w:t>
      </w:r>
    </w:p>
    <w:p w:rsidR="004B133B" w:rsidRDefault="004B133B" w:rsidP="0073759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i/>
          <w:sz w:val="22"/>
          <w:szCs w:val="22"/>
          <w:lang w:val="en-GB"/>
        </w:rPr>
      </w:pPr>
    </w:p>
    <w:p w:rsidR="00B84612" w:rsidRPr="00922C07" w:rsidRDefault="00B84612" w:rsidP="0073759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i/>
          <w:vertAlign w:val="superscript"/>
          <w:lang w:val="en-GB"/>
        </w:rPr>
      </w:pPr>
      <w:r w:rsidRPr="00922C07">
        <w:rPr>
          <w:i/>
          <w:lang w:val="en-GB"/>
        </w:rPr>
        <w:t xml:space="preserve">Neil </w:t>
      </w:r>
      <w:proofErr w:type="spellStart"/>
      <w:r w:rsidRPr="00922C07">
        <w:rPr>
          <w:i/>
          <w:lang w:val="en-GB"/>
        </w:rPr>
        <w:t>Adams</w:t>
      </w:r>
      <w:r w:rsidR="00737598" w:rsidRPr="00922C07">
        <w:rPr>
          <w:i/>
          <w:vertAlign w:val="superscript"/>
          <w:lang w:val="en-GB"/>
        </w:rPr>
        <w:t>I</w:t>
      </w:r>
      <w:proofErr w:type="spellEnd"/>
      <w:r w:rsidRPr="00922C07">
        <w:rPr>
          <w:i/>
          <w:lang w:val="en-GB"/>
        </w:rPr>
        <w:t xml:space="preserve"> (</w:t>
      </w:r>
      <w:r w:rsidRPr="00922C07">
        <w:rPr>
          <w:b/>
          <w:i/>
          <w:lang w:val="en-GB"/>
        </w:rPr>
        <w:t>corresponding author</w:t>
      </w:r>
      <w:r w:rsidRPr="00922C07">
        <w:rPr>
          <w:i/>
          <w:lang w:val="en-GB"/>
        </w:rPr>
        <w:t>)</w:t>
      </w:r>
      <w:r w:rsidR="00737598" w:rsidRPr="00922C07">
        <w:rPr>
          <w:i/>
          <w:lang w:val="en-GB"/>
        </w:rPr>
        <w:t xml:space="preserve">, Giancarlo </w:t>
      </w:r>
      <w:proofErr w:type="spellStart"/>
      <w:r w:rsidR="00737598" w:rsidRPr="00922C07">
        <w:rPr>
          <w:i/>
          <w:lang w:val="en-GB"/>
        </w:rPr>
        <w:t>Cotella</w:t>
      </w:r>
      <w:r w:rsidR="00737598" w:rsidRPr="00922C07">
        <w:rPr>
          <w:i/>
          <w:vertAlign w:val="superscript"/>
          <w:lang w:val="en-GB"/>
        </w:rPr>
        <w:t>II</w:t>
      </w:r>
      <w:proofErr w:type="spellEnd"/>
      <w:r w:rsidR="00737598" w:rsidRPr="00922C07">
        <w:rPr>
          <w:i/>
          <w:lang w:val="en-GB"/>
        </w:rPr>
        <w:t xml:space="preserve"> and Richard </w:t>
      </w:r>
      <w:proofErr w:type="spellStart"/>
      <w:r w:rsidR="00737598" w:rsidRPr="00922C07">
        <w:rPr>
          <w:i/>
          <w:lang w:val="en-GB"/>
        </w:rPr>
        <w:t>Nunes</w:t>
      </w:r>
      <w:r w:rsidR="00737598" w:rsidRPr="00922C07">
        <w:rPr>
          <w:i/>
          <w:vertAlign w:val="superscript"/>
          <w:lang w:val="en-GB"/>
        </w:rPr>
        <w:t>III</w:t>
      </w:r>
      <w:proofErr w:type="spellEnd"/>
    </w:p>
    <w:p w:rsidR="00B84612" w:rsidRPr="00737598" w:rsidRDefault="00737598" w:rsidP="00737598">
      <w:pPr>
        <w:tabs>
          <w:tab w:val="left" w:pos="28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ind w:left="284" w:hanging="284"/>
        <w:jc w:val="both"/>
        <w:rPr>
          <w:sz w:val="18"/>
          <w:szCs w:val="18"/>
          <w:lang w:val="en-GB"/>
        </w:rPr>
      </w:pPr>
      <w:r w:rsidRPr="00737598">
        <w:rPr>
          <w:sz w:val="18"/>
          <w:szCs w:val="18"/>
          <w:vertAlign w:val="superscript"/>
          <w:lang w:val="en-GB"/>
        </w:rPr>
        <w:t xml:space="preserve">I </w:t>
      </w:r>
      <w:r>
        <w:rPr>
          <w:sz w:val="18"/>
          <w:szCs w:val="18"/>
          <w:vertAlign w:val="superscript"/>
          <w:lang w:val="en-GB"/>
        </w:rPr>
        <w:t xml:space="preserve">    </w:t>
      </w:r>
      <w:r w:rsidR="00B84612" w:rsidRPr="00737598">
        <w:rPr>
          <w:sz w:val="18"/>
          <w:szCs w:val="18"/>
          <w:lang w:val="en-GB"/>
        </w:rPr>
        <w:t>Department of Urban, Environment and Leisure Studies</w:t>
      </w:r>
      <w:r w:rsidRPr="00737598">
        <w:rPr>
          <w:sz w:val="18"/>
          <w:szCs w:val="18"/>
          <w:lang w:val="en-GB"/>
        </w:rPr>
        <w:t xml:space="preserve"> </w:t>
      </w:r>
      <w:r w:rsidR="00077B16">
        <w:rPr>
          <w:sz w:val="18"/>
          <w:szCs w:val="18"/>
          <w:lang w:val="en-GB"/>
        </w:rPr>
        <w:t>| London South Bank University</w:t>
      </w:r>
      <w:r w:rsidR="006943D5" w:rsidRPr="00737598">
        <w:rPr>
          <w:sz w:val="18"/>
          <w:szCs w:val="18"/>
        </w:rPr>
        <w:t xml:space="preserve"> </w:t>
      </w:r>
      <w:r w:rsidR="00077B16">
        <w:rPr>
          <w:sz w:val="18"/>
          <w:szCs w:val="18"/>
        </w:rPr>
        <w:t>(</w:t>
      </w:r>
      <w:hyperlink r:id="rId9" w:history="1">
        <w:r w:rsidR="006943D5" w:rsidRPr="00737598">
          <w:rPr>
            <w:rStyle w:val="Hyperlink1"/>
            <w:sz w:val="18"/>
            <w:szCs w:val="18"/>
          </w:rPr>
          <w:t>adamsn3@lsbu.ac.uk</w:t>
        </w:r>
      </w:hyperlink>
      <w:r w:rsidR="00077B16">
        <w:rPr>
          <w:rStyle w:val="Hyperlink1"/>
          <w:sz w:val="18"/>
          <w:szCs w:val="18"/>
        </w:rPr>
        <w:t>)</w:t>
      </w:r>
    </w:p>
    <w:p w:rsidR="00B84612" w:rsidRPr="00737598" w:rsidRDefault="00737598" w:rsidP="00737598">
      <w:pPr>
        <w:tabs>
          <w:tab w:val="left" w:pos="28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ind w:left="284" w:hanging="284"/>
        <w:jc w:val="both"/>
        <w:rPr>
          <w:sz w:val="18"/>
          <w:szCs w:val="18"/>
          <w:lang w:val="en-GB"/>
        </w:rPr>
      </w:pPr>
      <w:r>
        <w:rPr>
          <w:sz w:val="18"/>
          <w:szCs w:val="18"/>
          <w:vertAlign w:val="superscript"/>
          <w:lang w:val="en-GB"/>
        </w:rPr>
        <w:t xml:space="preserve">II   </w:t>
      </w:r>
      <w:r w:rsidR="00E23385" w:rsidRPr="00737598">
        <w:rPr>
          <w:sz w:val="18"/>
          <w:szCs w:val="18"/>
          <w:lang w:val="en-GB"/>
        </w:rPr>
        <w:t xml:space="preserve">IPS – Department </w:t>
      </w:r>
      <w:r w:rsidR="001A12DB" w:rsidRPr="00737598">
        <w:rPr>
          <w:sz w:val="18"/>
          <w:szCs w:val="18"/>
          <w:lang w:val="en-GB"/>
        </w:rPr>
        <w:t xml:space="preserve">of </w:t>
      </w:r>
      <w:r w:rsidR="00E23385" w:rsidRPr="00737598">
        <w:rPr>
          <w:sz w:val="18"/>
          <w:szCs w:val="18"/>
          <w:lang w:val="en-GB"/>
        </w:rPr>
        <w:t xml:space="preserve">International Planning Systems | </w:t>
      </w:r>
      <w:r w:rsidR="003C3207" w:rsidRPr="00737598">
        <w:rPr>
          <w:sz w:val="18"/>
          <w:szCs w:val="18"/>
          <w:lang w:val="en-GB"/>
        </w:rPr>
        <w:t xml:space="preserve">University of </w:t>
      </w:r>
      <w:r w:rsidR="00E23385" w:rsidRPr="00737598">
        <w:rPr>
          <w:sz w:val="18"/>
          <w:szCs w:val="18"/>
          <w:lang w:val="en-GB"/>
        </w:rPr>
        <w:t>Kaiserslautern</w:t>
      </w:r>
      <w:r w:rsidR="00077B16">
        <w:rPr>
          <w:sz w:val="18"/>
          <w:szCs w:val="18"/>
          <w:lang w:val="en-GB"/>
        </w:rPr>
        <w:t xml:space="preserve"> (</w:t>
      </w:r>
      <w:hyperlink r:id="rId10" w:history="1">
        <w:r w:rsidR="003C3207" w:rsidRPr="00737598">
          <w:rPr>
            <w:rStyle w:val="Collegamentoipertestuale"/>
            <w:sz w:val="18"/>
            <w:szCs w:val="18"/>
            <w:lang w:val="en-GB"/>
          </w:rPr>
          <w:t>cotella@rhrk.uni-kl.de</w:t>
        </w:r>
      </w:hyperlink>
      <w:r w:rsidR="00077B16">
        <w:rPr>
          <w:sz w:val="18"/>
          <w:szCs w:val="18"/>
          <w:lang w:val="en-GB"/>
        </w:rPr>
        <w:t>)</w:t>
      </w:r>
    </w:p>
    <w:p w:rsidR="00B84612" w:rsidRPr="00737598" w:rsidRDefault="00737598" w:rsidP="00737598">
      <w:pPr>
        <w:tabs>
          <w:tab w:val="left" w:pos="28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ind w:left="284" w:hanging="284"/>
        <w:jc w:val="both"/>
        <w:rPr>
          <w:sz w:val="18"/>
          <w:szCs w:val="18"/>
          <w:lang w:val="en-GB"/>
        </w:rPr>
      </w:pPr>
      <w:r>
        <w:rPr>
          <w:sz w:val="18"/>
          <w:szCs w:val="18"/>
          <w:vertAlign w:val="superscript"/>
          <w:lang w:val="en-GB"/>
        </w:rPr>
        <w:t xml:space="preserve">III   </w:t>
      </w:r>
      <w:r w:rsidR="00BB7575" w:rsidRPr="00737598">
        <w:rPr>
          <w:sz w:val="18"/>
          <w:szCs w:val="18"/>
          <w:lang w:val="en-GB"/>
        </w:rPr>
        <w:t>School of Real Estate and Planning</w:t>
      </w:r>
      <w:r w:rsidR="00B84612" w:rsidRPr="00737598">
        <w:rPr>
          <w:sz w:val="18"/>
          <w:szCs w:val="18"/>
          <w:lang w:val="en-GB"/>
        </w:rPr>
        <w:t xml:space="preserve"> | University</w:t>
      </w:r>
      <w:r w:rsidR="00BB7575" w:rsidRPr="00737598">
        <w:rPr>
          <w:sz w:val="18"/>
          <w:szCs w:val="18"/>
          <w:lang w:val="en-GB"/>
        </w:rPr>
        <w:t xml:space="preserve"> of Reading</w:t>
      </w:r>
      <w:r w:rsidR="00077B16">
        <w:rPr>
          <w:sz w:val="18"/>
          <w:szCs w:val="18"/>
          <w:lang w:val="en-GB"/>
        </w:rPr>
        <w:t xml:space="preserve"> (</w:t>
      </w:r>
      <w:r w:rsidR="006943D5" w:rsidRPr="00737598">
        <w:rPr>
          <w:rStyle w:val="Hyperlink1"/>
          <w:sz w:val="18"/>
          <w:szCs w:val="18"/>
        </w:rPr>
        <w:t>r.j.nunes@reading.ac.uk</w:t>
      </w:r>
      <w:r w:rsidR="00077B16">
        <w:rPr>
          <w:rStyle w:val="Hyperlink1"/>
          <w:sz w:val="18"/>
          <w:szCs w:val="18"/>
        </w:rPr>
        <w:t>)</w:t>
      </w:r>
    </w:p>
    <w:p w:rsidR="00536CBC" w:rsidRDefault="00536CBC" w:rsidP="00737598">
      <w:pPr>
        <w:pStyle w:val="FreeForm"/>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rPr>
          <w:rFonts w:ascii="Times New Roman" w:hAnsi="Times New Roman"/>
          <w:b/>
        </w:rPr>
      </w:pPr>
    </w:p>
    <w:p w:rsidR="00737598" w:rsidRPr="00536CBC" w:rsidRDefault="00B84612" w:rsidP="00536CBC">
      <w:pPr>
        <w:pStyle w:val="FreeForm"/>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rFonts w:ascii="Times New Roman" w:hAnsi="Times New Roman"/>
          <w:lang w:eastAsia="en-US"/>
        </w:rPr>
      </w:pPr>
      <w:r w:rsidRPr="00145A97">
        <w:rPr>
          <w:rFonts w:ascii="Times New Roman" w:hAnsi="Times New Roman"/>
          <w:b/>
        </w:rPr>
        <w:t>Abstract</w:t>
      </w:r>
      <w:r w:rsidR="00536CBC">
        <w:rPr>
          <w:rFonts w:ascii="Times New Roman" w:hAnsi="Times New Roman"/>
          <w:b/>
        </w:rPr>
        <w:t xml:space="preserve">. </w:t>
      </w:r>
      <w:r w:rsidR="006765C3" w:rsidRPr="00536CBC">
        <w:rPr>
          <w:rFonts w:ascii="Times New Roman" w:hAnsi="Times New Roman"/>
          <w:lang w:eastAsia="en-US"/>
        </w:rPr>
        <w:t>Recent,</w:t>
      </w:r>
      <w:r w:rsidRPr="00536CBC">
        <w:rPr>
          <w:rFonts w:ascii="Times New Roman" w:hAnsi="Times New Roman"/>
          <w:lang w:eastAsia="en-US"/>
        </w:rPr>
        <w:t xml:space="preserve"> dramatic spatial development trends have contributed to </w:t>
      </w:r>
      <w:r w:rsidR="006765C3" w:rsidRPr="00536CBC">
        <w:rPr>
          <w:rFonts w:ascii="Times New Roman" w:hAnsi="Times New Roman"/>
          <w:lang w:eastAsia="en-US"/>
        </w:rPr>
        <w:t xml:space="preserve">the consolidation of </w:t>
      </w:r>
      <w:r w:rsidRPr="00536CBC">
        <w:rPr>
          <w:rFonts w:ascii="Times New Roman" w:hAnsi="Times New Roman"/>
          <w:lang w:eastAsia="en-US"/>
        </w:rPr>
        <w:t xml:space="preserve">a unique territorial governance landscape among the Baltic States. The paper brings a knowledge perspective to the transformation of this </w:t>
      </w:r>
      <w:r w:rsidR="00710B35" w:rsidRPr="00536CBC">
        <w:rPr>
          <w:rFonts w:ascii="Times New Roman" w:hAnsi="Times New Roman"/>
          <w:lang w:eastAsia="en-US"/>
        </w:rPr>
        <w:t>evolving institutional landscape for planning practice</w:t>
      </w:r>
      <w:r w:rsidR="006765C3" w:rsidRPr="00536CBC">
        <w:rPr>
          <w:rFonts w:ascii="Times New Roman" w:hAnsi="Times New Roman"/>
          <w:lang w:eastAsia="en-US"/>
        </w:rPr>
        <w:t xml:space="preserve"> and knowledge</w:t>
      </w:r>
      <w:r w:rsidRPr="00536CBC">
        <w:rPr>
          <w:rFonts w:ascii="Times New Roman" w:hAnsi="Times New Roman"/>
          <w:lang w:eastAsia="en-US"/>
        </w:rPr>
        <w:t xml:space="preserve">, which has been marked by the disintegration of Soviet </w:t>
      </w:r>
      <w:r w:rsidR="00622B1F">
        <w:rPr>
          <w:rFonts w:ascii="Times New Roman" w:hAnsi="Times New Roman"/>
          <w:lang w:eastAsia="en-US"/>
        </w:rPr>
        <w:t xml:space="preserve">institutions and </w:t>
      </w:r>
      <w:r w:rsidRPr="00536CBC">
        <w:rPr>
          <w:rFonts w:ascii="Times New Roman" w:hAnsi="Times New Roman"/>
          <w:lang w:eastAsia="en-US"/>
        </w:rPr>
        <w:t xml:space="preserve">networks, the complexities of the transition to a market-based economy and the process of accession to the EU. </w:t>
      </w:r>
      <w:r w:rsidR="00A83672" w:rsidRPr="00536CBC">
        <w:rPr>
          <w:rFonts w:ascii="Times New Roman" w:hAnsi="Times New Roman"/>
          <w:lang w:eastAsia="en-US"/>
        </w:rPr>
        <w:t>I</w:t>
      </w:r>
      <w:r w:rsidRPr="00536CBC">
        <w:rPr>
          <w:rFonts w:ascii="Times New Roman" w:hAnsi="Times New Roman"/>
          <w:lang w:eastAsia="en-US"/>
        </w:rPr>
        <w:t xml:space="preserve">t explores the evolution of territorial knowledge </w:t>
      </w:r>
      <w:r w:rsidR="00710B35" w:rsidRPr="00536CBC">
        <w:rPr>
          <w:rFonts w:ascii="Times New Roman" w:hAnsi="Times New Roman"/>
          <w:lang w:eastAsia="en-US"/>
        </w:rPr>
        <w:t xml:space="preserve">channels </w:t>
      </w:r>
      <w:r w:rsidRPr="00536CBC">
        <w:rPr>
          <w:rFonts w:ascii="Times New Roman" w:hAnsi="Times New Roman"/>
          <w:lang w:eastAsia="en-US"/>
        </w:rPr>
        <w:t xml:space="preserve">in the Baltic States, and the extent and nature of the engagement of </w:t>
      </w:r>
      <w:r w:rsidR="00506000" w:rsidRPr="00536CBC">
        <w:rPr>
          <w:rFonts w:ascii="Times New Roman" w:hAnsi="Times New Roman"/>
          <w:lang w:eastAsia="en-US"/>
        </w:rPr>
        <w:t>actors’</w:t>
      </w:r>
      <w:r w:rsidR="00710B35" w:rsidRPr="00536CBC">
        <w:rPr>
          <w:rFonts w:ascii="Times New Roman" w:hAnsi="Times New Roman"/>
          <w:lang w:eastAsia="en-US"/>
        </w:rPr>
        <w:t xml:space="preserve"> </w:t>
      </w:r>
      <w:r w:rsidRPr="00536CBC">
        <w:rPr>
          <w:rFonts w:ascii="Times New Roman" w:hAnsi="Times New Roman"/>
          <w:lang w:eastAsia="en-US"/>
        </w:rPr>
        <w:t xml:space="preserve">communities with the main knowledge arenas </w:t>
      </w:r>
      <w:r w:rsidR="00710B35" w:rsidRPr="00536CBC">
        <w:rPr>
          <w:rFonts w:ascii="Times New Roman" w:hAnsi="Times New Roman"/>
          <w:lang w:eastAsia="en-US"/>
        </w:rPr>
        <w:t xml:space="preserve">and resources </w:t>
      </w:r>
      <w:r w:rsidRPr="00536CBC">
        <w:rPr>
          <w:rFonts w:ascii="Times New Roman" w:hAnsi="Times New Roman"/>
          <w:lang w:eastAsia="en-US"/>
        </w:rPr>
        <w:t>of European spatial planning</w:t>
      </w:r>
      <w:r w:rsidR="00A83672" w:rsidRPr="00536CBC">
        <w:rPr>
          <w:rFonts w:ascii="Times New Roman" w:hAnsi="Times New Roman"/>
          <w:lang w:eastAsia="en-US"/>
        </w:rPr>
        <w:t xml:space="preserve">. The paper concludes that </w:t>
      </w:r>
      <w:r w:rsidR="00F950C7" w:rsidRPr="00536CBC">
        <w:rPr>
          <w:rFonts w:ascii="Times New Roman" w:hAnsi="Times New Roman"/>
          <w:lang w:eastAsia="en-US"/>
        </w:rPr>
        <w:t>recent shifts in the evol</w:t>
      </w:r>
      <w:r w:rsidR="007B11C1" w:rsidRPr="00536CBC">
        <w:rPr>
          <w:rFonts w:ascii="Times New Roman" w:hAnsi="Times New Roman"/>
          <w:lang w:eastAsia="en-US"/>
        </w:rPr>
        <w:t>ution of these channels suggest</w:t>
      </w:r>
      <w:r w:rsidR="00F950C7" w:rsidRPr="00536CBC">
        <w:rPr>
          <w:rFonts w:ascii="Times New Roman" w:hAnsi="Times New Roman"/>
          <w:lang w:eastAsia="en-US"/>
        </w:rPr>
        <w:t xml:space="preserve"> </w:t>
      </w:r>
      <w:r w:rsidR="007B11C1" w:rsidRPr="00536CBC">
        <w:rPr>
          <w:rFonts w:ascii="Times New Roman" w:hAnsi="Times New Roman"/>
          <w:lang w:eastAsia="en-US"/>
        </w:rPr>
        <w:t xml:space="preserve">the engagement of European spatial planning has concentrated </w:t>
      </w:r>
      <w:r w:rsidR="000559A3" w:rsidRPr="00536CBC">
        <w:rPr>
          <w:rFonts w:ascii="Times New Roman" w:hAnsi="Times New Roman"/>
          <w:lang w:eastAsia="en-US"/>
        </w:rPr>
        <w:t>among epistemic communities</w:t>
      </w:r>
      <w:r w:rsidR="007B11C1" w:rsidRPr="00536CBC">
        <w:rPr>
          <w:rFonts w:ascii="Times New Roman" w:hAnsi="Times New Roman"/>
          <w:lang w:eastAsia="en-US"/>
        </w:rPr>
        <w:t xml:space="preserve"> at State and trans-national levels </w:t>
      </w:r>
      <w:r w:rsidR="00F950C7" w:rsidRPr="00536CBC">
        <w:rPr>
          <w:rFonts w:ascii="Times New Roman" w:hAnsi="Times New Roman"/>
          <w:lang w:eastAsia="en-US"/>
        </w:rPr>
        <w:t xml:space="preserve">of </w:t>
      </w:r>
      <w:r w:rsidR="007B11C1" w:rsidRPr="00536CBC">
        <w:rPr>
          <w:rFonts w:ascii="Times New Roman" w:hAnsi="Times New Roman"/>
          <w:lang w:eastAsia="en-US"/>
        </w:rPr>
        <w:t>territorial governance</w:t>
      </w:r>
      <w:r w:rsidR="00F950C7" w:rsidRPr="00536CBC">
        <w:rPr>
          <w:rFonts w:ascii="Times New Roman" w:hAnsi="Times New Roman"/>
          <w:lang w:eastAsia="en-US"/>
        </w:rPr>
        <w:t xml:space="preserve">. </w:t>
      </w:r>
      <w:r w:rsidR="000C4D9C" w:rsidRPr="00536CBC">
        <w:rPr>
          <w:rFonts w:ascii="Times New Roman" w:hAnsi="Times New Roman"/>
          <w:lang w:eastAsia="en-US"/>
        </w:rPr>
        <w:t xml:space="preserve">The limited policy coordination across a broader spectrum of diverse actors at sub-national levels is compounded by the institutionally weak and fragmented nature of professional communities of practice, fragmented local government structures and the marginalisation of advocacy coalitions. </w:t>
      </w:r>
      <w:r w:rsidR="00E102A8" w:rsidRPr="00536CBC">
        <w:rPr>
          <w:rFonts w:ascii="Times New Roman" w:hAnsi="Times New Roman"/>
          <w:lang w:eastAsia="en-US"/>
        </w:rPr>
        <w:t xml:space="preserve">These shifts have been consistent with a neoliberal reassertion of economic priorities, State funding cuts to regional participation in EU projects and the dissolution </w:t>
      </w:r>
      <w:r w:rsidR="00622B1F">
        <w:rPr>
          <w:rFonts w:ascii="Times New Roman" w:hAnsi="Times New Roman"/>
          <w:lang w:eastAsia="en-US"/>
        </w:rPr>
        <w:t>of regional tiers of governance,</w:t>
      </w:r>
      <w:r w:rsidR="00E102A8" w:rsidRPr="00536CBC">
        <w:rPr>
          <w:rFonts w:ascii="Times New Roman" w:hAnsi="Times New Roman"/>
          <w:lang w:eastAsia="en-US"/>
        </w:rPr>
        <w:t xml:space="preserve"> the dismantling of State research institutions or knowledge networks </w:t>
      </w:r>
      <w:r w:rsidR="00622B1F">
        <w:rPr>
          <w:rFonts w:ascii="Times New Roman" w:hAnsi="Times New Roman"/>
          <w:lang w:eastAsia="en-US"/>
        </w:rPr>
        <w:t>long associated with central</w:t>
      </w:r>
      <w:r w:rsidR="00E102A8" w:rsidRPr="00536CBC">
        <w:rPr>
          <w:rFonts w:ascii="Times New Roman" w:hAnsi="Times New Roman"/>
          <w:lang w:eastAsia="en-US"/>
        </w:rPr>
        <w:t xml:space="preserve"> economic planning.</w:t>
      </w:r>
    </w:p>
    <w:p w:rsidR="00CB673D" w:rsidRDefault="00CB673D" w:rsidP="006022FB">
      <w:pPr>
        <w:pStyle w:val="FreeForm"/>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outlineLvl w:val="0"/>
        <w:rPr>
          <w:rFonts w:ascii="Times New Roman" w:hAnsi="Times New Roman"/>
          <w:b/>
        </w:rPr>
      </w:pPr>
    </w:p>
    <w:p w:rsidR="00B84612" w:rsidRPr="00145A97" w:rsidRDefault="00B84612" w:rsidP="006022FB">
      <w:pPr>
        <w:pStyle w:val="FreeForm"/>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outlineLvl w:val="0"/>
        <w:rPr>
          <w:rFonts w:ascii="Times New Roman" w:hAnsi="Times New Roman"/>
          <w:b/>
        </w:rPr>
      </w:pPr>
      <w:r w:rsidRPr="00145A97">
        <w:rPr>
          <w:rFonts w:ascii="Times New Roman" w:hAnsi="Times New Roman"/>
          <w:b/>
        </w:rPr>
        <w:t>Introduction</w:t>
      </w:r>
    </w:p>
    <w:p w:rsidR="00034C56" w:rsidRPr="00145A97" w:rsidRDefault="008734C0" w:rsidP="003B768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The nature of European spatial planning (ESP) as it has evolved in recent years has seen it characterised as a ‘learning machine’ (</w:t>
      </w:r>
      <w:proofErr w:type="spellStart"/>
      <w:r w:rsidRPr="00145A97">
        <w:rPr>
          <w:lang w:val="en-GB"/>
        </w:rPr>
        <w:t>Faludi</w:t>
      </w:r>
      <w:proofErr w:type="spellEnd"/>
      <w:r w:rsidRPr="00145A97">
        <w:rPr>
          <w:lang w:val="en-GB"/>
        </w:rPr>
        <w:t xml:space="preserve"> 2008) and this increases the appropriateness of </w:t>
      </w:r>
      <w:r w:rsidRPr="00145A97">
        <w:rPr>
          <w:lang w:val="en-GB"/>
        </w:rPr>
        <w:lastRenderedPageBreak/>
        <w:t xml:space="preserve">applying a knowledge perspective to the analysis of this evolution. </w:t>
      </w:r>
      <w:r w:rsidR="007C4742">
        <w:rPr>
          <w:lang w:val="en-GB"/>
        </w:rPr>
        <w:t>T</w:t>
      </w:r>
      <w:r w:rsidR="00B84612" w:rsidRPr="00145A97">
        <w:rPr>
          <w:lang w:val="en-GB"/>
        </w:rPr>
        <w:t xml:space="preserve">he paper explores </w:t>
      </w:r>
      <w:r w:rsidR="003B7684" w:rsidRPr="00145A97">
        <w:rPr>
          <w:lang w:val="en-GB"/>
        </w:rPr>
        <w:t xml:space="preserve">the evolution of territorial knowledge communities </w:t>
      </w:r>
      <w:r w:rsidR="007B3C3D" w:rsidRPr="00145A97">
        <w:rPr>
          <w:lang w:val="en-GB"/>
        </w:rPr>
        <w:t xml:space="preserve">(Adams </w:t>
      </w:r>
      <w:r w:rsidR="007B3C3D" w:rsidRPr="00145A97">
        <w:rPr>
          <w:i/>
          <w:lang w:val="en-GB"/>
        </w:rPr>
        <w:t xml:space="preserve">et al </w:t>
      </w:r>
      <w:r w:rsidR="007B3C3D" w:rsidRPr="00145A97">
        <w:rPr>
          <w:lang w:val="en-GB"/>
        </w:rPr>
        <w:t xml:space="preserve">2011) </w:t>
      </w:r>
      <w:r w:rsidR="003B7684" w:rsidRPr="00145A97">
        <w:rPr>
          <w:lang w:val="en-GB"/>
        </w:rPr>
        <w:t xml:space="preserve">in the Baltic States of Estonia, Latvia and Lithuania, and the extent and nature of the engagement of these communities with </w:t>
      </w:r>
      <w:r w:rsidR="00A74335">
        <w:rPr>
          <w:lang w:val="en-GB"/>
        </w:rPr>
        <w:t>some key</w:t>
      </w:r>
      <w:r w:rsidR="003B7684" w:rsidRPr="00145A97">
        <w:rPr>
          <w:lang w:val="en-GB"/>
        </w:rPr>
        <w:t xml:space="preserve"> knowledge arenas of </w:t>
      </w:r>
      <w:r w:rsidRPr="00145A97">
        <w:rPr>
          <w:lang w:val="en-GB"/>
        </w:rPr>
        <w:t>ESP</w:t>
      </w:r>
      <w:r w:rsidR="00A74335">
        <w:rPr>
          <w:lang w:val="en-GB"/>
        </w:rPr>
        <w:t xml:space="preserve">, particularly </w:t>
      </w:r>
      <w:r w:rsidR="007B3C3D" w:rsidRPr="00145A97">
        <w:rPr>
          <w:lang w:val="en-GB"/>
        </w:rPr>
        <w:t>the</w:t>
      </w:r>
      <w:r w:rsidR="00B84612" w:rsidRPr="00145A97">
        <w:rPr>
          <w:lang w:val="en-GB"/>
        </w:rPr>
        <w:t xml:space="preserve"> territorial cohesion debate. Th</w:t>
      </w:r>
      <w:r w:rsidR="00CD73D0" w:rsidRPr="00145A97">
        <w:rPr>
          <w:lang w:val="en-GB"/>
        </w:rPr>
        <w:t>is</w:t>
      </w:r>
      <w:r w:rsidR="007B3C3D" w:rsidRPr="00145A97">
        <w:rPr>
          <w:lang w:val="en-GB"/>
        </w:rPr>
        <w:t xml:space="preserve"> underlying</w:t>
      </w:r>
      <w:r w:rsidR="00B84612" w:rsidRPr="00145A97">
        <w:rPr>
          <w:lang w:val="en-GB"/>
        </w:rPr>
        <w:t xml:space="preserve"> knowledge perspective focuses on the </w:t>
      </w:r>
      <w:r w:rsidR="00756460" w:rsidRPr="00145A97">
        <w:rPr>
          <w:lang w:val="en-GB"/>
        </w:rPr>
        <w:t>role of knowledge in the policy process (</w:t>
      </w:r>
      <w:proofErr w:type="spellStart"/>
      <w:r w:rsidR="0099549C" w:rsidRPr="00145A97">
        <w:rPr>
          <w:lang w:val="en-GB"/>
        </w:rPr>
        <w:t>Radaelli</w:t>
      </w:r>
      <w:proofErr w:type="spellEnd"/>
      <w:r w:rsidR="0099549C" w:rsidRPr="00145A97">
        <w:rPr>
          <w:lang w:val="en-GB"/>
        </w:rPr>
        <w:t xml:space="preserve"> 1995</w:t>
      </w:r>
      <w:r w:rsidR="00756460" w:rsidRPr="00145A97">
        <w:rPr>
          <w:lang w:val="en-GB"/>
        </w:rPr>
        <w:t xml:space="preserve">) and more specifically on the </w:t>
      </w:r>
      <w:r w:rsidR="00B84612" w:rsidRPr="00145A97">
        <w:rPr>
          <w:lang w:val="en-GB"/>
        </w:rPr>
        <w:t>interplay of knowledge and policy development</w:t>
      </w:r>
      <w:r w:rsidR="00756460" w:rsidRPr="00145A97">
        <w:rPr>
          <w:lang w:val="en-GB"/>
        </w:rPr>
        <w:t xml:space="preserve">. </w:t>
      </w:r>
      <w:r w:rsidR="0064779A" w:rsidRPr="00145A97">
        <w:rPr>
          <w:lang w:val="en-GB"/>
        </w:rPr>
        <w:t xml:space="preserve">The role of diverse actors and networks is highlighted and the importance of a sufficiently broad spectrum of knowledge </w:t>
      </w:r>
      <w:r w:rsidR="0068332C">
        <w:rPr>
          <w:lang w:val="en-GB"/>
        </w:rPr>
        <w:t xml:space="preserve">(PURR 2011) </w:t>
      </w:r>
      <w:r w:rsidR="0064779A" w:rsidRPr="00145A97">
        <w:rPr>
          <w:lang w:val="en-GB"/>
        </w:rPr>
        <w:t>in the possession of epistemic communities (Haas 1992</w:t>
      </w:r>
      <w:r w:rsidR="00A44E4F" w:rsidRPr="00145A97">
        <w:rPr>
          <w:lang w:val="en-GB"/>
        </w:rPr>
        <w:t xml:space="preserve">, </w:t>
      </w:r>
      <w:proofErr w:type="spellStart"/>
      <w:r w:rsidR="00A44E4F" w:rsidRPr="00145A97">
        <w:rPr>
          <w:lang w:val="en-GB"/>
        </w:rPr>
        <w:t>Pallagst</w:t>
      </w:r>
      <w:proofErr w:type="spellEnd"/>
      <w:r w:rsidR="00A44E4F" w:rsidRPr="00145A97">
        <w:rPr>
          <w:lang w:val="en-GB"/>
        </w:rPr>
        <w:t xml:space="preserve"> 2006, 2011</w:t>
      </w:r>
      <w:r w:rsidR="0064779A" w:rsidRPr="00145A97">
        <w:rPr>
          <w:lang w:val="en-GB"/>
        </w:rPr>
        <w:t xml:space="preserve">), communities of practice (Lave and Wenger </w:t>
      </w:r>
      <w:r w:rsidR="00A44E4F" w:rsidRPr="00145A97">
        <w:rPr>
          <w:lang w:val="en-GB"/>
        </w:rPr>
        <w:t>1991</w:t>
      </w:r>
      <w:r w:rsidR="0064779A" w:rsidRPr="00145A97">
        <w:rPr>
          <w:lang w:val="en-GB"/>
        </w:rPr>
        <w:t>) and advocacy coalitions (</w:t>
      </w:r>
      <w:r w:rsidR="00A44E4F" w:rsidRPr="00145A97">
        <w:rPr>
          <w:lang w:val="en-GB"/>
        </w:rPr>
        <w:t>Sabatier and Jenkins-Smith, 1993</w:t>
      </w:r>
      <w:r w:rsidR="0064779A" w:rsidRPr="00145A97">
        <w:rPr>
          <w:lang w:val="en-GB"/>
        </w:rPr>
        <w:t xml:space="preserve">) is emphasised. </w:t>
      </w:r>
      <w:r w:rsidR="00756460" w:rsidRPr="00145A97">
        <w:rPr>
          <w:lang w:val="en-GB"/>
        </w:rPr>
        <w:t xml:space="preserve">The adopted approach explores </w:t>
      </w:r>
      <w:r w:rsidR="00B84612" w:rsidRPr="00145A97">
        <w:rPr>
          <w:lang w:val="en-GB"/>
        </w:rPr>
        <w:t>the way</w:t>
      </w:r>
      <w:r w:rsidR="0064779A" w:rsidRPr="00145A97">
        <w:rPr>
          <w:lang w:val="en-GB"/>
        </w:rPr>
        <w:t xml:space="preserve"> these</w:t>
      </w:r>
      <w:r w:rsidR="00B84612" w:rsidRPr="00145A97">
        <w:rPr>
          <w:lang w:val="en-GB"/>
        </w:rPr>
        <w:t xml:space="preserve"> territorial knowledge communities engage with different ‘knowledge arenas’ to advance, inform or legitimize policy agendas and approaches through the strategic use of ‘knowledge resources’ (Adams </w:t>
      </w:r>
      <w:r w:rsidR="00B84612" w:rsidRPr="00145A97">
        <w:rPr>
          <w:i/>
          <w:lang w:val="en-GB"/>
        </w:rPr>
        <w:t>et al</w:t>
      </w:r>
      <w:r w:rsidR="00B84612" w:rsidRPr="00145A97">
        <w:rPr>
          <w:lang w:val="en-GB"/>
        </w:rPr>
        <w:t xml:space="preserve"> 2011). </w:t>
      </w:r>
      <w:r w:rsidR="00586151" w:rsidRPr="00145A97">
        <w:rPr>
          <w:lang w:val="en-GB"/>
        </w:rPr>
        <w:t xml:space="preserve">Selected </w:t>
      </w:r>
      <w:r w:rsidR="00D07435" w:rsidRPr="00145A97">
        <w:rPr>
          <w:lang w:val="en-GB"/>
        </w:rPr>
        <w:t>multi-scalar institutional arrangements</w:t>
      </w:r>
      <w:r w:rsidR="00034C56" w:rsidRPr="00145A97">
        <w:rPr>
          <w:lang w:val="en-GB"/>
        </w:rPr>
        <w:t xml:space="preserve"> (‘territorial knowledge channels’)</w:t>
      </w:r>
      <w:r w:rsidR="00D07435" w:rsidRPr="00145A97">
        <w:rPr>
          <w:lang w:val="en-GB"/>
        </w:rPr>
        <w:t xml:space="preserve"> </w:t>
      </w:r>
      <w:r w:rsidR="00586151" w:rsidRPr="00145A97">
        <w:rPr>
          <w:lang w:val="en-GB"/>
        </w:rPr>
        <w:t xml:space="preserve">in the Baltic States are examined to explore how diverse actors and networks </w:t>
      </w:r>
      <w:r w:rsidR="00034C56" w:rsidRPr="00145A97">
        <w:rPr>
          <w:lang w:val="en-GB"/>
        </w:rPr>
        <w:t>may potentially</w:t>
      </w:r>
      <w:r w:rsidR="00B84612" w:rsidRPr="00145A97">
        <w:rPr>
          <w:lang w:val="en-GB"/>
        </w:rPr>
        <w:t xml:space="preserve"> influence the policy development process</w:t>
      </w:r>
      <w:r w:rsidR="008B15E9" w:rsidRPr="00145A97">
        <w:rPr>
          <w:lang w:val="en-GB"/>
        </w:rPr>
        <w:t xml:space="preserve"> </w:t>
      </w:r>
      <w:r w:rsidR="00B84612" w:rsidRPr="00145A97">
        <w:rPr>
          <w:lang w:val="en-GB"/>
        </w:rPr>
        <w:t>after having acquired the power to shape or ‘frame’ new ‘policy images’</w:t>
      </w:r>
      <w:r w:rsidR="00756460" w:rsidRPr="00145A97">
        <w:rPr>
          <w:lang w:val="en-GB"/>
        </w:rPr>
        <w:t xml:space="preserve"> (</w:t>
      </w:r>
      <w:proofErr w:type="spellStart"/>
      <w:r w:rsidR="00756460" w:rsidRPr="00145A97">
        <w:rPr>
          <w:lang w:val="en-GB"/>
        </w:rPr>
        <w:t>Kingdon</w:t>
      </w:r>
      <w:proofErr w:type="spellEnd"/>
      <w:r w:rsidR="00756460" w:rsidRPr="00145A97">
        <w:rPr>
          <w:lang w:val="en-GB"/>
        </w:rPr>
        <w:t xml:space="preserve"> 1995)</w:t>
      </w:r>
      <w:r w:rsidR="00B84612" w:rsidRPr="00145A97">
        <w:rPr>
          <w:lang w:val="en-GB"/>
        </w:rPr>
        <w:t>.</w:t>
      </w:r>
      <w:r w:rsidR="00613FF0" w:rsidRPr="00145A97">
        <w:rPr>
          <w:lang w:val="en-GB"/>
        </w:rPr>
        <w:t xml:space="preserve"> </w:t>
      </w:r>
    </w:p>
    <w:p w:rsidR="001605AA" w:rsidRPr="00145A97" w:rsidRDefault="00613FF0" w:rsidP="005E5F2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Despite their </w:t>
      </w:r>
      <w:r w:rsidR="00AD5EA2" w:rsidRPr="00145A97">
        <w:rPr>
          <w:lang w:val="en-GB"/>
        </w:rPr>
        <w:t xml:space="preserve">linguistic </w:t>
      </w:r>
      <w:r w:rsidRPr="00145A97">
        <w:rPr>
          <w:lang w:val="en-GB"/>
        </w:rPr>
        <w:t>and cultural diversity</w:t>
      </w:r>
      <w:r w:rsidR="00586151" w:rsidRPr="00145A97">
        <w:rPr>
          <w:lang w:val="en-GB"/>
        </w:rPr>
        <w:t xml:space="preserve"> (</w:t>
      </w:r>
      <w:proofErr w:type="spellStart"/>
      <w:r w:rsidR="00586151" w:rsidRPr="00145A97">
        <w:rPr>
          <w:lang w:val="en-GB"/>
        </w:rPr>
        <w:t>Lieven</w:t>
      </w:r>
      <w:proofErr w:type="spellEnd"/>
      <w:r w:rsidR="00586151" w:rsidRPr="00145A97">
        <w:rPr>
          <w:lang w:val="en-GB"/>
        </w:rPr>
        <w:t xml:space="preserve"> 1994, Smith </w:t>
      </w:r>
      <w:r w:rsidR="00586151" w:rsidRPr="00145A97">
        <w:rPr>
          <w:i/>
          <w:lang w:val="en-GB"/>
        </w:rPr>
        <w:t>et al</w:t>
      </w:r>
      <w:r w:rsidR="00586151" w:rsidRPr="00145A97">
        <w:rPr>
          <w:lang w:val="en-GB"/>
        </w:rPr>
        <w:t xml:space="preserve"> 2002)</w:t>
      </w:r>
      <w:r w:rsidR="001E48D6" w:rsidRPr="00145A97">
        <w:rPr>
          <w:lang w:val="en-GB"/>
        </w:rPr>
        <w:t>,</w:t>
      </w:r>
      <w:r w:rsidRPr="00145A97">
        <w:rPr>
          <w:lang w:val="en-GB"/>
        </w:rPr>
        <w:t xml:space="preserve"> the </w:t>
      </w:r>
      <w:r w:rsidR="001E48D6" w:rsidRPr="00145A97">
        <w:rPr>
          <w:lang w:val="en-GB"/>
        </w:rPr>
        <w:t>Baltic States</w:t>
      </w:r>
      <w:r w:rsidRPr="00145A97">
        <w:rPr>
          <w:lang w:val="en-GB"/>
        </w:rPr>
        <w:t xml:space="preserve"> possess similar characteristics in terms of location, size and collective memories shaped by shared recent histories. The disintegration of Soviet structures, networks and institutions combined with the complexities of transition to a market economy and the process of accession to the EU, contributed to new spatial development trends and challenges and a rapidly evolving territorial governance landscape. The </w:t>
      </w:r>
      <w:r w:rsidR="00926F5A">
        <w:rPr>
          <w:lang w:val="en-GB"/>
        </w:rPr>
        <w:t>respective</w:t>
      </w:r>
      <w:r w:rsidRPr="00145A97">
        <w:rPr>
          <w:lang w:val="en-GB"/>
        </w:rPr>
        <w:t xml:space="preserve"> planning systems have been continually readjusted to new realities where</w:t>
      </w:r>
      <w:r w:rsidR="006C3970" w:rsidRPr="00145A97">
        <w:rPr>
          <w:lang w:val="en-GB"/>
        </w:rPr>
        <w:t>by</w:t>
      </w:r>
      <w:r w:rsidRPr="00145A97">
        <w:rPr>
          <w:lang w:val="en-GB"/>
        </w:rPr>
        <w:t xml:space="preserve"> the absorption of EU structural funds </w:t>
      </w:r>
      <w:r w:rsidR="006C3970" w:rsidRPr="00145A97">
        <w:rPr>
          <w:lang w:val="en-GB"/>
        </w:rPr>
        <w:t>and</w:t>
      </w:r>
      <w:r w:rsidRPr="00145A97">
        <w:rPr>
          <w:lang w:val="en-GB"/>
        </w:rPr>
        <w:t xml:space="preserve"> the promotion of economic development have </w:t>
      </w:r>
      <w:r w:rsidR="00926F5A">
        <w:rPr>
          <w:lang w:val="en-GB"/>
        </w:rPr>
        <w:t>been prioritised</w:t>
      </w:r>
      <w:r w:rsidR="00276A61" w:rsidRPr="00145A97">
        <w:rPr>
          <w:lang w:val="en-GB"/>
        </w:rPr>
        <w:t>.</w:t>
      </w:r>
      <w:r w:rsidR="00034C56" w:rsidRPr="00145A97">
        <w:rPr>
          <w:lang w:val="en-GB"/>
        </w:rPr>
        <w:t xml:space="preserve"> </w:t>
      </w:r>
    </w:p>
    <w:p w:rsidR="005E5F25" w:rsidRPr="00145A97" w:rsidRDefault="00B946AB" w:rsidP="001D17D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Pr>
          <w:lang w:val="en-GB"/>
        </w:rPr>
        <w:t xml:space="preserve">The </w:t>
      </w:r>
      <w:r w:rsidR="00613FF0" w:rsidRPr="00145A97">
        <w:rPr>
          <w:lang w:val="en-GB"/>
        </w:rPr>
        <w:t xml:space="preserve">evidence suggests that </w:t>
      </w:r>
      <w:r w:rsidR="007C4742">
        <w:rPr>
          <w:lang w:val="en-GB"/>
        </w:rPr>
        <w:t xml:space="preserve">the </w:t>
      </w:r>
      <w:r w:rsidR="00613FF0" w:rsidRPr="00145A97">
        <w:rPr>
          <w:lang w:val="en-GB"/>
        </w:rPr>
        <w:t>engagement of Baltic actors in the key arenas of ESP has been marginal in comparison to other Central and Eastern European (CEE) countries</w:t>
      </w:r>
      <w:r w:rsidR="00AA4DA0" w:rsidRPr="00145A97">
        <w:rPr>
          <w:lang w:val="en-GB"/>
        </w:rPr>
        <w:t xml:space="preserve"> (</w:t>
      </w:r>
      <w:proofErr w:type="spellStart"/>
      <w:r w:rsidR="00AA4DA0" w:rsidRPr="00145A97">
        <w:rPr>
          <w:lang w:val="en-GB"/>
        </w:rPr>
        <w:t>Cotella</w:t>
      </w:r>
      <w:proofErr w:type="spellEnd"/>
      <w:r w:rsidR="00AA4DA0" w:rsidRPr="00145A97">
        <w:rPr>
          <w:lang w:val="en-GB"/>
        </w:rPr>
        <w:t xml:space="preserve"> </w:t>
      </w:r>
      <w:r w:rsidR="00AA4DA0" w:rsidRPr="00145A97">
        <w:rPr>
          <w:i/>
          <w:lang w:val="en-GB"/>
        </w:rPr>
        <w:t>et al</w:t>
      </w:r>
      <w:r w:rsidR="00AA4DA0" w:rsidRPr="00145A97">
        <w:rPr>
          <w:lang w:val="en-GB"/>
        </w:rPr>
        <w:t xml:space="preserve"> 201</w:t>
      </w:r>
      <w:r w:rsidR="00926F5A">
        <w:rPr>
          <w:lang w:val="en-GB"/>
        </w:rPr>
        <w:t>2</w:t>
      </w:r>
      <w:r w:rsidR="00AA4DA0" w:rsidRPr="00145A97">
        <w:rPr>
          <w:lang w:val="en-GB"/>
        </w:rPr>
        <w:t>)</w:t>
      </w:r>
      <w:r w:rsidR="007C4742">
        <w:rPr>
          <w:lang w:val="en-GB"/>
        </w:rPr>
        <w:t xml:space="preserve"> and that</w:t>
      </w:r>
      <w:r w:rsidR="00613FF0" w:rsidRPr="00145A97">
        <w:rPr>
          <w:lang w:val="en-GB"/>
        </w:rPr>
        <w:t xml:space="preserve"> detailed discussion over shared competencies </w:t>
      </w:r>
      <w:r w:rsidR="00A74335">
        <w:rPr>
          <w:lang w:val="en-GB"/>
        </w:rPr>
        <w:t xml:space="preserve">and </w:t>
      </w:r>
      <w:r w:rsidR="00613FF0" w:rsidRPr="00145A97">
        <w:rPr>
          <w:lang w:val="en-GB"/>
        </w:rPr>
        <w:t>actor engagement</w:t>
      </w:r>
      <w:r>
        <w:rPr>
          <w:lang w:val="en-GB"/>
        </w:rPr>
        <w:t xml:space="preserve"> appears to be limited</w:t>
      </w:r>
      <w:r w:rsidR="00613FF0" w:rsidRPr="00145A97">
        <w:rPr>
          <w:lang w:val="en-GB"/>
        </w:rPr>
        <w:t xml:space="preserve">. </w:t>
      </w:r>
      <w:r w:rsidR="0005151A" w:rsidRPr="00145A97">
        <w:rPr>
          <w:lang w:val="en-GB"/>
        </w:rPr>
        <w:lastRenderedPageBreak/>
        <w:t xml:space="preserve">Though </w:t>
      </w:r>
      <w:r w:rsidR="001E48D6" w:rsidRPr="00145A97">
        <w:rPr>
          <w:lang w:val="en-GB"/>
        </w:rPr>
        <w:t>t</w:t>
      </w:r>
      <w:r w:rsidR="00613FF0" w:rsidRPr="00145A97">
        <w:rPr>
          <w:lang w:val="en-GB"/>
        </w:rPr>
        <w:t>he</w:t>
      </w:r>
      <w:r w:rsidR="001D17D5" w:rsidRPr="00145A97">
        <w:rPr>
          <w:lang w:val="en-GB"/>
        </w:rPr>
        <w:t xml:space="preserve">re is evidence that high-level epistemic communities in the Baltic States are engaging in transnational and State-level discussions over strategic spatial planning of the Baltic Sea Region (BSR), </w:t>
      </w:r>
      <w:r w:rsidR="00613FF0" w:rsidRPr="00145A97">
        <w:rPr>
          <w:lang w:val="en-GB"/>
        </w:rPr>
        <w:t xml:space="preserve">the </w:t>
      </w:r>
      <w:r w:rsidR="00C161CD" w:rsidRPr="00145A97">
        <w:rPr>
          <w:lang w:val="en-GB"/>
        </w:rPr>
        <w:t xml:space="preserve">pragmatic attitude </w:t>
      </w:r>
      <w:r w:rsidR="00395C0C" w:rsidRPr="00145A97">
        <w:rPr>
          <w:lang w:val="en-GB"/>
        </w:rPr>
        <w:t>behind</w:t>
      </w:r>
      <w:r w:rsidR="00613FF0" w:rsidRPr="00145A97">
        <w:rPr>
          <w:lang w:val="en-GB"/>
        </w:rPr>
        <w:t xml:space="preserve"> this engagement</w:t>
      </w:r>
      <w:r w:rsidR="005E5F25" w:rsidRPr="00145A97">
        <w:rPr>
          <w:lang w:val="en-GB"/>
        </w:rPr>
        <w:t xml:space="preserve"> </w:t>
      </w:r>
      <w:r w:rsidR="00C161CD" w:rsidRPr="00145A97">
        <w:rPr>
          <w:lang w:val="en-GB"/>
        </w:rPr>
        <w:t xml:space="preserve">has </w:t>
      </w:r>
      <w:r w:rsidR="005E5F25" w:rsidRPr="00145A97">
        <w:rPr>
          <w:lang w:val="en-GB"/>
        </w:rPr>
        <w:t>often result</w:t>
      </w:r>
      <w:r w:rsidR="00C161CD" w:rsidRPr="00145A97">
        <w:rPr>
          <w:lang w:val="en-GB"/>
        </w:rPr>
        <w:t>ed</w:t>
      </w:r>
      <w:r w:rsidR="005E5F25" w:rsidRPr="00145A97">
        <w:rPr>
          <w:lang w:val="en-GB"/>
        </w:rPr>
        <w:t xml:space="preserve"> in mutually exclusive contributions to share</w:t>
      </w:r>
      <w:r w:rsidR="0005151A" w:rsidRPr="00145A97">
        <w:rPr>
          <w:lang w:val="en-GB"/>
        </w:rPr>
        <w:t>d</w:t>
      </w:r>
      <w:r w:rsidR="005E5F25" w:rsidRPr="00145A97">
        <w:rPr>
          <w:lang w:val="en-GB"/>
        </w:rPr>
        <w:t xml:space="preserve"> knowledge arenas.</w:t>
      </w:r>
      <w:r w:rsidR="00276A61" w:rsidRPr="00145A97">
        <w:rPr>
          <w:lang w:val="en-GB"/>
        </w:rPr>
        <w:t xml:space="preserve"> </w:t>
      </w:r>
      <w:r w:rsidR="001D17D5" w:rsidRPr="00145A97">
        <w:rPr>
          <w:lang w:val="en-GB"/>
        </w:rPr>
        <w:t>T</w:t>
      </w:r>
      <w:r w:rsidR="005E5F25" w:rsidRPr="00145A97">
        <w:rPr>
          <w:lang w:val="en-GB"/>
        </w:rPr>
        <w:t>h</w:t>
      </w:r>
      <w:r w:rsidR="00C161CD" w:rsidRPr="00145A97">
        <w:rPr>
          <w:lang w:val="en-GB"/>
        </w:rPr>
        <w:t>e</w:t>
      </w:r>
      <w:r w:rsidR="005E5F25" w:rsidRPr="00145A97">
        <w:rPr>
          <w:lang w:val="en-GB"/>
        </w:rPr>
        <w:t xml:space="preserve"> evolving institutional landscape for planning practice </w:t>
      </w:r>
      <w:r w:rsidR="001D17D5" w:rsidRPr="00145A97">
        <w:rPr>
          <w:lang w:val="en-GB"/>
        </w:rPr>
        <w:t xml:space="preserve">has </w:t>
      </w:r>
      <w:r w:rsidRPr="00145A97">
        <w:rPr>
          <w:lang w:val="en-GB"/>
        </w:rPr>
        <w:t xml:space="preserve">also </w:t>
      </w:r>
      <w:r w:rsidR="005E5F25" w:rsidRPr="00145A97">
        <w:rPr>
          <w:lang w:val="en-GB"/>
        </w:rPr>
        <w:t xml:space="preserve">been </w:t>
      </w:r>
      <w:r w:rsidR="00395C0C" w:rsidRPr="00145A97">
        <w:rPr>
          <w:lang w:val="en-GB"/>
        </w:rPr>
        <w:t>subject to Europeanization and internationalisation pressures</w:t>
      </w:r>
      <w:r w:rsidR="00A74335">
        <w:rPr>
          <w:lang w:val="en-GB"/>
        </w:rPr>
        <w:t xml:space="preserve">, facilitating </w:t>
      </w:r>
      <w:r w:rsidR="00E3672C" w:rsidRPr="00145A97">
        <w:rPr>
          <w:lang w:val="en-GB"/>
        </w:rPr>
        <w:t>processes of policy mobility (</w:t>
      </w:r>
      <w:proofErr w:type="spellStart"/>
      <w:r w:rsidR="00E3672C" w:rsidRPr="00145A97">
        <w:rPr>
          <w:lang w:val="en-GB"/>
        </w:rPr>
        <w:t>Larner</w:t>
      </w:r>
      <w:proofErr w:type="spellEnd"/>
      <w:r w:rsidR="00E3672C" w:rsidRPr="00145A97">
        <w:rPr>
          <w:lang w:val="en-GB"/>
        </w:rPr>
        <w:t xml:space="preserve"> and Laurie 2010)</w:t>
      </w:r>
      <w:r w:rsidR="00966C2B" w:rsidRPr="00145A97">
        <w:rPr>
          <w:lang w:val="en-GB"/>
        </w:rPr>
        <w:t>, which are</w:t>
      </w:r>
      <w:r w:rsidR="00E3672C" w:rsidRPr="00145A97">
        <w:rPr>
          <w:lang w:val="en-GB"/>
        </w:rPr>
        <w:t xml:space="preserve"> </w:t>
      </w:r>
      <w:r w:rsidR="00695AF2" w:rsidRPr="00145A97">
        <w:rPr>
          <w:lang w:val="en-GB"/>
        </w:rPr>
        <w:t>deriv</w:t>
      </w:r>
      <w:r w:rsidR="00CE6B64" w:rsidRPr="00145A97">
        <w:rPr>
          <w:lang w:val="en-GB"/>
        </w:rPr>
        <w:t>ed</w:t>
      </w:r>
      <w:r w:rsidR="00695AF2" w:rsidRPr="00145A97">
        <w:rPr>
          <w:lang w:val="en-GB"/>
        </w:rPr>
        <w:t xml:space="preserve"> from</w:t>
      </w:r>
      <w:r w:rsidR="00395C0C" w:rsidRPr="00145A97">
        <w:rPr>
          <w:lang w:val="en-GB"/>
        </w:rPr>
        <w:t xml:space="preserve"> the </w:t>
      </w:r>
      <w:r w:rsidR="005E5F25" w:rsidRPr="00145A97">
        <w:rPr>
          <w:lang w:val="en-GB"/>
        </w:rPr>
        <w:t>increasing confront</w:t>
      </w:r>
      <w:r w:rsidR="00395C0C" w:rsidRPr="00145A97">
        <w:rPr>
          <w:lang w:val="en-GB"/>
        </w:rPr>
        <w:t>ation</w:t>
      </w:r>
      <w:r w:rsidR="005E5F25" w:rsidRPr="00145A97">
        <w:rPr>
          <w:lang w:val="en-GB"/>
        </w:rPr>
        <w:t xml:space="preserve"> with </w:t>
      </w:r>
      <w:r w:rsidR="00966C2B" w:rsidRPr="00145A97">
        <w:rPr>
          <w:lang w:val="en-GB"/>
        </w:rPr>
        <w:t xml:space="preserve">planning </w:t>
      </w:r>
      <w:r w:rsidR="005E5F25" w:rsidRPr="00145A97">
        <w:rPr>
          <w:lang w:val="en-GB"/>
        </w:rPr>
        <w:t xml:space="preserve">practices and approaches from elsewhere </w:t>
      </w:r>
      <w:r w:rsidR="00966C2B" w:rsidRPr="00145A97">
        <w:rPr>
          <w:lang w:val="en-GB"/>
        </w:rPr>
        <w:t xml:space="preserve">as well as </w:t>
      </w:r>
      <w:r w:rsidR="00695AF2" w:rsidRPr="00145A97">
        <w:rPr>
          <w:lang w:val="en-GB"/>
        </w:rPr>
        <w:t>the incremental consolidation of a</w:t>
      </w:r>
      <w:r w:rsidR="00E3672C" w:rsidRPr="00145A97">
        <w:rPr>
          <w:lang w:val="en-GB"/>
        </w:rPr>
        <w:t>n</w:t>
      </w:r>
      <w:r w:rsidR="00695AF2" w:rsidRPr="00145A97">
        <w:rPr>
          <w:lang w:val="en-GB"/>
        </w:rPr>
        <w:t xml:space="preserve"> EU territorial governance framework (Bohme and </w:t>
      </w:r>
      <w:proofErr w:type="spellStart"/>
      <w:r w:rsidR="00695AF2" w:rsidRPr="00145A97">
        <w:rPr>
          <w:lang w:val="en-GB"/>
        </w:rPr>
        <w:t>Waterhout</w:t>
      </w:r>
      <w:proofErr w:type="spellEnd"/>
      <w:r w:rsidR="00695AF2" w:rsidRPr="00145A97">
        <w:rPr>
          <w:lang w:val="en-GB"/>
        </w:rPr>
        <w:t xml:space="preserve"> 2008; </w:t>
      </w:r>
      <w:proofErr w:type="spellStart"/>
      <w:r w:rsidR="005E5F25" w:rsidRPr="00145A97">
        <w:rPr>
          <w:lang w:val="en-GB"/>
        </w:rPr>
        <w:t>Waterhout</w:t>
      </w:r>
      <w:proofErr w:type="spellEnd"/>
      <w:r w:rsidR="005E5F25" w:rsidRPr="00145A97">
        <w:rPr>
          <w:lang w:val="en-GB"/>
        </w:rPr>
        <w:t xml:space="preserve"> </w:t>
      </w:r>
      <w:r w:rsidR="005E5F25" w:rsidRPr="00145A97">
        <w:rPr>
          <w:i/>
          <w:lang w:val="en-GB"/>
        </w:rPr>
        <w:t>et al</w:t>
      </w:r>
      <w:r w:rsidR="005E5F25" w:rsidRPr="00145A97">
        <w:rPr>
          <w:lang w:val="en-GB"/>
        </w:rPr>
        <w:t xml:space="preserve"> 2009</w:t>
      </w:r>
      <w:r w:rsidR="00695AF2" w:rsidRPr="00145A97">
        <w:rPr>
          <w:lang w:val="en-GB"/>
        </w:rPr>
        <w:t xml:space="preserve">; </w:t>
      </w:r>
      <w:proofErr w:type="spellStart"/>
      <w:r w:rsidR="00695AF2" w:rsidRPr="00145A97">
        <w:rPr>
          <w:lang w:val="en-GB"/>
        </w:rPr>
        <w:t>Janin</w:t>
      </w:r>
      <w:proofErr w:type="spellEnd"/>
      <w:r w:rsidR="00695AF2" w:rsidRPr="00145A97">
        <w:rPr>
          <w:lang w:val="en-GB"/>
        </w:rPr>
        <w:t xml:space="preserve"> </w:t>
      </w:r>
      <w:proofErr w:type="spellStart"/>
      <w:r w:rsidR="00695AF2" w:rsidRPr="00145A97">
        <w:rPr>
          <w:lang w:val="en-GB"/>
        </w:rPr>
        <w:t>Rivolin</w:t>
      </w:r>
      <w:proofErr w:type="spellEnd"/>
      <w:r w:rsidR="00695AF2" w:rsidRPr="00145A97">
        <w:rPr>
          <w:lang w:val="en-GB"/>
        </w:rPr>
        <w:t xml:space="preserve"> 2010; </w:t>
      </w:r>
      <w:proofErr w:type="spellStart"/>
      <w:r w:rsidR="00695AF2" w:rsidRPr="00145A97">
        <w:rPr>
          <w:lang w:val="en-GB"/>
        </w:rPr>
        <w:t>Cotella</w:t>
      </w:r>
      <w:proofErr w:type="spellEnd"/>
      <w:r w:rsidR="00695AF2" w:rsidRPr="00145A97">
        <w:rPr>
          <w:lang w:val="en-GB"/>
        </w:rPr>
        <w:t xml:space="preserve"> and </w:t>
      </w:r>
      <w:proofErr w:type="spellStart"/>
      <w:r w:rsidR="00695AF2" w:rsidRPr="00145A97">
        <w:rPr>
          <w:lang w:val="en-GB"/>
        </w:rPr>
        <w:t>Janin</w:t>
      </w:r>
      <w:proofErr w:type="spellEnd"/>
      <w:r w:rsidR="00695AF2" w:rsidRPr="00145A97">
        <w:rPr>
          <w:lang w:val="en-GB"/>
        </w:rPr>
        <w:t xml:space="preserve"> </w:t>
      </w:r>
      <w:proofErr w:type="spellStart"/>
      <w:r w:rsidR="00695AF2" w:rsidRPr="00145A97">
        <w:rPr>
          <w:lang w:val="en-GB"/>
        </w:rPr>
        <w:t>Rivolin</w:t>
      </w:r>
      <w:proofErr w:type="spellEnd"/>
      <w:r w:rsidR="00695AF2" w:rsidRPr="00145A97">
        <w:rPr>
          <w:lang w:val="en-GB"/>
        </w:rPr>
        <w:t xml:space="preserve">; 2010; </w:t>
      </w:r>
      <w:proofErr w:type="spellStart"/>
      <w:r w:rsidR="00695AF2" w:rsidRPr="000E42EB">
        <w:rPr>
          <w:lang w:val="en-GB"/>
        </w:rPr>
        <w:t>Cotella</w:t>
      </w:r>
      <w:proofErr w:type="spellEnd"/>
      <w:r w:rsidR="00695AF2" w:rsidRPr="000E42EB">
        <w:rPr>
          <w:lang w:val="en-GB"/>
        </w:rPr>
        <w:t xml:space="preserve"> </w:t>
      </w:r>
      <w:r w:rsidR="00695AF2" w:rsidRPr="000E42EB">
        <w:rPr>
          <w:i/>
          <w:lang w:val="en-GB"/>
        </w:rPr>
        <w:t>et al</w:t>
      </w:r>
      <w:r w:rsidR="00695AF2" w:rsidRPr="000E42EB">
        <w:rPr>
          <w:lang w:val="en-GB"/>
        </w:rPr>
        <w:t xml:space="preserve"> 2011;</w:t>
      </w:r>
      <w:r w:rsidR="00695AF2" w:rsidRPr="00145A97">
        <w:rPr>
          <w:lang w:val="en-GB"/>
        </w:rPr>
        <w:t xml:space="preserve"> Stead and </w:t>
      </w:r>
      <w:proofErr w:type="spellStart"/>
      <w:r w:rsidR="00695AF2" w:rsidRPr="00145A97">
        <w:rPr>
          <w:lang w:val="en-GB"/>
        </w:rPr>
        <w:t>Cotella</w:t>
      </w:r>
      <w:proofErr w:type="spellEnd"/>
      <w:r w:rsidR="00695AF2" w:rsidRPr="00145A97">
        <w:rPr>
          <w:lang w:val="en-GB"/>
        </w:rPr>
        <w:t xml:space="preserve"> 2011</w:t>
      </w:r>
      <w:r w:rsidR="005E5F25" w:rsidRPr="00145A97">
        <w:rPr>
          <w:lang w:val="en-GB"/>
        </w:rPr>
        <w:t xml:space="preserve">). </w:t>
      </w:r>
      <w:r w:rsidR="00CF39AA" w:rsidRPr="00145A97">
        <w:rPr>
          <w:lang w:val="en-GB"/>
        </w:rPr>
        <w:t xml:space="preserve">The recently published </w:t>
      </w:r>
      <w:r w:rsidR="006943D5" w:rsidRPr="00145A97">
        <w:rPr>
          <w:i/>
          <w:lang w:val="en-GB"/>
        </w:rPr>
        <w:t xml:space="preserve">Fifth Report on Economic, </w:t>
      </w:r>
      <w:r w:rsidR="00CD73D0" w:rsidRPr="00145A97">
        <w:rPr>
          <w:i/>
          <w:lang w:val="en-GB"/>
        </w:rPr>
        <w:t>S</w:t>
      </w:r>
      <w:r w:rsidR="006943D5" w:rsidRPr="00145A97">
        <w:rPr>
          <w:i/>
          <w:lang w:val="en-GB"/>
        </w:rPr>
        <w:t>ocial and Territorial Cohesion</w:t>
      </w:r>
      <w:r w:rsidR="00695AF2" w:rsidRPr="00145A97">
        <w:rPr>
          <w:lang w:val="en-GB"/>
        </w:rPr>
        <w:t xml:space="preserve"> (CEC, 2011)</w:t>
      </w:r>
      <w:r w:rsidR="00CF39AA" w:rsidRPr="00145A97">
        <w:rPr>
          <w:lang w:val="en-GB"/>
        </w:rPr>
        <w:t xml:space="preserve"> emphasise</w:t>
      </w:r>
      <w:r w:rsidR="001D17D5" w:rsidRPr="00145A97">
        <w:rPr>
          <w:lang w:val="en-GB"/>
        </w:rPr>
        <w:t>s</w:t>
      </w:r>
      <w:r w:rsidR="00CF39AA" w:rsidRPr="00145A97">
        <w:rPr>
          <w:lang w:val="en-GB"/>
        </w:rPr>
        <w:t xml:space="preserve"> that</w:t>
      </w:r>
      <w:r w:rsidR="00695AF2" w:rsidRPr="00145A97">
        <w:rPr>
          <w:lang w:val="en-GB"/>
        </w:rPr>
        <w:t xml:space="preserve"> </w:t>
      </w:r>
      <w:r w:rsidR="00EE201B" w:rsidRPr="00145A97">
        <w:rPr>
          <w:lang w:val="en-GB"/>
        </w:rPr>
        <w:t>t</w:t>
      </w:r>
      <w:r w:rsidR="005E5F25" w:rsidRPr="00145A97">
        <w:rPr>
          <w:lang w:val="en-GB"/>
        </w:rPr>
        <w:t>hese</w:t>
      </w:r>
      <w:r w:rsidR="00695AF2" w:rsidRPr="00145A97">
        <w:rPr>
          <w:lang w:val="en-GB"/>
        </w:rPr>
        <w:t xml:space="preserve"> processes</w:t>
      </w:r>
      <w:r w:rsidR="00EE201B" w:rsidRPr="00145A97">
        <w:rPr>
          <w:lang w:val="en-GB"/>
        </w:rPr>
        <w:t xml:space="preserve"> </w:t>
      </w:r>
      <w:r w:rsidR="005E5F25" w:rsidRPr="00145A97">
        <w:rPr>
          <w:lang w:val="en-GB"/>
        </w:rPr>
        <w:t>may reveal competing knowledge claims and associated power and competence struggles</w:t>
      </w:r>
      <w:r w:rsidR="00EE201B" w:rsidRPr="00145A97">
        <w:rPr>
          <w:lang w:val="en-GB"/>
        </w:rPr>
        <w:t>, t</w:t>
      </w:r>
      <w:r w:rsidR="005E5F25" w:rsidRPr="00145A97">
        <w:rPr>
          <w:lang w:val="en-GB"/>
        </w:rPr>
        <w:t>ogether with the importance of an EU role in better co-ordination and co-operation</w:t>
      </w:r>
      <w:r w:rsidR="00EE201B" w:rsidRPr="00145A97">
        <w:rPr>
          <w:lang w:val="en-GB"/>
        </w:rPr>
        <w:t xml:space="preserve">. </w:t>
      </w:r>
      <w:r w:rsidR="00CF39AA" w:rsidRPr="00145A97">
        <w:rPr>
          <w:lang w:val="en-GB"/>
        </w:rPr>
        <w:t xml:space="preserve">The Report </w:t>
      </w:r>
      <w:r w:rsidR="00EE201B" w:rsidRPr="00145A97">
        <w:rPr>
          <w:lang w:val="en-GB"/>
        </w:rPr>
        <w:t>underlines how</w:t>
      </w:r>
      <w:r w:rsidR="005E5F25" w:rsidRPr="00145A97">
        <w:rPr>
          <w:lang w:val="en-GB"/>
        </w:rPr>
        <w:t xml:space="preserve"> emphasis </w:t>
      </w:r>
      <w:r w:rsidR="00EE201B" w:rsidRPr="00145A97">
        <w:rPr>
          <w:lang w:val="en-GB"/>
        </w:rPr>
        <w:t>should be</w:t>
      </w:r>
      <w:r w:rsidR="005E5F25" w:rsidRPr="00145A97">
        <w:rPr>
          <w:lang w:val="en-GB"/>
        </w:rPr>
        <w:t xml:space="preserve"> placed on </w:t>
      </w:r>
      <w:r w:rsidR="00EE201B" w:rsidRPr="00145A97">
        <w:rPr>
          <w:lang w:val="en-GB"/>
        </w:rPr>
        <w:t xml:space="preserve">the </w:t>
      </w:r>
      <w:r w:rsidR="005E5F25" w:rsidRPr="00145A97">
        <w:rPr>
          <w:lang w:val="en-GB"/>
        </w:rPr>
        <w:t>newly shared competences between the EU and Member States over territorial cohesion matters as well as the increasing importance of engaging broad coalitions of actors.</w:t>
      </w:r>
    </w:p>
    <w:p w:rsidR="001330F0" w:rsidRPr="00145A97" w:rsidRDefault="000E42EB" w:rsidP="001330F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7C4742">
        <w:rPr>
          <w:lang w:val="en-GB"/>
        </w:rPr>
        <w:t>T</w:t>
      </w:r>
      <w:r w:rsidR="00AD5EA2" w:rsidRPr="007C4742">
        <w:rPr>
          <w:lang w:val="en-GB"/>
        </w:rPr>
        <w:t xml:space="preserve">he challenges of policy co-ordination across a broad spectrum of actors merit further investigation (Stead and </w:t>
      </w:r>
      <w:proofErr w:type="spellStart"/>
      <w:r w:rsidR="00AD5EA2" w:rsidRPr="007C4742">
        <w:rPr>
          <w:lang w:val="en-GB"/>
        </w:rPr>
        <w:t>Meijers</w:t>
      </w:r>
      <w:proofErr w:type="spellEnd"/>
      <w:r w:rsidR="00AD5EA2" w:rsidRPr="007C4742">
        <w:rPr>
          <w:lang w:val="en-GB"/>
        </w:rPr>
        <w:t xml:space="preserve"> 2009). </w:t>
      </w:r>
      <w:r w:rsidR="001330F0" w:rsidRPr="007C4742">
        <w:rPr>
          <w:lang w:val="en-GB"/>
        </w:rPr>
        <w:t xml:space="preserve">The </w:t>
      </w:r>
      <w:r w:rsidR="00B946AB" w:rsidRPr="007C4742">
        <w:rPr>
          <w:lang w:val="en-GB"/>
        </w:rPr>
        <w:t>current</w:t>
      </w:r>
      <w:r w:rsidR="00966C2B" w:rsidRPr="007C4742">
        <w:rPr>
          <w:lang w:val="en-GB"/>
        </w:rPr>
        <w:t xml:space="preserve"> paper argues</w:t>
      </w:r>
      <w:r w:rsidR="001330F0" w:rsidRPr="007C4742">
        <w:rPr>
          <w:lang w:val="en-GB"/>
        </w:rPr>
        <w:t xml:space="preserve"> that recent shifts in the evolution of </w:t>
      </w:r>
      <w:r w:rsidR="00966C2B" w:rsidRPr="007C4742">
        <w:rPr>
          <w:lang w:val="en-GB"/>
        </w:rPr>
        <w:t xml:space="preserve">territorial </w:t>
      </w:r>
      <w:r w:rsidR="001330F0" w:rsidRPr="007C4742">
        <w:rPr>
          <w:lang w:val="en-GB"/>
        </w:rPr>
        <w:t xml:space="preserve">governance arrangements </w:t>
      </w:r>
      <w:r w:rsidR="00966C2B" w:rsidRPr="007C4742">
        <w:rPr>
          <w:lang w:val="en-GB"/>
        </w:rPr>
        <w:t>in the Baltic</w:t>
      </w:r>
      <w:r w:rsidRPr="007C4742">
        <w:rPr>
          <w:lang w:val="en-GB"/>
        </w:rPr>
        <w:t xml:space="preserve"> States</w:t>
      </w:r>
      <w:r w:rsidR="00966C2B" w:rsidRPr="007C4742">
        <w:rPr>
          <w:lang w:val="en-GB"/>
        </w:rPr>
        <w:t xml:space="preserve"> </w:t>
      </w:r>
      <w:r w:rsidR="001330F0" w:rsidRPr="007C4742">
        <w:rPr>
          <w:lang w:val="en-GB"/>
        </w:rPr>
        <w:t>suggest th</w:t>
      </w:r>
      <w:r w:rsidR="00B946AB" w:rsidRPr="007C4742">
        <w:rPr>
          <w:lang w:val="en-GB"/>
        </w:rPr>
        <w:t>at</w:t>
      </w:r>
      <w:r w:rsidR="001330F0" w:rsidRPr="007C4742">
        <w:rPr>
          <w:lang w:val="en-GB"/>
        </w:rPr>
        <w:t xml:space="preserve"> engagement </w:t>
      </w:r>
      <w:r w:rsidR="00B946AB" w:rsidRPr="007C4742">
        <w:rPr>
          <w:lang w:val="en-GB"/>
        </w:rPr>
        <w:t>with</w:t>
      </w:r>
      <w:r w:rsidR="001330F0" w:rsidRPr="007C4742">
        <w:rPr>
          <w:lang w:val="en-GB"/>
        </w:rPr>
        <w:t xml:space="preserve"> E</w:t>
      </w:r>
      <w:r w:rsidR="007C4742" w:rsidRPr="007C4742">
        <w:rPr>
          <w:lang w:val="en-GB"/>
        </w:rPr>
        <w:t>SP</w:t>
      </w:r>
      <w:r w:rsidR="001330F0" w:rsidRPr="007C4742">
        <w:rPr>
          <w:lang w:val="en-GB"/>
        </w:rPr>
        <w:t xml:space="preserve"> </w:t>
      </w:r>
      <w:r w:rsidR="007C4742">
        <w:rPr>
          <w:lang w:val="en-GB"/>
        </w:rPr>
        <w:t>is</w:t>
      </w:r>
      <w:r w:rsidR="001330F0" w:rsidRPr="007C4742">
        <w:rPr>
          <w:lang w:val="en-GB"/>
        </w:rPr>
        <w:t xml:space="preserve"> concentrated among epistemic communities at State and trans-national levels. </w:t>
      </w:r>
      <w:r w:rsidR="00966C2B" w:rsidRPr="007C4742">
        <w:rPr>
          <w:lang w:val="en-GB"/>
        </w:rPr>
        <w:t>The limited policy coordination</w:t>
      </w:r>
      <w:r w:rsidR="00966C2B" w:rsidRPr="00145A97">
        <w:rPr>
          <w:lang w:val="en-GB"/>
        </w:rPr>
        <w:t xml:space="preserve"> across a broader spectrum of actors at sub-national levels is compounded by the institutionally weak and fragmented nature of professional communities of practice (Maier 2011), fragmented local government structures and the marginalisation of advocacy coalitions. </w:t>
      </w:r>
      <w:r w:rsidR="001330F0" w:rsidRPr="00145A97">
        <w:rPr>
          <w:lang w:val="en-GB"/>
        </w:rPr>
        <w:t>These shifts have been consistent with a neoliberal reassertion of economic priorities, the climate of public austerity, uncertainty over institutional reforms and the dissolution of knowledge networks.</w:t>
      </w:r>
    </w:p>
    <w:p w:rsidR="00135CAD" w:rsidRPr="00145A97" w:rsidRDefault="00135CAD"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Th</w:t>
      </w:r>
      <w:r w:rsidR="00276A61" w:rsidRPr="00145A97">
        <w:rPr>
          <w:lang w:val="en-GB"/>
        </w:rPr>
        <w:t xml:space="preserve">e </w:t>
      </w:r>
      <w:r w:rsidR="00980E33" w:rsidRPr="00145A97">
        <w:rPr>
          <w:lang w:val="en-GB"/>
        </w:rPr>
        <w:t>paper</w:t>
      </w:r>
      <w:r w:rsidR="00E37371" w:rsidRPr="00145A97">
        <w:rPr>
          <w:lang w:val="en-GB"/>
        </w:rPr>
        <w:t xml:space="preserve"> sets out to determine </w:t>
      </w:r>
      <w:r w:rsidR="00267D85" w:rsidRPr="00145A97">
        <w:rPr>
          <w:lang w:val="en-GB"/>
        </w:rPr>
        <w:t xml:space="preserve">the extent and nature of engagement </w:t>
      </w:r>
      <w:r w:rsidR="00062086" w:rsidRPr="00145A97">
        <w:rPr>
          <w:lang w:val="en-GB"/>
        </w:rPr>
        <w:t>of some of</w:t>
      </w:r>
      <w:r w:rsidR="00267D85" w:rsidRPr="00145A97">
        <w:rPr>
          <w:lang w:val="en-GB"/>
        </w:rPr>
        <w:t xml:space="preserve"> these </w:t>
      </w:r>
      <w:r w:rsidR="000E42EB">
        <w:rPr>
          <w:lang w:val="en-GB"/>
        </w:rPr>
        <w:t>actor</w:t>
      </w:r>
      <w:r w:rsidR="00267D85" w:rsidRPr="00145A97">
        <w:rPr>
          <w:lang w:val="en-GB"/>
        </w:rPr>
        <w:t xml:space="preserve"> coalitions or territorial knowledge communities</w:t>
      </w:r>
      <w:r w:rsidR="00062086" w:rsidRPr="00145A97">
        <w:rPr>
          <w:lang w:val="en-GB"/>
        </w:rPr>
        <w:t xml:space="preserve"> in the Baltic States with </w:t>
      </w:r>
      <w:r w:rsidR="001D17D5" w:rsidRPr="00145A97">
        <w:rPr>
          <w:lang w:val="en-GB"/>
        </w:rPr>
        <w:t xml:space="preserve">some of the </w:t>
      </w:r>
      <w:r w:rsidR="00062086" w:rsidRPr="00145A97">
        <w:rPr>
          <w:lang w:val="en-GB"/>
        </w:rPr>
        <w:t xml:space="preserve">key arenas of </w:t>
      </w:r>
      <w:r w:rsidR="00062086" w:rsidRPr="00145A97">
        <w:rPr>
          <w:lang w:val="en-GB"/>
        </w:rPr>
        <w:lastRenderedPageBreak/>
        <w:t>ESP</w:t>
      </w:r>
      <w:r w:rsidR="00A75F5C" w:rsidRPr="00145A97">
        <w:rPr>
          <w:lang w:val="en-GB"/>
        </w:rPr>
        <w:t>,</w:t>
      </w:r>
      <w:r w:rsidR="0017062D" w:rsidRPr="00145A97">
        <w:rPr>
          <w:lang w:val="en-GB"/>
        </w:rPr>
        <w:t xml:space="preserve"> including</w:t>
      </w:r>
      <w:r w:rsidR="00363AA4" w:rsidRPr="00145A97">
        <w:rPr>
          <w:lang w:val="en-GB"/>
        </w:rPr>
        <w:t xml:space="preserve"> the Vision and Strategies around the Baltic Sea (VASAB),</w:t>
      </w:r>
      <w:r w:rsidR="0017062D" w:rsidRPr="00145A97">
        <w:rPr>
          <w:lang w:val="en-GB"/>
        </w:rPr>
        <w:t xml:space="preserve"> </w:t>
      </w:r>
      <w:proofErr w:type="spellStart"/>
      <w:r w:rsidR="0017062D" w:rsidRPr="00145A97">
        <w:rPr>
          <w:lang w:val="en-GB"/>
        </w:rPr>
        <w:t>Interreg</w:t>
      </w:r>
      <w:proofErr w:type="spellEnd"/>
      <w:r w:rsidR="00363AA4" w:rsidRPr="00145A97">
        <w:rPr>
          <w:lang w:val="en-GB"/>
        </w:rPr>
        <w:t xml:space="preserve"> and</w:t>
      </w:r>
      <w:r w:rsidR="0017062D" w:rsidRPr="00145A97">
        <w:rPr>
          <w:lang w:val="en-GB"/>
        </w:rPr>
        <w:t xml:space="preserve"> the European Observation Network for Territorial Development and Cohesion (ESPON). </w:t>
      </w:r>
      <w:r w:rsidR="00A75F5C" w:rsidRPr="00145A97">
        <w:rPr>
          <w:lang w:val="en-GB"/>
        </w:rPr>
        <w:t>However, t</w:t>
      </w:r>
      <w:r w:rsidR="0017062D" w:rsidRPr="00145A97">
        <w:rPr>
          <w:lang w:val="en-GB"/>
        </w:rPr>
        <w:t xml:space="preserve">he main focus of the paper is based on an analysis of the state level responses from the Baltic States and the responses of selected interest groups with a Baltic focus to the </w:t>
      </w:r>
      <w:r w:rsidR="003C49DD" w:rsidRPr="00145A97">
        <w:rPr>
          <w:lang w:val="en-GB"/>
        </w:rPr>
        <w:t xml:space="preserve">Green </w:t>
      </w:r>
      <w:r w:rsidR="0017062D" w:rsidRPr="00145A97">
        <w:rPr>
          <w:lang w:val="en-GB"/>
        </w:rPr>
        <w:t>Paper on Territorial Cohesion (CEC 2008).</w:t>
      </w:r>
      <w:r w:rsidR="003D3BC3" w:rsidRPr="00145A97">
        <w:rPr>
          <w:lang w:val="en-GB"/>
        </w:rPr>
        <w:t xml:space="preserve"> </w:t>
      </w:r>
      <w:r w:rsidR="0017062D" w:rsidRPr="00145A97">
        <w:rPr>
          <w:lang w:val="en-GB"/>
        </w:rPr>
        <w:t>The documentary analysis was supplemented by a series of face to face and telephone interviews with selected key stakeholders in the field of regional development and spatial planning in each of the three countries.</w:t>
      </w:r>
      <w:r w:rsidR="00944E2E" w:rsidRPr="00145A97">
        <w:rPr>
          <w:rStyle w:val="Rimandonotaapidipagina"/>
          <w:lang w:val="en-GB"/>
        </w:rPr>
        <w:footnoteReference w:id="1"/>
      </w:r>
    </w:p>
    <w:p w:rsidR="00D23402" w:rsidRPr="00145A97" w:rsidRDefault="00B84612"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b/>
          <w:lang w:val="en-GB"/>
        </w:rPr>
      </w:pPr>
      <w:r w:rsidRPr="00145A97">
        <w:rPr>
          <w:lang w:val="en-GB"/>
        </w:rPr>
        <w:t xml:space="preserve">The first section of the paper </w:t>
      </w:r>
      <w:r w:rsidR="001D17D5" w:rsidRPr="00145A97">
        <w:rPr>
          <w:lang w:val="en-GB"/>
        </w:rPr>
        <w:t>introduces</w:t>
      </w:r>
      <w:r w:rsidR="00996CA4" w:rsidRPr="00145A97">
        <w:rPr>
          <w:lang w:val="en-GB"/>
        </w:rPr>
        <w:t xml:space="preserve"> the evolving </w:t>
      </w:r>
      <w:r w:rsidR="00D23402" w:rsidRPr="00145A97">
        <w:rPr>
          <w:lang w:val="en-GB"/>
        </w:rPr>
        <w:t>institutional landscape for planning practice</w:t>
      </w:r>
      <w:r w:rsidR="001D17D5" w:rsidRPr="00145A97">
        <w:rPr>
          <w:lang w:val="en-GB"/>
        </w:rPr>
        <w:t xml:space="preserve"> in the Baltic States</w:t>
      </w:r>
      <w:r w:rsidR="00D23402" w:rsidRPr="00145A97">
        <w:rPr>
          <w:lang w:val="en-GB"/>
        </w:rPr>
        <w:t>. Section two brings a knowledge perspective to the transformation of this unique governance landscape</w:t>
      </w:r>
      <w:r w:rsidR="00947B5E" w:rsidRPr="00145A97">
        <w:rPr>
          <w:lang w:val="en-GB"/>
        </w:rPr>
        <w:t xml:space="preserve"> together with a</w:t>
      </w:r>
      <w:r w:rsidR="00B51787" w:rsidRPr="00145A97">
        <w:rPr>
          <w:lang w:val="en-GB"/>
        </w:rPr>
        <w:t xml:space="preserve"> brief summary of the engagement of </w:t>
      </w:r>
      <w:r w:rsidR="001A0643" w:rsidRPr="00145A97">
        <w:rPr>
          <w:lang w:val="en-GB"/>
        </w:rPr>
        <w:t xml:space="preserve">Baltic </w:t>
      </w:r>
      <w:r w:rsidR="00B51787" w:rsidRPr="00145A97">
        <w:rPr>
          <w:lang w:val="en-GB"/>
        </w:rPr>
        <w:t>actors in diverse knowledge arenas of ESP</w:t>
      </w:r>
      <w:r w:rsidR="00947B5E" w:rsidRPr="00145A97">
        <w:rPr>
          <w:lang w:val="en-GB"/>
        </w:rPr>
        <w:t>. Section three</w:t>
      </w:r>
      <w:r w:rsidR="00944E2E" w:rsidRPr="00145A97">
        <w:rPr>
          <w:lang w:val="en-GB"/>
        </w:rPr>
        <w:t xml:space="preserve"> constitutes the core of the contribution,</w:t>
      </w:r>
      <w:r w:rsidR="00947B5E" w:rsidRPr="00145A97">
        <w:rPr>
          <w:lang w:val="en-GB"/>
        </w:rPr>
        <w:t xml:space="preserve"> </w:t>
      </w:r>
      <w:r w:rsidR="00B51787" w:rsidRPr="00145A97">
        <w:rPr>
          <w:lang w:val="en-GB"/>
        </w:rPr>
        <w:t>provid</w:t>
      </w:r>
      <w:r w:rsidR="00944E2E" w:rsidRPr="00145A97">
        <w:rPr>
          <w:lang w:val="en-GB"/>
        </w:rPr>
        <w:t>ing</w:t>
      </w:r>
      <w:r w:rsidR="00B51787" w:rsidRPr="00145A97">
        <w:rPr>
          <w:lang w:val="en-GB"/>
        </w:rPr>
        <w:t xml:space="preserve"> an </w:t>
      </w:r>
      <w:r w:rsidR="00D23402" w:rsidRPr="00145A97">
        <w:rPr>
          <w:lang w:val="en-GB"/>
        </w:rPr>
        <w:t xml:space="preserve">analysis </w:t>
      </w:r>
      <w:r w:rsidRPr="00145A97">
        <w:rPr>
          <w:lang w:val="en-GB"/>
        </w:rPr>
        <w:t>of the extent and nature of the</w:t>
      </w:r>
      <w:r w:rsidR="001A0643" w:rsidRPr="00145A97">
        <w:rPr>
          <w:lang w:val="en-GB"/>
        </w:rPr>
        <w:t>ir</w:t>
      </w:r>
      <w:r w:rsidRPr="00145A97">
        <w:rPr>
          <w:lang w:val="en-GB"/>
        </w:rPr>
        <w:t xml:space="preserve"> responses to the </w:t>
      </w:r>
      <w:r w:rsidR="0099549C" w:rsidRPr="00145A97">
        <w:rPr>
          <w:i/>
          <w:lang w:val="en-GB"/>
        </w:rPr>
        <w:t xml:space="preserve">European Commission Green Paper on Territorial Cohesion </w:t>
      </w:r>
      <w:r w:rsidRPr="00145A97">
        <w:rPr>
          <w:lang w:val="en-GB"/>
        </w:rPr>
        <w:t>(CEC 2008). The paper concludes with some reflections on prospects and future challenges for an effective engagement of territorial knowledge communities</w:t>
      </w:r>
      <w:r w:rsidR="00947B5E" w:rsidRPr="00145A97">
        <w:rPr>
          <w:lang w:val="en-GB"/>
        </w:rPr>
        <w:t xml:space="preserve"> </w:t>
      </w:r>
      <w:r w:rsidRPr="00145A97">
        <w:rPr>
          <w:lang w:val="en-GB"/>
        </w:rPr>
        <w:t>of the Baltic States</w:t>
      </w:r>
      <w:r w:rsidR="005D1FDA" w:rsidRPr="00145A97">
        <w:rPr>
          <w:lang w:val="en-GB"/>
        </w:rPr>
        <w:t xml:space="preserve"> with the ESP discourse</w:t>
      </w:r>
      <w:r w:rsidR="00947B5E" w:rsidRPr="00145A97">
        <w:rPr>
          <w:lang w:val="en-GB"/>
        </w:rPr>
        <w:t>.</w:t>
      </w:r>
    </w:p>
    <w:p w:rsidR="00CB673D" w:rsidRDefault="00CB673D" w:rsidP="006022F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outlineLvl w:val="0"/>
        <w:rPr>
          <w:b/>
          <w:lang w:val="en-GB"/>
        </w:rPr>
      </w:pPr>
    </w:p>
    <w:p w:rsidR="00704790" w:rsidRPr="00145A97" w:rsidRDefault="00704790" w:rsidP="006022F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outlineLvl w:val="0"/>
        <w:rPr>
          <w:lang w:val="en-GB"/>
        </w:rPr>
      </w:pPr>
      <w:r w:rsidRPr="00145A97">
        <w:rPr>
          <w:b/>
          <w:lang w:val="en-GB"/>
        </w:rPr>
        <w:t>EU enlargement and territorial development in the Baltic States</w:t>
      </w:r>
    </w:p>
    <w:p w:rsidR="003477E2" w:rsidRDefault="00704790"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The location of</w:t>
      </w:r>
      <w:r w:rsidR="00002E7C" w:rsidRPr="00145A97">
        <w:rPr>
          <w:lang w:val="en-GB"/>
        </w:rPr>
        <w:t xml:space="preserve"> the Baltic States at the cross</w:t>
      </w:r>
      <w:r w:rsidRPr="00145A97">
        <w:rPr>
          <w:lang w:val="en-GB"/>
        </w:rPr>
        <w:t>roads between Eastern and Western Europe has ensured a complex and often volatile history epitomised during the twentieth century</w:t>
      </w:r>
      <w:r w:rsidR="007C4742">
        <w:rPr>
          <w:lang w:val="en-GB"/>
        </w:rPr>
        <w:t xml:space="preserve"> when e</w:t>
      </w:r>
      <w:r w:rsidRPr="00145A97">
        <w:rPr>
          <w:lang w:val="en-GB"/>
        </w:rPr>
        <w:t xml:space="preserve">ach country obtained independence in the inter-war period before being integrated into the Soviet Union, invaded by Nazi Germany and then reintegrated into the Soviet Union at the end of World War II. As Soviet Socialist Republics, they were more deeply integrated into the Soviet space in political, socio-economic and spatial terms than other former members of the socialist block. </w:t>
      </w:r>
      <w:r w:rsidR="000E42EB">
        <w:rPr>
          <w:lang w:val="en-GB"/>
        </w:rPr>
        <w:t>They were consequently</w:t>
      </w:r>
      <w:r w:rsidRPr="00145A97">
        <w:rPr>
          <w:lang w:val="en-GB"/>
        </w:rPr>
        <w:t xml:space="preserve"> also more isolated from Western Europe </w:t>
      </w:r>
      <w:r w:rsidR="007F2818">
        <w:rPr>
          <w:lang w:val="en-GB"/>
        </w:rPr>
        <w:t xml:space="preserve">and less able to </w:t>
      </w:r>
      <w:r w:rsidRPr="00145A97">
        <w:rPr>
          <w:lang w:val="en-GB"/>
        </w:rPr>
        <w:t>interact</w:t>
      </w:r>
      <w:r w:rsidR="00A75F5C" w:rsidRPr="00145A97">
        <w:rPr>
          <w:lang w:val="en-GB"/>
        </w:rPr>
        <w:t xml:space="preserve"> </w:t>
      </w:r>
      <w:r w:rsidR="009F31DB" w:rsidRPr="00145A97">
        <w:rPr>
          <w:lang w:val="en-GB"/>
        </w:rPr>
        <w:t xml:space="preserve">and </w:t>
      </w:r>
      <w:r w:rsidRPr="00145A97">
        <w:rPr>
          <w:lang w:val="en-GB"/>
        </w:rPr>
        <w:t xml:space="preserve">exchange </w:t>
      </w:r>
      <w:r w:rsidRPr="00145A97">
        <w:rPr>
          <w:lang w:val="en-GB"/>
        </w:rPr>
        <w:lastRenderedPageBreak/>
        <w:t>knowledge and ideas. Since the collapse of the Soviet Union, the Baltic States have re-established independence and become full members of both the EU and NATO</w:t>
      </w:r>
      <w:r w:rsidR="000E42EB">
        <w:rPr>
          <w:lang w:val="en-GB"/>
        </w:rPr>
        <w:t>, though</w:t>
      </w:r>
      <w:r w:rsidR="009F31DB" w:rsidRPr="00145A97">
        <w:rPr>
          <w:lang w:val="en-GB"/>
        </w:rPr>
        <w:t xml:space="preserve"> t</w:t>
      </w:r>
      <w:r w:rsidRPr="00145A97">
        <w:rPr>
          <w:lang w:val="en-GB"/>
        </w:rPr>
        <w:t>he transition and transformation to democracy and a market economy</w:t>
      </w:r>
      <w:r w:rsidR="0053351E" w:rsidRPr="00145A97">
        <w:rPr>
          <w:lang w:val="en-GB"/>
        </w:rPr>
        <w:t xml:space="preserve"> </w:t>
      </w:r>
      <w:r w:rsidR="007F2818">
        <w:rPr>
          <w:lang w:val="en-GB"/>
        </w:rPr>
        <w:t>has</w:t>
      </w:r>
      <w:r w:rsidR="0053351E" w:rsidRPr="00145A97">
        <w:rPr>
          <w:lang w:val="en-GB"/>
        </w:rPr>
        <w:t xml:space="preserve"> </w:t>
      </w:r>
      <w:r w:rsidR="001C291A" w:rsidRPr="00145A97">
        <w:rPr>
          <w:lang w:val="en-GB"/>
        </w:rPr>
        <w:t xml:space="preserve">been </w:t>
      </w:r>
      <w:r w:rsidRPr="00145A97">
        <w:rPr>
          <w:lang w:val="en-GB"/>
        </w:rPr>
        <w:t xml:space="preserve">highly </w:t>
      </w:r>
      <w:r w:rsidRPr="007F2818">
        <w:rPr>
          <w:color w:val="auto"/>
          <w:lang w:val="en-GB"/>
        </w:rPr>
        <w:t>complex</w:t>
      </w:r>
      <w:r w:rsidR="007F2818">
        <w:rPr>
          <w:color w:val="auto"/>
          <w:lang w:val="en-GB"/>
        </w:rPr>
        <w:t xml:space="preserve"> </w:t>
      </w:r>
      <w:r w:rsidR="007F2818" w:rsidRPr="00145A97">
        <w:rPr>
          <w:lang w:val="en-GB"/>
        </w:rPr>
        <w:t>(Williams 1996)</w:t>
      </w:r>
      <w:r w:rsidRPr="007F2818">
        <w:rPr>
          <w:color w:val="auto"/>
          <w:lang w:val="en-GB"/>
        </w:rPr>
        <w:t xml:space="preserve">. The </w:t>
      </w:r>
      <w:r w:rsidRPr="00145A97">
        <w:rPr>
          <w:lang w:val="en-GB"/>
        </w:rPr>
        <w:t xml:space="preserve">Baltic States </w:t>
      </w:r>
      <w:r w:rsidR="007F2818">
        <w:rPr>
          <w:lang w:val="en-GB"/>
        </w:rPr>
        <w:t>were</w:t>
      </w:r>
      <w:r w:rsidRPr="00145A97">
        <w:rPr>
          <w:lang w:val="en-GB"/>
        </w:rPr>
        <w:t xml:space="preserve"> </w:t>
      </w:r>
      <w:r w:rsidR="00622B1F">
        <w:rPr>
          <w:lang w:val="en-GB"/>
        </w:rPr>
        <w:t xml:space="preserve">among </w:t>
      </w:r>
      <w:r w:rsidRPr="00145A97">
        <w:rPr>
          <w:lang w:val="en-GB"/>
        </w:rPr>
        <w:t xml:space="preserve">the poorest countries to join the EU in 2004 with levels of prosperity well below the EU average (see Table 1). </w:t>
      </w:r>
      <w:r w:rsidR="003F5477">
        <w:rPr>
          <w:lang w:val="en-GB"/>
        </w:rPr>
        <w:t xml:space="preserve">A period of rapid </w:t>
      </w:r>
      <w:r w:rsidR="003F5477" w:rsidRPr="00145A97">
        <w:rPr>
          <w:lang w:val="en-GB"/>
        </w:rPr>
        <w:t>economic growth</w:t>
      </w:r>
      <w:r w:rsidR="003F5477" w:rsidRPr="003F5477">
        <w:rPr>
          <w:lang w:val="en-GB"/>
        </w:rPr>
        <w:t xml:space="preserve"> </w:t>
      </w:r>
      <w:r w:rsidR="003F5477" w:rsidRPr="00145A97">
        <w:rPr>
          <w:lang w:val="en-GB"/>
        </w:rPr>
        <w:t>between 1997 and 2008</w:t>
      </w:r>
      <w:r w:rsidR="003F5477">
        <w:rPr>
          <w:lang w:val="en-GB"/>
        </w:rPr>
        <w:t xml:space="preserve"> saw </w:t>
      </w:r>
      <w:r w:rsidRPr="00145A97">
        <w:rPr>
          <w:lang w:val="en-GB"/>
        </w:rPr>
        <w:t>GDP growth rates approaching or surpassing double figures in percentage points</w:t>
      </w:r>
      <w:r w:rsidR="007F2818">
        <w:rPr>
          <w:lang w:val="en-GB"/>
        </w:rPr>
        <w:t xml:space="preserve"> before the severe</w:t>
      </w:r>
      <w:r w:rsidR="00A40F0E" w:rsidRPr="00145A97">
        <w:rPr>
          <w:lang w:val="en-GB"/>
        </w:rPr>
        <w:t xml:space="preserve"> economic downturn with GDP rates for 2009 of -14 percent (Estonia), -18 percent (Latvia) and -15 percent (Lithuania), by far the worse figures of any Member State.</w:t>
      </w:r>
    </w:p>
    <w:p w:rsidR="00704790" w:rsidRPr="00145A97" w:rsidRDefault="00704790"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highlight w:val="yellow"/>
          <w:lang w:val="en-GB"/>
        </w:rPr>
        <w:t>[Insert Table 1 Around here]</w:t>
      </w:r>
    </w:p>
    <w:p w:rsidR="00704790" w:rsidRPr="00145A97" w:rsidRDefault="00704790"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Development has been driven overwhelmingly by </w:t>
      </w:r>
      <w:r w:rsidR="00A40F0E" w:rsidRPr="00145A97">
        <w:rPr>
          <w:lang w:val="en-GB"/>
        </w:rPr>
        <w:t xml:space="preserve">the </w:t>
      </w:r>
      <w:r w:rsidRPr="00145A97">
        <w:rPr>
          <w:lang w:val="en-GB"/>
        </w:rPr>
        <w:t>capital cities</w:t>
      </w:r>
      <w:r w:rsidR="009750C2" w:rsidRPr="00145A97">
        <w:rPr>
          <w:lang w:val="en-GB"/>
        </w:rPr>
        <w:t>,</w:t>
      </w:r>
      <w:r w:rsidRPr="00145A97">
        <w:rPr>
          <w:lang w:val="en-GB"/>
        </w:rPr>
        <w:t xml:space="preserve"> </w:t>
      </w:r>
      <w:r w:rsidR="009750C2" w:rsidRPr="00145A97">
        <w:rPr>
          <w:lang w:val="en-GB"/>
        </w:rPr>
        <w:t>strengthening</w:t>
      </w:r>
      <w:r w:rsidRPr="00145A97">
        <w:rPr>
          <w:lang w:val="en-GB"/>
        </w:rPr>
        <w:t xml:space="preserve"> their already dominant role</w:t>
      </w:r>
      <w:r w:rsidR="00D002BD">
        <w:rPr>
          <w:lang w:val="en-GB"/>
        </w:rPr>
        <w:t>. S</w:t>
      </w:r>
      <w:r w:rsidR="00F317FE" w:rsidRPr="00145A97">
        <w:rPr>
          <w:lang w:val="en-GB"/>
        </w:rPr>
        <w:t>ocio-economic disparities and environmental impacts</w:t>
      </w:r>
      <w:r w:rsidRPr="00145A97">
        <w:rPr>
          <w:lang w:val="en-GB"/>
        </w:rPr>
        <w:t xml:space="preserve"> have been exacerbated by the</w:t>
      </w:r>
      <w:r w:rsidR="003F5477">
        <w:rPr>
          <w:lang w:val="en-GB"/>
        </w:rPr>
        <w:t xml:space="preserve"> contrasting demands of rapid economic growth</w:t>
      </w:r>
      <w:r w:rsidRPr="00145A97">
        <w:rPr>
          <w:lang w:val="en-GB"/>
        </w:rPr>
        <w:t xml:space="preserve"> followed by recession. </w:t>
      </w:r>
      <w:r w:rsidR="003F5477">
        <w:rPr>
          <w:lang w:val="en-GB"/>
        </w:rPr>
        <w:t>E</w:t>
      </w:r>
      <w:r w:rsidRPr="00145A97">
        <w:rPr>
          <w:lang w:val="en-GB"/>
        </w:rPr>
        <w:t xml:space="preserve">qually dramatic changes to institutional structures </w:t>
      </w:r>
      <w:r w:rsidR="003F5477">
        <w:rPr>
          <w:lang w:val="en-GB"/>
        </w:rPr>
        <w:t xml:space="preserve">have also been necessary </w:t>
      </w:r>
      <w:r w:rsidRPr="00145A97">
        <w:rPr>
          <w:lang w:val="en-GB"/>
        </w:rPr>
        <w:t>to make them more appropriate to new market</w:t>
      </w:r>
      <w:r w:rsidR="009F31DB" w:rsidRPr="00145A97">
        <w:rPr>
          <w:lang w:val="en-GB"/>
        </w:rPr>
        <w:t>-</w:t>
      </w:r>
      <w:r w:rsidRPr="00145A97">
        <w:rPr>
          <w:lang w:val="en-GB"/>
        </w:rPr>
        <w:t>based realities</w:t>
      </w:r>
      <w:r w:rsidR="009750C2" w:rsidRPr="00145A97">
        <w:rPr>
          <w:lang w:val="en-GB"/>
        </w:rPr>
        <w:t xml:space="preserve">. </w:t>
      </w:r>
      <w:r w:rsidR="007135BA" w:rsidRPr="00145A97">
        <w:rPr>
          <w:lang w:val="en-GB"/>
        </w:rPr>
        <w:t xml:space="preserve">The </w:t>
      </w:r>
      <w:r w:rsidR="003F5477" w:rsidRPr="00145A97">
        <w:rPr>
          <w:lang w:val="en-GB"/>
        </w:rPr>
        <w:t xml:space="preserve">transition </w:t>
      </w:r>
      <w:r w:rsidR="007135BA" w:rsidRPr="00145A97">
        <w:rPr>
          <w:lang w:val="en-GB"/>
        </w:rPr>
        <w:t>period and the evolving landscape for planning practice has been strongly influenced by a culture of pragmatism and political expedience</w:t>
      </w:r>
      <w:r w:rsidR="003F5477">
        <w:rPr>
          <w:lang w:val="en-GB"/>
        </w:rPr>
        <w:t xml:space="preserve"> linked </w:t>
      </w:r>
      <w:r w:rsidR="009F31DB" w:rsidRPr="00145A97">
        <w:rPr>
          <w:lang w:val="en-GB"/>
        </w:rPr>
        <w:t xml:space="preserve">to national efforts </w:t>
      </w:r>
      <w:r w:rsidR="007135BA" w:rsidRPr="00145A97">
        <w:rPr>
          <w:lang w:val="en-GB"/>
        </w:rPr>
        <w:t>to satisfy accession requirements and absorb EU funding</w:t>
      </w:r>
      <w:r w:rsidR="009F31DB" w:rsidRPr="00145A97">
        <w:rPr>
          <w:lang w:val="en-GB"/>
        </w:rPr>
        <w:t>, as well as</w:t>
      </w:r>
      <w:r w:rsidR="007135BA" w:rsidRPr="00145A97">
        <w:rPr>
          <w:lang w:val="en-GB"/>
        </w:rPr>
        <w:t xml:space="preserve"> </w:t>
      </w:r>
      <w:r w:rsidR="003477E2">
        <w:rPr>
          <w:lang w:val="en-GB"/>
        </w:rPr>
        <w:t xml:space="preserve">by </w:t>
      </w:r>
      <w:r w:rsidR="007135BA" w:rsidRPr="00145A97">
        <w:rPr>
          <w:lang w:val="en-GB"/>
        </w:rPr>
        <w:t xml:space="preserve">increasing processes of internationalisation that have stimulated policy mobility. </w:t>
      </w:r>
      <w:r w:rsidR="009750C2" w:rsidRPr="00145A97">
        <w:rPr>
          <w:lang w:val="en-GB"/>
        </w:rPr>
        <w:t>T</w:t>
      </w:r>
      <w:r w:rsidRPr="00145A97">
        <w:rPr>
          <w:lang w:val="en-GB"/>
        </w:rPr>
        <w:t>he</w:t>
      </w:r>
      <w:r w:rsidR="001C291A" w:rsidRPr="00145A97">
        <w:rPr>
          <w:lang w:val="en-GB"/>
        </w:rPr>
        <w:t>se</w:t>
      </w:r>
      <w:r w:rsidRPr="00145A97">
        <w:rPr>
          <w:lang w:val="en-GB"/>
        </w:rPr>
        <w:t xml:space="preserve"> </w:t>
      </w:r>
      <w:r w:rsidR="001C291A" w:rsidRPr="00145A97">
        <w:rPr>
          <w:lang w:val="en-GB"/>
        </w:rPr>
        <w:t xml:space="preserve">two distinct perspectives on </w:t>
      </w:r>
      <w:r w:rsidR="009750C2" w:rsidRPr="00145A97">
        <w:rPr>
          <w:lang w:val="en-GB"/>
        </w:rPr>
        <w:t>th</w:t>
      </w:r>
      <w:r w:rsidR="0053351E" w:rsidRPr="00145A97">
        <w:rPr>
          <w:lang w:val="en-GB"/>
        </w:rPr>
        <w:t>e</w:t>
      </w:r>
      <w:r w:rsidR="009750C2" w:rsidRPr="00145A97">
        <w:rPr>
          <w:lang w:val="en-GB"/>
        </w:rPr>
        <w:t xml:space="preserve"> evolving institutional landscape for planning practice and knowledge </w:t>
      </w:r>
      <w:r w:rsidR="001C291A" w:rsidRPr="00145A97">
        <w:rPr>
          <w:lang w:val="en-GB"/>
        </w:rPr>
        <w:t>are now introduced in detail</w:t>
      </w:r>
      <w:r w:rsidRPr="00145A97">
        <w:rPr>
          <w:lang w:val="en-GB"/>
        </w:rPr>
        <w:t xml:space="preserve">. </w:t>
      </w:r>
    </w:p>
    <w:p w:rsidR="00CB673D" w:rsidRDefault="00CB673D" w:rsidP="006022FB">
      <w:pPr>
        <w:pStyle w:val="Heading2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line="480" w:lineRule="auto"/>
        <w:jc w:val="both"/>
        <w:outlineLvl w:val="0"/>
        <w:rPr>
          <w:rFonts w:ascii="Times New Roman" w:hAnsi="Times New Roman"/>
          <w:i/>
          <w:sz w:val="24"/>
          <w:lang w:val="en-GB"/>
        </w:rPr>
      </w:pPr>
    </w:p>
    <w:p w:rsidR="00704790" w:rsidRPr="00145A97" w:rsidRDefault="009C4222" w:rsidP="006022FB">
      <w:pPr>
        <w:pStyle w:val="Heading2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line="480" w:lineRule="auto"/>
        <w:jc w:val="both"/>
        <w:outlineLvl w:val="0"/>
        <w:rPr>
          <w:rFonts w:ascii="Times New Roman" w:hAnsi="Times New Roman"/>
          <w:sz w:val="24"/>
          <w:lang w:val="en-GB"/>
        </w:rPr>
      </w:pPr>
      <w:r w:rsidRPr="00145A97">
        <w:rPr>
          <w:rFonts w:ascii="Times New Roman" w:hAnsi="Times New Roman"/>
          <w:i/>
          <w:sz w:val="24"/>
          <w:lang w:val="en-GB"/>
        </w:rPr>
        <w:t>An evolving institutional landscape for planning practice: p</w:t>
      </w:r>
      <w:r w:rsidR="00704790" w:rsidRPr="00145A97">
        <w:rPr>
          <w:rFonts w:ascii="Times New Roman" w:hAnsi="Times New Roman"/>
          <w:i/>
          <w:sz w:val="24"/>
          <w:lang w:val="en-GB"/>
        </w:rPr>
        <w:t>ra</w:t>
      </w:r>
      <w:r w:rsidRPr="00145A97">
        <w:rPr>
          <w:rFonts w:ascii="Times New Roman" w:hAnsi="Times New Roman"/>
          <w:i/>
          <w:sz w:val="24"/>
          <w:lang w:val="en-GB"/>
        </w:rPr>
        <w:t>gmatism and political expedience</w:t>
      </w:r>
      <w:r w:rsidR="00704790" w:rsidRPr="00145A97">
        <w:rPr>
          <w:rFonts w:ascii="Times New Roman" w:hAnsi="Times New Roman"/>
          <w:i/>
          <w:sz w:val="24"/>
          <w:lang w:val="en-GB"/>
        </w:rPr>
        <w:t xml:space="preserve"> </w:t>
      </w:r>
    </w:p>
    <w:p w:rsidR="00704790" w:rsidRPr="00145A97" w:rsidRDefault="00704790"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 EU exerted considerable top-down influence over </w:t>
      </w:r>
      <w:r w:rsidR="003F5477">
        <w:rPr>
          <w:lang w:val="en-GB"/>
        </w:rPr>
        <w:t xml:space="preserve">the dramatic </w:t>
      </w:r>
      <w:r w:rsidRPr="00145A97">
        <w:rPr>
          <w:lang w:val="en-GB"/>
        </w:rPr>
        <w:t xml:space="preserve">reforms </w:t>
      </w:r>
      <w:r w:rsidR="003F5477" w:rsidRPr="00145A97">
        <w:rPr>
          <w:lang w:val="en-GB"/>
        </w:rPr>
        <w:t xml:space="preserve">undertaken by the recent CEE entrants </w:t>
      </w:r>
      <w:r w:rsidRPr="00145A97">
        <w:rPr>
          <w:lang w:val="en-GB"/>
        </w:rPr>
        <w:t>through the offer of funding</w:t>
      </w:r>
      <w:r w:rsidR="00D002BD">
        <w:rPr>
          <w:lang w:val="en-GB"/>
        </w:rPr>
        <w:t xml:space="preserve">, </w:t>
      </w:r>
      <w:r w:rsidR="00A40F0E" w:rsidRPr="00145A97">
        <w:rPr>
          <w:lang w:val="en-GB"/>
        </w:rPr>
        <w:t xml:space="preserve">the transposition of the </w:t>
      </w:r>
      <w:proofErr w:type="spellStart"/>
      <w:r w:rsidR="00A40F0E" w:rsidRPr="00145A97">
        <w:rPr>
          <w:i/>
          <w:lang w:val="en-GB"/>
        </w:rPr>
        <w:t>acquis</w:t>
      </w:r>
      <w:proofErr w:type="spellEnd"/>
      <w:r w:rsidR="00A40F0E" w:rsidRPr="00145A97">
        <w:rPr>
          <w:i/>
          <w:lang w:val="en-GB"/>
        </w:rPr>
        <w:t xml:space="preserve"> </w:t>
      </w:r>
      <w:proofErr w:type="spellStart"/>
      <w:r w:rsidR="00A40F0E" w:rsidRPr="00145A97">
        <w:rPr>
          <w:i/>
          <w:lang w:val="en-GB"/>
        </w:rPr>
        <w:t>communautaire</w:t>
      </w:r>
      <w:proofErr w:type="spellEnd"/>
      <w:r w:rsidR="00A40F0E" w:rsidRPr="00145A97">
        <w:rPr>
          <w:i/>
          <w:lang w:val="en-GB"/>
        </w:rPr>
        <w:t xml:space="preserve"> </w:t>
      </w:r>
      <w:r w:rsidR="00D002BD">
        <w:rPr>
          <w:lang w:val="en-GB"/>
        </w:rPr>
        <w:t>and</w:t>
      </w:r>
      <w:r w:rsidR="00A40F0E" w:rsidRPr="00145A97">
        <w:rPr>
          <w:lang w:val="en-GB"/>
        </w:rPr>
        <w:t xml:space="preserve"> </w:t>
      </w:r>
      <w:r w:rsidR="00EB5971" w:rsidRPr="00145A97">
        <w:rPr>
          <w:lang w:val="en-GB"/>
        </w:rPr>
        <w:t xml:space="preserve">formal </w:t>
      </w:r>
      <w:r w:rsidR="00A37EB6" w:rsidRPr="00145A97">
        <w:rPr>
          <w:lang w:val="en-GB"/>
        </w:rPr>
        <w:t xml:space="preserve">and informal </w:t>
      </w:r>
      <w:r w:rsidR="00A40F0E" w:rsidRPr="00145A97">
        <w:rPr>
          <w:lang w:val="en-GB"/>
        </w:rPr>
        <w:t xml:space="preserve">internalization of EU </w:t>
      </w:r>
      <w:r w:rsidR="00EB5971" w:rsidRPr="00145A97">
        <w:rPr>
          <w:lang w:val="en-GB"/>
        </w:rPr>
        <w:t>concept</w:t>
      </w:r>
      <w:r w:rsidR="009C4222" w:rsidRPr="00145A97">
        <w:rPr>
          <w:lang w:val="en-GB"/>
        </w:rPr>
        <w:t>s</w:t>
      </w:r>
      <w:r w:rsidR="00A40F0E" w:rsidRPr="00145A97">
        <w:rPr>
          <w:lang w:val="en-GB"/>
        </w:rPr>
        <w:t xml:space="preserve"> and priorities</w:t>
      </w:r>
      <w:r w:rsidRPr="00145A97">
        <w:rPr>
          <w:lang w:val="en-GB"/>
        </w:rPr>
        <w:t xml:space="preserve"> (Adams 2008)</w:t>
      </w:r>
      <w:r w:rsidR="00F317FE" w:rsidRPr="00145A97">
        <w:rPr>
          <w:lang w:val="en-GB"/>
        </w:rPr>
        <w:t>.</w:t>
      </w:r>
      <w:r w:rsidRPr="00145A97">
        <w:rPr>
          <w:lang w:val="en-GB"/>
        </w:rPr>
        <w:t xml:space="preserve"> Europeanization pressures notwithstanding, the strong individual cultural identities are reflected in the diversity of approaches to spatial planning inspired by diverse sources (COMMIN no date, Adams </w:t>
      </w:r>
      <w:r w:rsidRPr="00145A97">
        <w:rPr>
          <w:i/>
          <w:lang w:val="en-GB"/>
        </w:rPr>
        <w:t>et al</w:t>
      </w:r>
      <w:r w:rsidRPr="00145A97">
        <w:rPr>
          <w:lang w:val="en-GB"/>
        </w:rPr>
        <w:t xml:space="preserve"> 2006, Adams and Harris 2005). </w:t>
      </w:r>
      <w:r w:rsidR="00D002BD">
        <w:rPr>
          <w:lang w:val="en-GB"/>
        </w:rPr>
        <w:t>Regular i</w:t>
      </w:r>
      <w:r w:rsidRPr="00145A97">
        <w:rPr>
          <w:lang w:val="en-GB"/>
        </w:rPr>
        <w:t>nstitutional reform</w:t>
      </w:r>
      <w:r w:rsidR="007F2818">
        <w:rPr>
          <w:lang w:val="en-GB"/>
        </w:rPr>
        <w:t>s</w:t>
      </w:r>
      <w:r w:rsidRPr="00145A97">
        <w:rPr>
          <w:lang w:val="en-GB"/>
        </w:rPr>
        <w:t xml:space="preserve"> </w:t>
      </w:r>
      <w:r w:rsidR="00D002BD">
        <w:rPr>
          <w:lang w:val="en-GB"/>
        </w:rPr>
        <w:t xml:space="preserve">have resulted in </w:t>
      </w:r>
      <w:r w:rsidRPr="00145A97">
        <w:rPr>
          <w:lang w:val="en-GB"/>
        </w:rPr>
        <w:t xml:space="preserve">the </w:t>
      </w:r>
      <w:r w:rsidRPr="00145A97">
        <w:rPr>
          <w:lang w:val="en-GB"/>
        </w:rPr>
        <w:lastRenderedPageBreak/>
        <w:t xml:space="preserve">spatial planning portfolio </w:t>
      </w:r>
      <w:r w:rsidR="00D002BD">
        <w:rPr>
          <w:lang w:val="en-GB"/>
        </w:rPr>
        <w:t>being</w:t>
      </w:r>
      <w:r w:rsidRPr="00145A97">
        <w:rPr>
          <w:lang w:val="en-GB"/>
        </w:rPr>
        <w:t xml:space="preserve"> passed between ministries once in Estonia and twice in Latvia. </w:t>
      </w:r>
      <w:r w:rsidR="00CC529C">
        <w:rPr>
          <w:lang w:val="en-GB"/>
        </w:rPr>
        <w:t>T</w:t>
      </w:r>
      <w:r w:rsidRPr="00145A97">
        <w:rPr>
          <w:lang w:val="en-GB"/>
        </w:rPr>
        <w:t>he Ministry of the Environment in Lithuania has retained responsibility for territo</w:t>
      </w:r>
      <w:r w:rsidR="00F317FE" w:rsidRPr="00145A97">
        <w:rPr>
          <w:lang w:val="en-GB"/>
        </w:rPr>
        <w:t>rial planning during this time.</w:t>
      </w:r>
    </w:p>
    <w:p w:rsidR="00704790" w:rsidRPr="00145A97" w:rsidRDefault="00704790"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Latvia </w:t>
      </w:r>
      <w:r w:rsidR="00F317FE" w:rsidRPr="00145A97">
        <w:rPr>
          <w:lang w:val="en-GB"/>
        </w:rPr>
        <w:t>has</w:t>
      </w:r>
      <w:r w:rsidRPr="00145A97">
        <w:rPr>
          <w:lang w:val="en-GB"/>
        </w:rPr>
        <w:t xml:space="preserve"> been in an almost constant state of institutional reform </w:t>
      </w:r>
      <w:r w:rsidR="003F5477">
        <w:rPr>
          <w:lang w:val="en-GB"/>
        </w:rPr>
        <w:t xml:space="preserve">since regaining independence </w:t>
      </w:r>
      <w:r w:rsidRPr="00145A97">
        <w:rPr>
          <w:lang w:val="en-GB"/>
        </w:rPr>
        <w:t>in 1991</w:t>
      </w:r>
      <w:r w:rsidR="00A5452D">
        <w:rPr>
          <w:lang w:val="en-GB"/>
        </w:rPr>
        <w:t xml:space="preserve"> when</w:t>
      </w:r>
      <w:r w:rsidRPr="00145A97">
        <w:rPr>
          <w:lang w:val="en-GB"/>
        </w:rPr>
        <w:t xml:space="preserve"> the </w:t>
      </w:r>
      <w:r w:rsidR="00A5452D" w:rsidRPr="00145A97">
        <w:rPr>
          <w:lang w:val="en-GB"/>
        </w:rPr>
        <w:t xml:space="preserve">1922 </w:t>
      </w:r>
      <w:r w:rsidRPr="00145A97">
        <w:rPr>
          <w:lang w:val="en-GB"/>
        </w:rPr>
        <w:t>Constitution was reinstated, resulting in a highly fragmented local government structure with over 550 municipalities (</w:t>
      </w:r>
      <w:proofErr w:type="spellStart"/>
      <w:r w:rsidRPr="00145A97">
        <w:rPr>
          <w:lang w:val="en-GB"/>
        </w:rPr>
        <w:t>Pabriks</w:t>
      </w:r>
      <w:proofErr w:type="spellEnd"/>
      <w:r w:rsidRPr="00145A97">
        <w:rPr>
          <w:lang w:val="en-GB"/>
        </w:rPr>
        <w:t xml:space="preserve"> and </w:t>
      </w:r>
      <w:proofErr w:type="spellStart"/>
      <w:r w:rsidRPr="00145A97">
        <w:rPr>
          <w:lang w:val="en-GB"/>
        </w:rPr>
        <w:t>Purs</w:t>
      </w:r>
      <w:proofErr w:type="spellEnd"/>
      <w:r w:rsidRPr="00145A97">
        <w:rPr>
          <w:lang w:val="en-GB"/>
        </w:rPr>
        <w:t xml:space="preserve"> 2002). Despite a new constitution in Estonia, a similarly fragmented local government structure emerged (Smith 2002) with approximately 250 municipalities. Incentives </w:t>
      </w:r>
      <w:r w:rsidR="00BC6D01" w:rsidRPr="00145A97">
        <w:rPr>
          <w:lang w:val="en-GB"/>
        </w:rPr>
        <w:t>to amalgamate</w:t>
      </w:r>
      <w:r w:rsidR="00A5452D">
        <w:rPr>
          <w:lang w:val="en-GB"/>
        </w:rPr>
        <w:t xml:space="preserve"> and reduce the number of </w:t>
      </w:r>
      <w:r w:rsidR="00F317FE" w:rsidRPr="00145A97">
        <w:rPr>
          <w:lang w:val="en-GB"/>
        </w:rPr>
        <w:t xml:space="preserve">local </w:t>
      </w:r>
      <w:r w:rsidRPr="00145A97">
        <w:rPr>
          <w:lang w:val="en-GB"/>
        </w:rPr>
        <w:t>governments had limited success</w:t>
      </w:r>
      <w:r w:rsidR="009C4222" w:rsidRPr="00145A97">
        <w:rPr>
          <w:lang w:val="en-GB"/>
        </w:rPr>
        <w:t xml:space="preserve"> </w:t>
      </w:r>
      <w:r w:rsidR="007F2818">
        <w:rPr>
          <w:lang w:val="en-GB"/>
        </w:rPr>
        <w:t>due to</w:t>
      </w:r>
      <w:r w:rsidR="009C4222" w:rsidRPr="00145A97">
        <w:rPr>
          <w:lang w:val="en-GB"/>
        </w:rPr>
        <w:t xml:space="preserve"> resistance from local populations </w:t>
      </w:r>
      <w:r w:rsidR="003B4DD2" w:rsidRPr="00145A97">
        <w:rPr>
          <w:lang w:val="en-GB"/>
        </w:rPr>
        <w:t xml:space="preserve">eager to retain their recently acquired independence. </w:t>
      </w:r>
      <w:r w:rsidRPr="00145A97">
        <w:rPr>
          <w:lang w:val="en-GB"/>
        </w:rPr>
        <w:t>Significant institutional reform in Latvia took place in 2009 when the 26 administrative districts were abolished and the number of municipalities reduced to 118 including nine cities. Recent austerity measures in Estonia have seen financia</w:t>
      </w:r>
      <w:r w:rsidR="002D4F34" w:rsidRPr="00145A97">
        <w:rPr>
          <w:lang w:val="en-GB"/>
        </w:rPr>
        <w:t xml:space="preserve">l incentives </w:t>
      </w:r>
      <w:r w:rsidR="00041A16" w:rsidRPr="00145A97">
        <w:rPr>
          <w:lang w:val="en-GB"/>
        </w:rPr>
        <w:t xml:space="preserve">for local governments to amalgamate </w:t>
      </w:r>
      <w:r w:rsidR="002D4F34" w:rsidRPr="00145A97">
        <w:rPr>
          <w:lang w:val="en-GB"/>
        </w:rPr>
        <w:t>removed</w:t>
      </w:r>
      <w:r w:rsidR="001F10C4">
        <w:rPr>
          <w:lang w:val="en-GB"/>
        </w:rPr>
        <w:t xml:space="preserve"> and</w:t>
      </w:r>
      <w:r w:rsidRPr="00145A97">
        <w:rPr>
          <w:lang w:val="en-GB"/>
        </w:rPr>
        <w:t xml:space="preserve"> </w:t>
      </w:r>
      <w:r w:rsidR="002D4F34" w:rsidRPr="00145A97">
        <w:rPr>
          <w:lang w:val="en-GB"/>
        </w:rPr>
        <w:t xml:space="preserve">it is </w:t>
      </w:r>
      <w:r w:rsidRPr="00145A97">
        <w:rPr>
          <w:lang w:val="en-GB"/>
        </w:rPr>
        <w:t xml:space="preserve">unclear </w:t>
      </w:r>
      <w:r w:rsidR="002D4F34" w:rsidRPr="00145A97">
        <w:rPr>
          <w:lang w:val="en-GB"/>
        </w:rPr>
        <w:t>whether</w:t>
      </w:r>
      <w:r w:rsidRPr="00145A97">
        <w:rPr>
          <w:lang w:val="en-GB"/>
        </w:rPr>
        <w:t xml:space="preserve"> further reductions from the current 226 municipalities are likely. In Lithuania the ten county administrations were abolished in July 2010 with powers passed down to the local level </w:t>
      </w:r>
      <w:r w:rsidR="00A5452D">
        <w:rPr>
          <w:lang w:val="en-GB"/>
        </w:rPr>
        <w:t xml:space="preserve">and </w:t>
      </w:r>
      <w:r w:rsidRPr="00145A97">
        <w:rPr>
          <w:lang w:val="en-GB"/>
        </w:rPr>
        <w:t xml:space="preserve">up to the territorial subdivisions of the Ministry of Interior. </w:t>
      </w:r>
      <w:r w:rsidR="00AD5EA2" w:rsidRPr="00145A97">
        <w:rPr>
          <w:lang w:val="en-GB"/>
        </w:rPr>
        <w:t>Discussions regarding the future of the five planning regions persist in Latvia. Several interview</w:t>
      </w:r>
      <w:r w:rsidR="007F2818">
        <w:rPr>
          <w:lang w:val="en-GB"/>
        </w:rPr>
        <w:t>ees</w:t>
      </w:r>
      <w:r w:rsidR="00AD5EA2" w:rsidRPr="00145A97">
        <w:rPr>
          <w:lang w:val="en-GB"/>
        </w:rPr>
        <w:t xml:space="preserve"> suggested that the motivation for the (potential) dissolution of regional structures were </w:t>
      </w:r>
      <w:r w:rsidR="007F2818">
        <w:rPr>
          <w:lang w:val="en-GB"/>
        </w:rPr>
        <w:t>predominantly</w:t>
      </w:r>
      <w:r w:rsidR="00AD5EA2" w:rsidRPr="00145A97">
        <w:rPr>
          <w:lang w:val="en-GB"/>
        </w:rPr>
        <w:t xml:space="preserve"> political and financial. </w:t>
      </w:r>
    </w:p>
    <w:p w:rsidR="00704790" w:rsidRPr="00145A97" w:rsidRDefault="00D002BD" w:rsidP="00D002B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Pr>
          <w:lang w:val="en-GB"/>
        </w:rPr>
        <w:t xml:space="preserve">Such </w:t>
      </w:r>
      <w:r w:rsidR="00704790" w:rsidRPr="00145A97">
        <w:rPr>
          <w:lang w:val="en-GB"/>
        </w:rPr>
        <w:t xml:space="preserve">instability </w:t>
      </w:r>
      <w:r>
        <w:rPr>
          <w:lang w:val="en-GB"/>
        </w:rPr>
        <w:t xml:space="preserve">is reflected </w:t>
      </w:r>
      <w:r w:rsidR="00704790" w:rsidRPr="00145A97">
        <w:rPr>
          <w:lang w:val="en-GB"/>
        </w:rPr>
        <w:t xml:space="preserve">by numerous reforms to planning legislation in each country. National spatial planning documents </w:t>
      </w:r>
      <w:r>
        <w:rPr>
          <w:lang w:val="en-GB"/>
        </w:rPr>
        <w:t xml:space="preserve">have been adopted </w:t>
      </w:r>
      <w:r w:rsidR="00704790" w:rsidRPr="00145A97">
        <w:rPr>
          <w:lang w:val="en-GB"/>
        </w:rPr>
        <w:t>in Estonia (Ministry of Environment 2001)</w:t>
      </w:r>
      <w:r>
        <w:rPr>
          <w:lang w:val="en-GB"/>
        </w:rPr>
        <w:t xml:space="preserve">, </w:t>
      </w:r>
      <w:r w:rsidR="00704790" w:rsidRPr="00145A97">
        <w:rPr>
          <w:lang w:val="en-GB"/>
        </w:rPr>
        <w:t>Lithuania (Ministry of Environment 2002)</w:t>
      </w:r>
      <w:r>
        <w:rPr>
          <w:lang w:val="en-GB"/>
        </w:rPr>
        <w:t xml:space="preserve"> and Latvia </w:t>
      </w:r>
      <w:r w:rsidRPr="00145A97">
        <w:rPr>
          <w:lang w:val="en-GB"/>
        </w:rPr>
        <w:t>(</w:t>
      </w:r>
      <w:proofErr w:type="spellStart"/>
      <w:r w:rsidRPr="00145A97">
        <w:rPr>
          <w:lang w:val="en-GB"/>
        </w:rPr>
        <w:t>Saeima</w:t>
      </w:r>
      <w:proofErr w:type="spellEnd"/>
      <w:r w:rsidRPr="00145A97">
        <w:rPr>
          <w:lang w:val="en-GB"/>
        </w:rPr>
        <w:t xml:space="preserve"> 2010).</w:t>
      </w:r>
      <w:r>
        <w:rPr>
          <w:lang w:val="en-GB"/>
        </w:rPr>
        <w:t xml:space="preserve"> </w:t>
      </w:r>
      <w:r w:rsidR="00704790" w:rsidRPr="00145A97">
        <w:rPr>
          <w:lang w:val="en-GB"/>
        </w:rPr>
        <w:t xml:space="preserve">The Latvian and Estonian documents are highly strategic compared to the much more detailed Lithuanian Comprehensive Plan (Adams 2006). The Estonia 2010 document is currently under revision </w:t>
      </w:r>
      <w:r w:rsidR="001C291A" w:rsidRPr="00145A97">
        <w:rPr>
          <w:lang w:val="en-GB"/>
        </w:rPr>
        <w:t xml:space="preserve">under the banner of </w:t>
      </w:r>
      <w:r w:rsidR="00704790" w:rsidRPr="00145A97">
        <w:rPr>
          <w:lang w:val="en-GB"/>
        </w:rPr>
        <w:t>Estonia 2030</w:t>
      </w:r>
      <w:r w:rsidR="00A01545" w:rsidRPr="00145A97">
        <w:rPr>
          <w:lang w:val="en-GB"/>
        </w:rPr>
        <w:t xml:space="preserve"> Strategy</w:t>
      </w:r>
      <w:r w:rsidR="00704790" w:rsidRPr="00145A97">
        <w:rPr>
          <w:lang w:val="en-GB"/>
        </w:rPr>
        <w:t xml:space="preserve">. These processes have </w:t>
      </w:r>
      <w:r w:rsidR="004F4707" w:rsidRPr="00145A97">
        <w:rPr>
          <w:lang w:val="en-GB"/>
        </w:rPr>
        <w:t xml:space="preserve">tended to be </w:t>
      </w:r>
      <w:r w:rsidR="00704790" w:rsidRPr="00145A97">
        <w:rPr>
          <w:lang w:val="en-GB"/>
        </w:rPr>
        <w:t>expert driven</w:t>
      </w:r>
      <w:r w:rsidR="002D4F34" w:rsidRPr="00145A97">
        <w:rPr>
          <w:lang w:val="en-GB"/>
        </w:rPr>
        <w:t>,</w:t>
      </w:r>
      <w:r w:rsidR="00704790" w:rsidRPr="00145A97">
        <w:rPr>
          <w:lang w:val="en-GB"/>
        </w:rPr>
        <w:t xml:space="preserve"> implying that strategic and abstract national planning </w:t>
      </w:r>
      <w:r w:rsidR="00A01545" w:rsidRPr="00145A97">
        <w:rPr>
          <w:lang w:val="en-GB"/>
        </w:rPr>
        <w:t>debates</w:t>
      </w:r>
      <w:r w:rsidR="00704790" w:rsidRPr="00145A97">
        <w:rPr>
          <w:lang w:val="en-GB"/>
        </w:rPr>
        <w:t xml:space="preserve"> </w:t>
      </w:r>
      <w:r w:rsidR="001F10C4">
        <w:rPr>
          <w:lang w:val="en-GB"/>
        </w:rPr>
        <w:t>tend</w:t>
      </w:r>
      <w:r w:rsidR="00704790" w:rsidRPr="00145A97">
        <w:rPr>
          <w:lang w:val="en-GB"/>
        </w:rPr>
        <w:t xml:space="preserve"> to be dominated by expert communities.</w:t>
      </w:r>
      <w:r w:rsidR="004F4707" w:rsidRPr="00145A97">
        <w:rPr>
          <w:lang w:val="en-GB"/>
        </w:rPr>
        <w:t xml:space="preserve"> The </w:t>
      </w:r>
      <w:r w:rsidR="001F10C4">
        <w:rPr>
          <w:lang w:val="en-GB"/>
        </w:rPr>
        <w:t xml:space="preserve">need </w:t>
      </w:r>
      <w:r w:rsidR="004F4707" w:rsidRPr="00145A97">
        <w:rPr>
          <w:lang w:val="en-GB"/>
        </w:rPr>
        <w:t xml:space="preserve">to satisfy accession requirements and subsequently </w:t>
      </w:r>
      <w:r w:rsidR="00A01545" w:rsidRPr="00145A97">
        <w:rPr>
          <w:lang w:val="en-GB"/>
        </w:rPr>
        <w:t xml:space="preserve">to </w:t>
      </w:r>
      <w:r w:rsidR="004F4707" w:rsidRPr="00145A97">
        <w:rPr>
          <w:lang w:val="en-GB"/>
        </w:rPr>
        <w:t xml:space="preserve">absorb EU funding has </w:t>
      </w:r>
      <w:r w:rsidR="00A57D27" w:rsidRPr="00145A97">
        <w:rPr>
          <w:lang w:val="en-GB"/>
        </w:rPr>
        <w:t>resulted in</w:t>
      </w:r>
      <w:r w:rsidR="004F4707" w:rsidRPr="00145A97">
        <w:rPr>
          <w:lang w:val="en-GB"/>
        </w:rPr>
        <w:t xml:space="preserve"> the emergence of a </w:t>
      </w:r>
      <w:r w:rsidR="004F4707" w:rsidRPr="00145A97">
        <w:rPr>
          <w:lang w:val="en-GB"/>
        </w:rPr>
        <w:lastRenderedPageBreak/>
        <w:t xml:space="preserve">culture of pragmatism and political expedience. The situation has been exacerbated </w:t>
      </w:r>
      <w:r w:rsidR="00A01545" w:rsidRPr="00145A97">
        <w:rPr>
          <w:lang w:val="en-GB"/>
        </w:rPr>
        <w:t>by the</w:t>
      </w:r>
      <w:r w:rsidR="004F4707" w:rsidRPr="00145A97">
        <w:rPr>
          <w:lang w:val="en-GB"/>
        </w:rPr>
        <w:t xml:space="preserve"> limited institutional capacity and resources</w:t>
      </w:r>
      <w:r w:rsidR="00A5452D">
        <w:rPr>
          <w:lang w:val="en-GB"/>
        </w:rPr>
        <w:t xml:space="preserve"> </w:t>
      </w:r>
      <w:r w:rsidR="004F4707" w:rsidRPr="00145A97">
        <w:rPr>
          <w:lang w:val="en-GB"/>
        </w:rPr>
        <w:t xml:space="preserve">at sub-national levels and </w:t>
      </w:r>
      <w:r w:rsidR="00A01545" w:rsidRPr="00145A97">
        <w:rPr>
          <w:lang w:val="en-GB"/>
        </w:rPr>
        <w:t xml:space="preserve">by the </w:t>
      </w:r>
      <w:r w:rsidR="004F4707" w:rsidRPr="00145A97">
        <w:rPr>
          <w:lang w:val="en-GB"/>
        </w:rPr>
        <w:t>extremely high turnover of staff in public sector agencies</w:t>
      </w:r>
      <w:r w:rsidR="00A57D27" w:rsidRPr="00145A97">
        <w:rPr>
          <w:lang w:val="en-GB"/>
        </w:rPr>
        <w:t xml:space="preserve">. One </w:t>
      </w:r>
      <w:r w:rsidR="004F4707" w:rsidRPr="00145A97">
        <w:rPr>
          <w:lang w:val="en-GB"/>
        </w:rPr>
        <w:t>interview</w:t>
      </w:r>
      <w:r>
        <w:rPr>
          <w:lang w:val="en-GB"/>
        </w:rPr>
        <w:t>ee</w:t>
      </w:r>
      <w:r w:rsidR="004F4707" w:rsidRPr="00145A97">
        <w:rPr>
          <w:lang w:val="en-GB"/>
        </w:rPr>
        <w:t xml:space="preserve"> identified a reduction in staff turnover </w:t>
      </w:r>
      <w:r w:rsidR="00227226" w:rsidRPr="00145A97">
        <w:rPr>
          <w:lang w:val="en-GB"/>
        </w:rPr>
        <w:t xml:space="preserve">and resulting stability </w:t>
      </w:r>
      <w:r w:rsidR="004F4707" w:rsidRPr="00145A97">
        <w:rPr>
          <w:lang w:val="en-GB"/>
        </w:rPr>
        <w:t xml:space="preserve">as the </w:t>
      </w:r>
      <w:r w:rsidR="00227226" w:rsidRPr="00145A97">
        <w:rPr>
          <w:lang w:val="en-GB"/>
        </w:rPr>
        <w:t xml:space="preserve">only </w:t>
      </w:r>
      <w:r w:rsidR="004F4707" w:rsidRPr="00145A97">
        <w:rPr>
          <w:lang w:val="en-GB"/>
        </w:rPr>
        <w:t>positive impact of the global economic crisis</w:t>
      </w:r>
      <w:r w:rsidR="00227226" w:rsidRPr="00145A97">
        <w:rPr>
          <w:lang w:val="en-GB"/>
        </w:rPr>
        <w:t xml:space="preserve">. </w:t>
      </w:r>
      <w:r w:rsidR="004F4707" w:rsidRPr="00145A97">
        <w:rPr>
          <w:lang w:val="en-GB"/>
        </w:rPr>
        <w:t>Under such circumstances it has been difficult to foster collaborative vertical links between scales</w:t>
      </w:r>
      <w:r w:rsidR="00227226" w:rsidRPr="00145A97">
        <w:rPr>
          <w:lang w:val="en-GB"/>
        </w:rPr>
        <w:t xml:space="preserve">, which appear to be at best fragmented and at worst absent in the Baltic States. </w:t>
      </w:r>
    </w:p>
    <w:p w:rsidR="00CB673D" w:rsidRDefault="00CB673D" w:rsidP="006022F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outlineLvl w:val="0"/>
        <w:rPr>
          <w:b/>
          <w:i/>
          <w:lang w:val="en-GB"/>
        </w:rPr>
      </w:pPr>
    </w:p>
    <w:p w:rsidR="00704790" w:rsidRPr="00145A97" w:rsidRDefault="009C4222" w:rsidP="006022F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outlineLvl w:val="0"/>
        <w:rPr>
          <w:lang w:val="en-GB"/>
        </w:rPr>
      </w:pPr>
      <w:r w:rsidRPr="00145A97">
        <w:rPr>
          <w:b/>
          <w:i/>
          <w:lang w:val="en-GB"/>
        </w:rPr>
        <w:t>An evolving institutional landscape for planning practice: i</w:t>
      </w:r>
      <w:r w:rsidR="00704790" w:rsidRPr="00145A97">
        <w:rPr>
          <w:b/>
          <w:i/>
          <w:lang w:val="en-GB"/>
        </w:rPr>
        <w:t>nternationalization and Europeanization of planning knowledge</w:t>
      </w:r>
    </w:p>
    <w:p w:rsidR="00704790" w:rsidRPr="00145A97" w:rsidRDefault="00704790"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 wider context for the evolution of the domestic planning communities in the Baltic States including the collapse of the Soviet Union and EU enlargement is highly relevant. </w:t>
      </w:r>
      <w:r w:rsidR="00C9384F" w:rsidRPr="00145A97">
        <w:rPr>
          <w:lang w:val="en-GB"/>
        </w:rPr>
        <w:t>D</w:t>
      </w:r>
      <w:r w:rsidRPr="00145A97">
        <w:rPr>
          <w:lang w:val="en-GB"/>
        </w:rPr>
        <w:t xml:space="preserve">omestic </w:t>
      </w:r>
      <w:r w:rsidR="00A5452D">
        <w:rPr>
          <w:lang w:val="en-GB"/>
        </w:rPr>
        <w:t>territorial knowledge</w:t>
      </w:r>
      <w:r w:rsidRPr="00145A97">
        <w:rPr>
          <w:lang w:val="en-GB"/>
        </w:rPr>
        <w:t xml:space="preserve"> communities, whose contact with international </w:t>
      </w:r>
      <w:r w:rsidR="000C294F">
        <w:rPr>
          <w:lang w:val="en-GB"/>
        </w:rPr>
        <w:t>actors</w:t>
      </w:r>
      <w:r w:rsidRPr="00145A97">
        <w:rPr>
          <w:lang w:val="en-GB"/>
        </w:rPr>
        <w:t xml:space="preserve"> had been severely restricted, started to enjoy more freedom from Moscow hegemony</w:t>
      </w:r>
      <w:r w:rsidR="00C9384F" w:rsidRPr="00145A97">
        <w:rPr>
          <w:lang w:val="en-GB"/>
        </w:rPr>
        <w:t xml:space="preserve"> in the final years of the Soviet period</w:t>
      </w:r>
      <w:r w:rsidRPr="00145A97">
        <w:rPr>
          <w:lang w:val="en-GB"/>
        </w:rPr>
        <w:t>. Th</w:t>
      </w:r>
      <w:r w:rsidR="00A5452D">
        <w:rPr>
          <w:lang w:val="en-GB"/>
        </w:rPr>
        <w:t>e resulting</w:t>
      </w:r>
      <w:r w:rsidRPr="00145A97">
        <w:rPr>
          <w:lang w:val="en-GB"/>
        </w:rPr>
        <w:t xml:space="preserve"> internationalization of ideas such as those of Arnolds </w:t>
      </w:r>
      <w:proofErr w:type="spellStart"/>
      <w:r w:rsidRPr="00145A97">
        <w:rPr>
          <w:lang w:val="en-GB"/>
        </w:rPr>
        <w:t>Lamze</w:t>
      </w:r>
      <w:proofErr w:type="spellEnd"/>
      <w:r w:rsidRPr="00145A97">
        <w:rPr>
          <w:rStyle w:val="FootnoteReference1"/>
          <w:sz w:val="24"/>
          <w:lang w:val="en-GB"/>
        </w:rPr>
        <w:footnoteReference w:id="2"/>
      </w:r>
      <w:r w:rsidRPr="00145A97">
        <w:rPr>
          <w:lang w:val="en-GB"/>
        </w:rPr>
        <w:t xml:space="preserve"> started to generate debate among the Baltics’ planning communities </w:t>
      </w:r>
      <w:r w:rsidR="00F2795F" w:rsidRPr="00145A97">
        <w:rPr>
          <w:lang w:val="en-GB"/>
        </w:rPr>
        <w:t>from</w:t>
      </w:r>
      <w:r w:rsidRPr="00145A97">
        <w:rPr>
          <w:lang w:val="en-GB"/>
        </w:rPr>
        <w:t xml:space="preserve"> the 1980s </w:t>
      </w:r>
      <w:r w:rsidR="00F2795F" w:rsidRPr="00145A97">
        <w:rPr>
          <w:lang w:val="en-GB"/>
        </w:rPr>
        <w:t xml:space="preserve">onwards </w:t>
      </w:r>
      <w:r w:rsidRPr="00145A97">
        <w:rPr>
          <w:lang w:val="en-GB"/>
        </w:rPr>
        <w:t>(</w:t>
      </w:r>
      <w:proofErr w:type="spellStart"/>
      <w:r w:rsidRPr="00145A97">
        <w:rPr>
          <w:lang w:val="en-GB"/>
        </w:rPr>
        <w:t>Kule</w:t>
      </w:r>
      <w:proofErr w:type="spellEnd"/>
      <w:r w:rsidRPr="00145A97">
        <w:rPr>
          <w:lang w:val="en-GB"/>
        </w:rPr>
        <w:t xml:space="preserve"> </w:t>
      </w:r>
      <w:r w:rsidRPr="00145A97">
        <w:rPr>
          <w:i/>
          <w:lang w:val="en-GB"/>
        </w:rPr>
        <w:t>et al</w:t>
      </w:r>
      <w:r w:rsidRPr="00145A97">
        <w:rPr>
          <w:lang w:val="en-GB"/>
        </w:rPr>
        <w:t xml:space="preserve"> 2011). The early post-Soviet period was characterised by the increasing dominance of neo-liberal ideologies, ensuring that reforms neces</w:t>
      </w:r>
      <w:r w:rsidR="00C9384F" w:rsidRPr="00145A97">
        <w:rPr>
          <w:lang w:val="en-GB"/>
        </w:rPr>
        <w:t>sary to adapt to the new market-</w:t>
      </w:r>
      <w:r w:rsidRPr="00145A97">
        <w:rPr>
          <w:lang w:val="en-GB"/>
        </w:rPr>
        <w:t>based system took priority</w:t>
      </w:r>
      <w:r w:rsidR="00A5452D">
        <w:rPr>
          <w:lang w:val="en-GB"/>
        </w:rPr>
        <w:t xml:space="preserve"> </w:t>
      </w:r>
      <w:r w:rsidR="00F3192F">
        <w:rPr>
          <w:lang w:val="en-GB"/>
        </w:rPr>
        <w:t xml:space="preserve">over the </w:t>
      </w:r>
      <w:r w:rsidRPr="00145A97">
        <w:rPr>
          <w:lang w:val="en-GB"/>
        </w:rPr>
        <w:t xml:space="preserve">production and cultivation of knowledge. </w:t>
      </w:r>
      <w:r w:rsidR="00A5452D">
        <w:rPr>
          <w:lang w:val="en-GB"/>
        </w:rPr>
        <w:t xml:space="preserve">The </w:t>
      </w:r>
      <w:r w:rsidR="00A5452D" w:rsidRPr="00145A97">
        <w:rPr>
          <w:lang w:val="en-GB"/>
        </w:rPr>
        <w:t>respective national academies of science, which were not only viewed as expensive but also as a symbol of former Soviet control</w:t>
      </w:r>
      <w:r w:rsidR="00A5452D">
        <w:rPr>
          <w:lang w:val="en-GB"/>
        </w:rPr>
        <w:t xml:space="preserve">, </w:t>
      </w:r>
      <w:r w:rsidR="00F3192F">
        <w:rPr>
          <w:lang w:val="en-GB"/>
        </w:rPr>
        <w:t>were dismantled</w:t>
      </w:r>
      <w:r w:rsidR="00A5452D" w:rsidRPr="00145A97">
        <w:rPr>
          <w:lang w:val="en-GB"/>
        </w:rPr>
        <w:t>.</w:t>
      </w:r>
      <w:r w:rsidR="00A5452D">
        <w:rPr>
          <w:lang w:val="en-GB"/>
        </w:rPr>
        <w:t xml:space="preserve"> </w:t>
      </w:r>
      <w:r w:rsidRPr="00145A97">
        <w:rPr>
          <w:lang w:val="en-GB"/>
        </w:rPr>
        <w:t xml:space="preserve">These academies were responsible for </w:t>
      </w:r>
      <w:r w:rsidR="00A5452D">
        <w:rPr>
          <w:lang w:val="en-GB"/>
        </w:rPr>
        <w:t xml:space="preserve">extensive </w:t>
      </w:r>
      <w:r w:rsidRPr="00145A97">
        <w:rPr>
          <w:lang w:val="en-GB"/>
        </w:rPr>
        <w:t>research in Soviet times and played a key role in informing policy development</w:t>
      </w:r>
      <w:r w:rsidR="00E047A5" w:rsidRPr="00145A97">
        <w:rPr>
          <w:lang w:val="en-GB"/>
        </w:rPr>
        <w:t xml:space="preserve"> and their</w:t>
      </w:r>
      <w:r w:rsidRPr="00145A97">
        <w:rPr>
          <w:lang w:val="en-GB"/>
        </w:rPr>
        <w:t xml:space="preserve"> dissolution </w:t>
      </w:r>
      <w:r w:rsidR="00C9384F" w:rsidRPr="00145A97">
        <w:rPr>
          <w:lang w:val="en-GB"/>
        </w:rPr>
        <w:t>particularly</w:t>
      </w:r>
      <w:r w:rsidRPr="00145A97">
        <w:rPr>
          <w:lang w:val="en-GB"/>
        </w:rPr>
        <w:t xml:space="preserve"> weakened </w:t>
      </w:r>
      <w:r w:rsidR="00C9384F" w:rsidRPr="00145A97">
        <w:rPr>
          <w:lang w:val="en-GB"/>
        </w:rPr>
        <w:t xml:space="preserve">planning </w:t>
      </w:r>
      <w:r w:rsidRPr="00145A97">
        <w:rPr>
          <w:lang w:val="en-GB"/>
        </w:rPr>
        <w:t>communities</w:t>
      </w:r>
      <w:r w:rsidR="00F2795F" w:rsidRPr="00145A97">
        <w:rPr>
          <w:lang w:val="en-GB"/>
        </w:rPr>
        <w:t xml:space="preserve"> and knowledge networks</w:t>
      </w:r>
      <w:r w:rsidR="00CE64D7" w:rsidRPr="00145A97">
        <w:rPr>
          <w:lang w:val="en-GB"/>
        </w:rPr>
        <w:t>.</w:t>
      </w:r>
    </w:p>
    <w:p w:rsidR="00704790" w:rsidRPr="00145A97" w:rsidRDefault="00F3192F"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Pr>
          <w:lang w:val="en-GB"/>
        </w:rPr>
        <w:t>A</w:t>
      </w:r>
      <w:r w:rsidR="00704790" w:rsidRPr="00145A97">
        <w:rPr>
          <w:lang w:val="en-GB"/>
        </w:rPr>
        <w:t xml:space="preserve"> dramatic renewal </w:t>
      </w:r>
      <w:r w:rsidR="001F10C4" w:rsidRPr="00145A97">
        <w:rPr>
          <w:lang w:val="en-GB"/>
        </w:rPr>
        <w:t xml:space="preserve">of the membership and philosophy of the planning communities </w:t>
      </w:r>
      <w:r w:rsidR="00704790" w:rsidRPr="00145A97">
        <w:rPr>
          <w:lang w:val="en-GB"/>
        </w:rPr>
        <w:t xml:space="preserve">was </w:t>
      </w:r>
      <w:r w:rsidR="001F10C4">
        <w:rPr>
          <w:lang w:val="en-GB"/>
        </w:rPr>
        <w:t xml:space="preserve">therefore </w:t>
      </w:r>
      <w:r w:rsidR="00704790" w:rsidRPr="00145A97">
        <w:rPr>
          <w:lang w:val="en-GB"/>
        </w:rPr>
        <w:t xml:space="preserve">required in order for them to adapt to the post-Soviet realities and to gain wider public acceptance. </w:t>
      </w:r>
      <w:r w:rsidR="00E047A5" w:rsidRPr="00145A97">
        <w:rPr>
          <w:lang w:val="en-GB"/>
        </w:rPr>
        <w:t xml:space="preserve">The EU </w:t>
      </w:r>
      <w:r w:rsidR="001F10C4">
        <w:rPr>
          <w:lang w:val="en-GB"/>
        </w:rPr>
        <w:t xml:space="preserve">exerted </w:t>
      </w:r>
      <w:r w:rsidR="00E047A5" w:rsidRPr="00145A97">
        <w:rPr>
          <w:lang w:val="en-GB"/>
        </w:rPr>
        <w:t>increasing influence on domestic actors from the mid 1990s onwards through top-</w:t>
      </w:r>
      <w:r w:rsidR="00E047A5" w:rsidRPr="00145A97">
        <w:rPr>
          <w:lang w:val="en-GB"/>
        </w:rPr>
        <w:lastRenderedPageBreak/>
        <w:t>down processes of Europeanization</w:t>
      </w:r>
      <w:r w:rsidR="00FA3077" w:rsidRPr="00145A97">
        <w:rPr>
          <w:lang w:val="en-GB"/>
        </w:rPr>
        <w:t>, which</w:t>
      </w:r>
      <w:r w:rsidR="00E047A5" w:rsidRPr="00145A97">
        <w:rPr>
          <w:lang w:val="en-GB"/>
        </w:rPr>
        <w:t xml:space="preserve"> involv</w:t>
      </w:r>
      <w:r w:rsidR="00FA3077" w:rsidRPr="00145A97">
        <w:rPr>
          <w:lang w:val="en-GB"/>
        </w:rPr>
        <w:t>ed</w:t>
      </w:r>
      <w:r w:rsidR="00E047A5" w:rsidRPr="00145A97">
        <w:rPr>
          <w:lang w:val="en-GB"/>
        </w:rPr>
        <w:t xml:space="preserve"> the setting of rules and the provision of external incentives (</w:t>
      </w:r>
      <w:proofErr w:type="spellStart"/>
      <w:r w:rsidR="00E047A5" w:rsidRPr="00145A97">
        <w:rPr>
          <w:lang w:val="en-GB"/>
        </w:rPr>
        <w:t>Schimmelfenning</w:t>
      </w:r>
      <w:proofErr w:type="spellEnd"/>
      <w:r w:rsidR="00E047A5" w:rsidRPr="00145A97">
        <w:rPr>
          <w:lang w:val="en-GB"/>
        </w:rPr>
        <w:t xml:space="preserve"> and </w:t>
      </w:r>
      <w:proofErr w:type="spellStart"/>
      <w:r w:rsidR="00E047A5" w:rsidRPr="00145A97">
        <w:rPr>
          <w:lang w:val="en-GB"/>
        </w:rPr>
        <w:t>Sedelmeier</w:t>
      </w:r>
      <w:proofErr w:type="spellEnd"/>
      <w:r w:rsidR="00E047A5" w:rsidRPr="00145A97">
        <w:rPr>
          <w:lang w:val="en-GB"/>
        </w:rPr>
        <w:t xml:space="preserve"> 2005, </w:t>
      </w:r>
      <w:proofErr w:type="spellStart"/>
      <w:r w:rsidR="00E047A5" w:rsidRPr="00145A97">
        <w:rPr>
          <w:lang w:val="en-GB"/>
        </w:rPr>
        <w:t>Dagiliene</w:t>
      </w:r>
      <w:proofErr w:type="spellEnd"/>
      <w:r w:rsidR="00E047A5" w:rsidRPr="00145A97">
        <w:rPr>
          <w:lang w:val="en-GB"/>
        </w:rPr>
        <w:t xml:space="preserve"> 2006). Planning </w:t>
      </w:r>
      <w:r w:rsidR="000C294F">
        <w:rPr>
          <w:lang w:val="en-GB"/>
        </w:rPr>
        <w:t>remains</w:t>
      </w:r>
      <w:r w:rsidR="00E047A5" w:rsidRPr="00145A97">
        <w:rPr>
          <w:lang w:val="en-GB"/>
        </w:rPr>
        <w:t xml:space="preserve"> a contested professional domain </w:t>
      </w:r>
      <w:r w:rsidR="00A5452D">
        <w:rPr>
          <w:lang w:val="en-GB"/>
        </w:rPr>
        <w:t xml:space="preserve">and </w:t>
      </w:r>
      <w:r w:rsidR="00704790" w:rsidRPr="00145A97">
        <w:rPr>
          <w:lang w:val="en-GB"/>
        </w:rPr>
        <w:t>the planning community in each Baltic State is characterised by a diversity of professions including architects, geographers, economists, surve</w:t>
      </w:r>
      <w:r w:rsidR="00405C6E" w:rsidRPr="00145A97">
        <w:rPr>
          <w:lang w:val="en-GB"/>
        </w:rPr>
        <w:t xml:space="preserve">yors and political scientists. </w:t>
      </w:r>
      <w:r w:rsidR="00917F91" w:rsidRPr="00145A97">
        <w:rPr>
          <w:lang w:val="en-GB"/>
        </w:rPr>
        <w:t>T</w:t>
      </w:r>
      <w:r w:rsidR="00704790" w:rsidRPr="00145A97">
        <w:rPr>
          <w:lang w:val="en-GB"/>
        </w:rPr>
        <w:t xml:space="preserve">he battle for </w:t>
      </w:r>
      <w:r w:rsidR="00C16CCC">
        <w:rPr>
          <w:lang w:val="en-GB"/>
        </w:rPr>
        <w:t xml:space="preserve">professional </w:t>
      </w:r>
      <w:r w:rsidR="00704790" w:rsidRPr="00145A97">
        <w:rPr>
          <w:lang w:val="en-GB"/>
        </w:rPr>
        <w:t>legitimacy</w:t>
      </w:r>
      <w:r w:rsidR="00FA3077" w:rsidRPr="00145A97">
        <w:rPr>
          <w:lang w:val="en-GB"/>
        </w:rPr>
        <w:t xml:space="preserve"> </w:t>
      </w:r>
      <w:r w:rsidR="00704790" w:rsidRPr="00145A97">
        <w:rPr>
          <w:lang w:val="en-GB"/>
        </w:rPr>
        <w:t xml:space="preserve">is exacerbated by limited </w:t>
      </w:r>
      <w:r w:rsidR="00C16CCC">
        <w:rPr>
          <w:lang w:val="en-GB"/>
        </w:rPr>
        <w:t xml:space="preserve">planning </w:t>
      </w:r>
      <w:r w:rsidR="00704790" w:rsidRPr="00145A97">
        <w:rPr>
          <w:lang w:val="en-GB"/>
        </w:rPr>
        <w:t>higher education opportunities</w:t>
      </w:r>
      <w:r w:rsidR="00704790" w:rsidRPr="00145A97">
        <w:rPr>
          <w:rStyle w:val="Rimandonotaapidipagina"/>
          <w:lang w:val="en-GB"/>
        </w:rPr>
        <w:footnoteReference w:id="3"/>
      </w:r>
      <w:r w:rsidR="00E468A7">
        <w:rPr>
          <w:lang w:val="en-GB"/>
        </w:rPr>
        <w:t xml:space="preserve"> and </w:t>
      </w:r>
      <w:r w:rsidR="00C16CCC">
        <w:rPr>
          <w:lang w:val="en-GB"/>
        </w:rPr>
        <w:t>r</w:t>
      </w:r>
      <w:r w:rsidR="00917F91" w:rsidRPr="00145A97">
        <w:rPr>
          <w:lang w:val="en-GB"/>
        </w:rPr>
        <w:t xml:space="preserve">ecent </w:t>
      </w:r>
      <w:r w:rsidR="00704790" w:rsidRPr="00145A97">
        <w:rPr>
          <w:lang w:val="en-GB"/>
        </w:rPr>
        <w:t xml:space="preserve">severe cuts </w:t>
      </w:r>
      <w:r w:rsidR="00405C6E" w:rsidRPr="00145A97">
        <w:rPr>
          <w:lang w:val="en-GB"/>
        </w:rPr>
        <w:t>to</w:t>
      </w:r>
      <w:r w:rsidR="00704790" w:rsidRPr="00145A97">
        <w:rPr>
          <w:lang w:val="en-GB"/>
        </w:rPr>
        <w:t xml:space="preserve"> higher education budgets</w:t>
      </w:r>
      <w:r w:rsidR="00F2795F" w:rsidRPr="00145A97">
        <w:rPr>
          <w:lang w:val="en-GB"/>
        </w:rPr>
        <w:t xml:space="preserve"> </w:t>
      </w:r>
      <w:r w:rsidR="00704790" w:rsidRPr="00145A97">
        <w:rPr>
          <w:lang w:val="en-GB"/>
        </w:rPr>
        <w:t>(EUA 2011)</w:t>
      </w:r>
      <w:r w:rsidR="00C16CCC">
        <w:rPr>
          <w:lang w:val="en-GB"/>
        </w:rPr>
        <w:t>.</w:t>
      </w:r>
      <w:r w:rsidR="00405C6E" w:rsidRPr="00145A97">
        <w:rPr>
          <w:lang w:val="en-GB"/>
        </w:rPr>
        <w:t xml:space="preserve"> </w:t>
      </w:r>
      <w:r w:rsidR="00E468A7">
        <w:rPr>
          <w:lang w:val="en-GB"/>
        </w:rPr>
        <w:t xml:space="preserve">The resulting </w:t>
      </w:r>
      <w:r w:rsidR="00704790" w:rsidRPr="00145A97">
        <w:rPr>
          <w:lang w:val="en-GB"/>
        </w:rPr>
        <w:t xml:space="preserve">vicious circle </w:t>
      </w:r>
      <w:r w:rsidR="00E468A7">
        <w:rPr>
          <w:lang w:val="en-GB"/>
        </w:rPr>
        <w:t xml:space="preserve">means that </w:t>
      </w:r>
      <w:r w:rsidR="00704790" w:rsidRPr="00145A97">
        <w:rPr>
          <w:lang w:val="en-GB"/>
        </w:rPr>
        <w:t xml:space="preserve">the fragmented nature of spatial planning </w:t>
      </w:r>
      <w:r w:rsidRPr="00145A97">
        <w:rPr>
          <w:lang w:val="en-GB"/>
        </w:rPr>
        <w:t>higher education</w:t>
      </w:r>
      <w:r w:rsidR="00704790" w:rsidRPr="00145A97">
        <w:rPr>
          <w:lang w:val="en-GB"/>
        </w:rPr>
        <w:t xml:space="preserve"> does little to consolidate the respective planning communities</w:t>
      </w:r>
      <w:r w:rsidR="00FA3077" w:rsidRPr="00145A97">
        <w:rPr>
          <w:lang w:val="en-GB"/>
        </w:rPr>
        <w:t>,</w:t>
      </w:r>
      <w:r w:rsidR="00704790" w:rsidRPr="00145A97">
        <w:rPr>
          <w:lang w:val="en-GB"/>
        </w:rPr>
        <w:t xml:space="preserve"> and the fragmented planning communities </w:t>
      </w:r>
      <w:r>
        <w:rPr>
          <w:lang w:val="en-GB"/>
        </w:rPr>
        <w:t xml:space="preserve">have insufficient </w:t>
      </w:r>
      <w:r w:rsidR="00704790" w:rsidRPr="00145A97">
        <w:rPr>
          <w:lang w:val="en-GB"/>
        </w:rPr>
        <w:t xml:space="preserve">influence to consolidate planning education. </w:t>
      </w:r>
      <w:r w:rsidR="00084463" w:rsidRPr="00145A97">
        <w:rPr>
          <w:lang w:val="en-GB"/>
        </w:rPr>
        <w:t>This fragment</w:t>
      </w:r>
      <w:r w:rsidR="00C16CCC">
        <w:rPr>
          <w:lang w:val="en-GB"/>
        </w:rPr>
        <w:t>ation</w:t>
      </w:r>
      <w:r w:rsidR="00084463" w:rsidRPr="00145A97">
        <w:rPr>
          <w:lang w:val="en-GB"/>
        </w:rPr>
        <w:t xml:space="preserve"> is also reflected in professional practice. </w:t>
      </w:r>
      <w:r w:rsidR="00704790" w:rsidRPr="00145A97">
        <w:rPr>
          <w:lang w:val="en-GB"/>
        </w:rPr>
        <w:t>National associations represent</w:t>
      </w:r>
      <w:r>
        <w:rPr>
          <w:lang w:val="en-GB"/>
        </w:rPr>
        <w:t>ing</w:t>
      </w:r>
      <w:r w:rsidR="00704790" w:rsidRPr="00145A97">
        <w:rPr>
          <w:lang w:val="en-GB"/>
        </w:rPr>
        <w:t xml:space="preserve"> the interests of spatial planners in Estonia and Latvia </w:t>
      </w:r>
      <w:r>
        <w:rPr>
          <w:lang w:val="en-GB"/>
        </w:rPr>
        <w:t xml:space="preserve">have memberships of </w:t>
      </w:r>
      <w:r w:rsidR="00704790" w:rsidRPr="00145A97">
        <w:rPr>
          <w:lang w:val="en-GB"/>
        </w:rPr>
        <w:t>approxi</w:t>
      </w:r>
      <w:r w:rsidR="0035437C" w:rsidRPr="00145A97">
        <w:rPr>
          <w:lang w:val="en-GB"/>
        </w:rPr>
        <w:t xml:space="preserve">mately 70 and 50 respectively. </w:t>
      </w:r>
      <w:r w:rsidR="00F2795F" w:rsidRPr="00145A97">
        <w:rPr>
          <w:lang w:val="en-GB"/>
        </w:rPr>
        <w:t>M</w:t>
      </w:r>
      <w:r w:rsidR="00704790" w:rsidRPr="00145A97">
        <w:rPr>
          <w:lang w:val="en-GB"/>
        </w:rPr>
        <w:t xml:space="preserve">any planners are </w:t>
      </w:r>
      <w:r w:rsidRPr="00145A97">
        <w:rPr>
          <w:lang w:val="en-GB"/>
        </w:rPr>
        <w:t xml:space="preserve">also </w:t>
      </w:r>
      <w:r w:rsidR="00704790" w:rsidRPr="00145A97">
        <w:rPr>
          <w:lang w:val="en-GB"/>
        </w:rPr>
        <w:t>active in other networks and communities such as the Association of Architects and the Association of Local and Regional Governm</w:t>
      </w:r>
      <w:r w:rsidR="00BC6D01" w:rsidRPr="00145A97">
        <w:rPr>
          <w:lang w:val="en-GB"/>
        </w:rPr>
        <w:t>ent in Latvia</w:t>
      </w:r>
      <w:r w:rsidR="00E468A7">
        <w:rPr>
          <w:lang w:val="en-GB"/>
        </w:rPr>
        <w:t xml:space="preserve"> and </w:t>
      </w:r>
      <w:r w:rsidR="00E468A7" w:rsidRPr="00145A97">
        <w:rPr>
          <w:lang w:val="en-GB"/>
        </w:rPr>
        <w:t>the Union of Architects</w:t>
      </w:r>
      <w:r w:rsidR="00E468A7" w:rsidRPr="00E468A7">
        <w:rPr>
          <w:lang w:val="en-GB"/>
        </w:rPr>
        <w:t xml:space="preserve"> </w:t>
      </w:r>
      <w:r w:rsidR="00E468A7">
        <w:rPr>
          <w:lang w:val="en-GB"/>
        </w:rPr>
        <w:t xml:space="preserve">in Lithuania. </w:t>
      </w:r>
      <w:r w:rsidR="00704790" w:rsidRPr="00145A97">
        <w:rPr>
          <w:lang w:val="en-GB"/>
        </w:rPr>
        <w:t xml:space="preserve">The associations provide a platform </w:t>
      </w:r>
      <w:r w:rsidR="00C16CCC">
        <w:rPr>
          <w:lang w:val="en-GB"/>
        </w:rPr>
        <w:t>for debate</w:t>
      </w:r>
      <w:r w:rsidR="00BC6D01" w:rsidRPr="00145A97">
        <w:rPr>
          <w:lang w:val="en-GB"/>
        </w:rPr>
        <w:t>,</w:t>
      </w:r>
      <w:r w:rsidR="00704790" w:rsidRPr="00145A97">
        <w:rPr>
          <w:lang w:val="en-GB"/>
        </w:rPr>
        <w:t xml:space="preserve"> to raise planning capacity, </w:t>
      </w:r>
      <w:r w:rsidR="00C16CCC">
        <w:rPr>
          <w:lang w:val="en-GB"/>
        </w:rPr>
        <w:t xml:space="preserve">to </w:t>
      </w:r>
      <w:r w:rsidR="00704790" w:rsidRPr="00145A97">
        <w:rPr>
          <w:lang w:val="en-GB"/>
        </w:rPr>
        <w:t xml:space="preserve">disseminate information and </w:t>
      </w:r>
      <w:r w:rsidR="00C16CCC">
        <w:rPr>
          <w:lang w:val="en-GB"/>
        </w:rPr>
        <w:t xml:space="preserve">to </w:t>
      </w:r>
      <w:r w:rsidR="00704790" w:rsidRPr="00145A97">
        <w:rPr>
          <w:lang w:val="en-GB"/>
        </w:rPr>
        <w:t xml:space="preserve">provide advice to local and national governments. </w:t>
      </w:r>
      <w:r w:rsidR="00BE1E9A" w:rsidRPr="00145A97">
        <w:rPr>
          <w:lang w:val="en-GB"/>
        </w:rPr>
        <w:t>Despite focussing</w:t>
      </w:r>
      <w:r w:rsidR="00704790" w:rsidRPr="00145A97">
        <w:rPr>
          <w:lang w:val="en-GB"/>
        </w:rPr>
        <w:t xml:space="preserve"> primarily on domestic issues</w:t>
      </w:r>
      <w:r w:rsidR="00BE1E9A" w:rsidRPr="00145A97">
        <w:rPr>
          <w:lang w:val="en-GB"/>
        </w:rPr>
        <w:t>, both Estonian and Latvian associations</w:t>
      </w:r>
      <w:r w:rsidR="00DA4E36" w:rsidRPr="00145A97">
        <w:rPr>
          <w:lang w:val="en-GB"/>
        </w:rPr>
        <w:t xml:space="preserve"> </w:t>
      </w:r>
      <w:r w:rsidR="00704790" w:rsidRPr="00145A97">
        <w:rPr>
          <w:lang w:val="en-GB"/>
        </w:rPr>
        <w:t>are increasingly engaged with similar associations in other countries</w:t>
      </w:r>
      <w:r w:rsidR="00704790" w:rsidRPr="00145A97">
        <w:rPr>
          <w:rStyle w:val="FootnoteReference1"/>
          <w:sz w:val="24"/>
          <w:lang w:val="en-GB"/>
        </w:rPr>
        <w:footnoteReference w:id="4"/>
      </w:r>
      <w:r w:rsidR="00DA4E36" w:rsidRPr="00145A97">
        <w:rPr>
          <w:lang w:val="en-GB"/>
        </w:rPr>
        <w:t xml:space="preserve"> and have a limited but increasing influence on the policy development process.</w:t>
      </w:r>
    </w:p>
    <w:p w:rsidR="00565313" w:rsidRPr="00145A97" w:rsidRDefault="00F2795F"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Extensive </w:t>
      </w:r>
      <w:r w:rsidR="00704790" w:rsidRPr="00145A97">
        <w:rPr>
          <w:lang w:val="en-GB"/>
        </w:rPr>
        <w:t>Baltic diasporas</w:t>
      </w:r>
      <w:r w:rsidRPr="00145A97">
        <w:rPr>
          <w:lang w:val="en-GB"/>
        </w:rPr>
        <w:t xml:space="preserve"> </w:t>
      </w:r>
      <w:r w:rsidR="00C16CCC">
        <w:rPr>
          <w:lang w:val="en-GB"/>
        </w:rPr>
        <w:t xml:space="preserve">included </w:t>
      </w:r>
      <w:r w:rsidR="00704790" w:rsidRPr="00145A97">
        <w:rPr>
          <w:lang w:val="en-GB"/>
        </w:rPr>
        <w:t>numerous individuals practicing planning in various countries</w:t>
      </w:r>
      <w:r w:rsidR="00FA3077" w:rsidRPr="00145A97">
        <w:rPr>
          <w:lang w:val="en-GB"/>
        </w:rPr>
        <w:t>, and</w:t>
      </w:r>
      <w:r w:rsidRPr="00145A97">
        <w:rPr>
          <w:lang w:val="en-GB"/>
        </w:rPr>
        <w:t xml:space="preserve"> contacts with these groups and individuals </w:t>
      </w:r>
      <w:r w:rsidR="00704790" w:rsidRPr="00145A97">
        <w:rPr>
          <w:lang w:val="en-GB"/>
        </w:rPr>
        <w:t>were extremely important in the early post-Soviet phase</w:t>
      </w:r>
      <w:r w:rsidR="00FA3077" w:rsidRPr="00145A97">
        <w:rPr>
          <w:lang w:val="en-GB"/>
        </w:rPr>
        <w:t xml:space="preserve"> as mechanisms for knowledge transfer (</w:t>
      </w:r>
      <w:proofErr w:type="spellStart"/>
      <w:r w:rsidR="00FA3077" w:rsidRPr="00145A97">
        <w:rPr>
          <w:lang w:val="en-GB"/>
        </w:rPr>
        <w:t>Kule</w:t>
      </w:r>
      <w:proofErr w:type="spellEnd"/>
      <w:r w:rsidR="00FA3077" w:rsidRPr="00145A97">
        <w:rPr>
          <w:lang w:val="en-GB"/>
        </w:rPr>
        <w:t xml:space="preserve"> </w:t>
      </w:r>
      <w:r w:rsidR="00FA3077" w:rsidRPr="00145A97">
        <w:rPr>
          <w:i/>
          <w:lang w:val="en-GB"/>
        </w:rPr>
        <w:t>et al</w:t>
      </w:r>
      <w:r w:rsidR="00FA3077" w:rsidRPr="00145A97">
        <w:rPr>
          <w:lang w:val="en-GB"/>
        </w:rPr>
        <w:t xml:space="preserve"> 2011)</w:t>
      </w:r>
      <w:r w:rsidR="00704790" w:rsidRPr="00145A97">
        <w:rPr>
          <w:lang w:val="en-GB"/>
        </w:rPr>
        <w:t xml:space="preserve">. </w:t>
      </w:r>
      <w:proofErr w:type="spellStart"/>
      <w:r w:rsidR="00635A72" w:rsidRPr="00145A97">
        <w:rPr>
          <w:lang w:val="en-GB"/>
        </w:rPr>
        <w:t>Larner</w:t>
      </w:r>
      <w:proofErr w:type="spellEnd"/>
      <w:r w:rsidR="00635A72" w:rsidRPr="00145A97">
        <w:rPr>
          <w:lang w:val="en-GB"/>
        </w:rPr>
        <w:t xml:space="preserve"> and </w:t>
      </w:r>
      <w:r w:rsidR="00704790" w:rsidRPr="00145A97">
        <w:rPr>
          <w:lang w:val="en-GB"/>
        </w:rPr>
        <w:t xml:space="preserve">Laurie (2010) reflect on the ways different types of knowledge are transferred and </w:t>
      </w:r>
      <w:r w:rsidR="00C718C9">
        <w:rPr>
          <w:lang w:val="en-GB"/>
        </w:rPr>
        <w:t>transformed</w:t>
      </w:r>
      <w:r w:rsidR="00704790" w:rsidRPr="00145A97">
        <w:rPr>
          <w:lang w:val="en-GB"/>
        </w:rPr>
        <w:t xml:space="preserve"> by different individuals, networks and communities with different agendas and in different contexts. </w:t>
      </w:r>
      <w:r w:rsidR="00D94EB2" w:rsidRPr="00145A97">
        <w:rPr>
          <w:lang w:val="en-GB"/>
        </w:rPr>
        <w:t xml:space="preserve">The role of individual actors can </w:t>
      </w:r>
      <w:r w:rsidR="00E468A7">
        <w:rPr>
          <w:lang w:val="en-GB"/>
        </w:rPr>
        <w:t xml:space="preserve">also </w:t>
      </w:r>
      <w:r w:rsidR="00D94EB2" w:rsidRPr="00145A97">
        <w:rPr>
          <w:lang w:val="en-GB"/>
        </w:rPr>
        <w:t xml:space="preserve">change </w:t>
      </w:r>
      <w:r w:rsidR="00704790" w:rsidRPr="00145A97">
        <w:rPr>
          <w:lang w:val="en-GB"/>
        </w:rPr>
        <w:t xml:space="preserve">as </w:t>
      </w:r>
      <w:r w:rsidR="00084463" w:rsidRPr="00145A97">
        <w:rPr>
          <w:lang w:val="en-GB"/>
        </w:rPr>
        <w:t>‘</w:t>
      </w:r>
      <w:r w:rsidR="00BE1E9A" w:rsidRPr="00145A97">
        <w:rPr>
          <w:lang w:val="en-GB"/>
        </w:rPr>
        <w:t>....</w:t>
      </w:r>
      <w:r w:rsidR="00704790" w:rsidRPr="00145A97">
        <w:rPr>
          <w:lang w:val="en-GB"/>
        </w:rPr>
        <w:t xml:space="preserve">technocrats may become politicians, scientists may become development experts, academics may become activists, engineers may set up NGOs </w:t>
      </w:r>
      <w:r w:rsidR="00BE1E9A" w:rsidRPr="00145A97">
        <w:rPr>
          <w:lang w:val="en-GB"/>
        </w:rPr>
        <w:t xml:space="preserve">....’ </w:t>
      </w:r>
      <w:r w:rsidR="00704790" w:rsidRPr="00145A97">
        <w:rPr>
          <w:lang w:val="en-GB"/>
        </w:rPr>
        <w:t>(</w:t>
      </w:r>
      <w:r w:rsidR="00E468A7">
        <w:rPr>
          <w:lang w:val="en-GB"/>
        </w:rPr>
        <w:t xml:space="preserve">ibid </w:t>
      </w:r>
      <w:r w:rsidR="00704790" w:rsidRPr="00145A97">
        <w:rPr>
          <w:lang w:val="en-GB"/>
        </w:rPr>
        <w:t xml:space="preserve">2010: </w:t>
      </w:r>
      <w:r w:rsidR="00704790" w:rsidRPr="00145A97">
        <w:rPr>
          <w:lang w:val="en-GB"/>
        </w:rPr>
        <w:lastRenderedPageBreak/>
        <w:t xml:space="preserve">219). </w:t>
      </w:r>
      <w:r w:rsidR="00D94EB2" w:rsidRPr="00145A97">
        <w:rPr>
          <w:lang w:val="en-GB"/>
        </w:rPr>
        <w:t xml:space="preserve">The fluidity of the </w:t>
      </w:r>
      <w:r w:rsidR="0071578C">
        <w:rPr>
          <w:lang w:val="en-GB"/>
        </w:rPr>
        <w:t xml:space="preserve">Baltic States’ </w:t>
      </w:r>
      <w:r w:rsidR="00D94EB2" w:rsidRPr="00145A97">
        <w:rPr>
          <w:lang w:val="en-GB"/>
        </w:rPr>
        <w:t>political and institutional context during transition facilitated such changes</w:t>
      </w:r>
      <w:r w:rsidR="00F45786" w:rsidRPr="00145A97">
        <w:rPr>
          <w:lang w:val="en-GB"/>
        </w:rPr>
        <w:t xml:space="preserve">. </w:t>
      </w:r>
      <w:r w:rsidR="00E468A7">
        <w:rPr>
          <w:lang w:val="en-GB"/>
        </w:rPr>
        <w:t>M</w:t>
      </w:r>
      <w:r w:rsidR="00704790" w:rsidRPr="00145A97">
        <w:rPr>
          <w:lang w:val="en-GB"/>
        </w:rPr>
        <w:t>embers of the</w:t>
      </w:r>
      <w:r w:rsidR="00F45786" w:rsidRPr="00145A97">
        <w:rPr>
          <w:lang w:val="en-GB"/>
        </w:rPr>
        <w:t>se</w:t>
      </w:r>
      <w:r w:rsidR="00704790" w:rsidRPr="00145A97">
        <w:rPr>
          <w:lang w:val="en-GB"/>
        </w:rPr>
        <w:t xml:space="preserve"> exile communit</w:t>
      </w:r>
      <w:r w:rsidR="00F45786" w:rsidRPr="00145A97">
        <w:rPr>
          <w:lang w:val="en-GB"/>
        </w:rPr>
        <w:t>ies</w:t>
      </w:r>
      <w:r w:rsidR="00704790" w:rsidRPr="00145A97">
        <w:rPr>
          <w:lang w:val="en-GB"/>
        </w:rPr>
        <w:t xml:space="preserve"> returned to their respective countries to </w:t>
      </w:r>
      <w:r w:rsidR="00565313" w:rsidRPr="00145A97">
        <w:rPr>
          <w:lang w:val="en-GB"/>
        </w:rPr>
        <w:t>become involved in politics</w:t>
      </w:r>
      <w:r w:rsidR="00E468A7">
        <w:rPr>
          <w:lang w:val="en-GB"/>
        </w:rPr>
        <w:t xml:space="preserve">, </w:t>
      </w:r>
      <w:r w:rsidR="00565313" w:rsidRPr="00145A97">
        <w:rPr>
          <w:lang w:val="en-GB"/>
        </w:rPr>
        <w:t>advocacy groups</w:t>
      </w:r>
      <w:r w:rsidR="00E468A7">
        <w:rPr>
          <w:lang w:val="en-GB"/>
        </w:rPr>
        <w:t>,</w:t>
      </w:r>
      <w:r w:rsidR="00565313" w:rsidRPr="00145A97">
        <w:rPr>
          <w:lang w:val="en-GB"/>
        </w:rPr>
        <w:t xml:space="preserve"> academia, public administration and the private sector</w:t>
      </w:r>
      <w:r w:rsidR="000C294F">
        <w:rPr>
          <w:lang w:val="en-GB"/>
        </w:rPr>
        <w:t xml:space="preserve"> whereas o</w:t>
      </w:r>
      <w:r w:rsidR="00704790" w:rsidRPr="00145A97">
        <w:rPr>
          <w:lang w:val="en-GB"/>
        </w:rPr>
        <w:t xml:space="preserve">thers played a more indirect role by </w:t>
      </w:r>
      <w:r w:rsidR="0071578C">
        <w:rPr>
          <w:lang w:val="en-GB"/>
        </w:rPr>
        <w:t>undertaking</w:t>
      </w:r>
      <w:r w:rsidR="00704790" w:rsidRPr="00145A97">
        <w:rPr>
          <w:lang w:val="en-GB"/>
        </w:rPr>
        <w:t xml:space="preserve"> initiatives</w:t>
      </w:r>
      <w:r w:rsidR="00565313" w:rsidRPr="00145A97">
        <w:rPr>
          <w:lang w:val="en-GB"/>
        </w:rPr>
        <w:t xml:space="preserve"> from their new host countries</w:t>
      </w:r>
      <w:r w:rsidR="00704790" w:rsidRPr="00145A97">
        <w:rPr>
          <w:lang w:val="en-GB"/>
        </w:rPr>
        <w:t>.</w:t>
      </w:r>
    </w:p>
    <w:p w:rsidR="00565313" w:rsidRPr="00145A97" w:rsidRDefault="00E468A7" w:rsidP="0070479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Pr>
          <w:lang w:val="en-GB"/>
        </w:rPr>
        <w:t xml:space="preserve">Independence </w:t>
      </w:r>
      <w:r w:rsidR="00704790" w:rsidRPr="00145A97">
        <w:rPr>
          <w:lang w:val="en-GB"/>
        </w:rPr>
        <w:t xml:space="preserve">also led to the resumption of other </w:t>
      </w:r>
      <w:r w:rsidR="00C718C9" w:rsidRPr="00145A97">
        <w:rPr>
          <w:lang w:val="en-GB"/>
        </w:rPr>
        <w:t xml:space="preserve">historical </w:t>
      </w:r>
      <w:r w:rsidR="00704790" w:rsidRPr="00145A97">
        <w:rPr>
          <w:lang w:val="en-GB"/>
        </w:rPr>
        <w:t>contacts</w:t>
      </w:r>
      <w:r w:rsidR="000C294F">
        <w:rPr>
          <w:lang w:val="en-GB"/>
        </w:rPr>
        <w:t>,</w:t>
      </w:r>
      <w:r w:rsidR="004F0BF8">
        <w:rPr>
          <w:lang w:val="en-GB"/>
        </w:rPr>
        <w:t xml:space="preserve"> exemplified by the</w:t>
      </w:r>
      <w:r w:rsidR="00704790" w:rsidRPr="00145A97">
        <w:rPr>
          <w:lang w:val="en-GB"/>
        </w:rPr>
        <w:t xml:space="preserve"> significant Finnish and Swedish influence on the initial planning legislation in Estonia in 1995. </w:t>
      </w:r>
      <w:r w:rsidR="00C74D5A" w:rsidRPr="00145A97">
        <w:rPr>
          <w:lang w:val="en-GB"/>
        </w:rPr>
        <w:t xml:space="preserve">Internationalisation processes </w:t>
      </w:r>
      <w:r w:rsidR="000C294F" w:rsidRPr="00145A97">
        <w:rPr>
          <w:lang w:val="en-GB"/>
        </w:rPr>
        <w:t xml:space="preserve">were </w:t>
      </w:r>
      <w:r w:rsidR="009F3B4E" w:rsidRPr="00145A97">
        <w:rPr>
          <w:lang w:val="en-GB"/>
        </w:rPr>
        <w:t xml:space="preserve">also </w:t>
      </w:r>
      <w:r w:rsidR="00C74D5A" w:rsidRPr="00145A97">
        <w:rPr>
          <w:lang w:val="en-GB"/>
        </w:rPr>
        <w:t>facilitated by n</w:t>
      </w:r>
      <w:r w:rsidR="00704790" w:rsidRPr="00145A97">
        <w:rPr>
          <w:lang w:val="en-GB"/>
        </w:rPr>
        <w:t>umerous bilateral co-operation agreements with governments including Canada, Finland, Denmark, Sweden, Germany, Netherlands and Flanders. In combination with initiatives such as VASA</w:t>
      </w:r>
      <w:r w:rsidR="00DA4E36" w:rsidRPr="00145A97">
        <w:rPr>
          <w:lang w:val="en-GB"/>
        </w:rPr>
        <w:t>B</w:t>
      </w:r>
      <w:r w:rsidR="00704790" w:rsidRPr="00145A97">
        <w:rPr>
          <w:lang w:val="en-GB"/>
        </w:rPr>
        <w:t xml:space="preserve">, these </w:t>
      </w:r>
      <w:r w:rsidR="00DA4E36" w:rsidRPr="00145A97">
        <w:rPr>
          <w:lang w:val="en-GB"/>
        </w:rPr>
        <w:t xml:space="preserve">contacts </w:t>
      </w:r>
      <w:r>
        <w:rPr>
          <w:lang w:val="en-GB"/>
        </w:rPr>
        <w:t xml:space="preserve">were highly influential </w:t>
      </w:r>
      <w:r w:rsidR="00704790" w:rsidRPr="00145A97">
        <w:rPr>
          <w:lang w:val="en-GB"/>
        </w:rPr>
        <w:t>on the evolution of spatial</w:t>
      </w:r>
      <w:r w:rsidR="00DA4E36" w:rsidRPr="00145A97">
        <w:rPr>
          <w:lang w:val="en-GB"/>
        </w:rPr>
        <w:t xml:space="preserve"> planning in each country</w:t>
      </w:r>
      <w:r w:rsidR="000C294F">
        <w:rPr>
          <w:lang w:val="en-GB"/>
        </w:rPr>
        <w:t>,</w:t>
      </w:r>
      <w:r>
        <w:rPr>
          <w:lang w:val="en-GB"/>
        </w:rPr>
        <w:t xml:space="preserve"> introducing </w:t>
      </w:r>
      <w:r w:rsidR="00704790" w:rsidRPr="00145A97">
        <w:rPr>
          <w:lang w:val="en-GB"/>
        </w:rPr>
        <w:t xml:space="preserve">members of the domestic </w:t>
      </w:r>
      <w:r w:rsidR="004F0BF8">
        <w:rPr>
          <w:lang w:val="en-GB"/>
        </w:rPr>
        <w:t>planning</w:t>
      </w:r>
      <w:r w:rsidR="00704790" w:rsidRPr="00145A97">
        <w:rPr>
          <w:lang w:val="en-GB"/>
        </w:rPr>
        <w:t xml:space="preserve"> communities to ideas and approaches from </w:t>
      </w:r>
      <w:r>
        <w:rPr>
          <w:lang w:val="en-GB"/>
        </w:rPr>
        <w:t>abroad</w:t>
      </w:r>
      <w:r w:rsidR="00DA4E36" w:rsidRPr="00145A97">
        <w:rPr>
          <w:lang w:val="en-GB"/>
        </w:rPr>
        <w:t xml:space="preserve">. </w:t>
      </w:r>
      <w:r w:rsidR="00565313" w:rsidRPr="00145A97">
        <w:rPr>
          <w:lang w:val="en-GB"/>
        </w:rPr>
        <w:t xml:space="preserve">The vast majority of these links tended to be horizontal between agents operating at the same level in different countries and generally did little to strengthen vertical links between actors in the individual Baltic States. </w:t>
      </w:r>
      <w:r w:rsidR="00B86846" w:rsidRPr="00145A97">
        <w:rPr>
          <w:lang w:val="en-GB"/>
        </w:rPr>
        <w:t xml:space="preserve">The evolution of territorial knowledge communities in the Baltic States will be considered in more depth in the next section. </w:t>
      </w:r>
    </w:p>
    <w:p w:rsidR="00CB673D" w:rsidRDefault="00CB673D"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b/>
          <w:lang w:val="en-GB"/>
        </w:rPr>
      </w:pPr>
    </w:p>
    <w:p w:rsidR="00B84612" w:rsidRPr="00145A97" w:rsidRDefault="00C75BF4"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b/>
          <w:lang w:val="en-GB"/>
        </w:rPr>
        <w:t xml:space="preserve">Territorial </w:t>
      </w:r>
      <w:r w:rsidR="00B84612" w:rsidRPr="00145A97">
        <w:rPr>
          <w:b/>
          <w:lang w:val="en-GB"/>
        </w:rPr>
        <w:t xml:space="preserve">knowledge </w:t>
      </w:r>
      <w:r w:rsidRPr="00145A97">
        <w:rPr>
          <w:b/>
          <w:lang w:val="en-GB"/>
        </w:rPr>
        <w:t>communities and the engagement of Baltic actors in European Spatial Planning</w:t>
      </w:r>
    </w:p>
    <w:p w:rsidR="0021189E" w:rsidRPr="00145A97" w:rsidRDefault="00B84612" w:rsidP="000C4DB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The research–policy nexus (</w:t>
      </w:r>
      <w:proofErr w:type="spellStart"/>
      <w:r w:rsidRPr="00145A97">
        <w:rPr>
          <w:lang w:val="en-GB"/>
        </w:rPr>
        <w:t>Feser</w:t>
      </w:r>
      <w:proofErr w:type="spellEnd"/>
      <w:r w:rsidRPr="00145A97">
        <w:rPr>
          <w:lang w:val="en-GB"/>
        </w:rPr>
        <w:t xml:space="preserve"> 2007) and claims that policy and practice should be informed by evidence are not new</w:t>
      </w:r>
      <w:r w:rsidR="00CC298F" w:rsidRPr="00145A97">
        <w:rPr>
          <w:lang w:val="en-GB"/>
        </w:rPr>
        <w:t>,</w:t>
      </w:r>
      <w:r w:rsidRPr="00145A97">
        <w:rPr>
          <w:lang w:val="en-GB"/>
        </w:rPr>
        <w:t xml:space="preserve"> but </w:t>
      </w:r>
      <w:r w:rsidR="00C718C9">
        <w:rPr>
          <w:lang w:val="en-GB"/>
        </w:rPr>
        <w:t xml:space="preserve">has </w:t>
      </w:r>
      <w:r w:rsidRPr="00145A97">
        <w:rPr>
          <w:lang w:val="en-GB"/>
        </w:rPr>
        <w:t xml:space="preserve">enjoyed something of a revival in the last decade (Clarence 2002, </w:t>
      </w:r>
      <w:proofErr w:type="spellStart"/>
      <w:r w:rsidR="00925EA5" w:rsidRPr="00145A97">
        <w:rPr>
          <w:lang w:val="en-GB"/>
        </w:rPr>
        <w:t>Faludi</w:t>
      </w:r>
      <w:proofErr w:type="spellEnd"/>
      <w:r w:rsidR="00925EA5" w:rsidRPr="00145A97">
        <w:rPr>
          <w:lang w:val="en-GB"/>
        </w:rPr>
        <w:t xml:space="preserve"> and </w:t>
      </w:r>
      <w:proofErr w:type="spellStart"/>
      <w:r w:rsidR="00925EA5" w:rsidRPr="00145A97">
        <w:rPr>
          <w:lang w:val="en-GB"/>
        </w:rPr>
        <w:t>Waterhout</w:t>
      </w:r>
      <w:proofErr w:type="spellEnd"/>
      <w:r w:rsidR="00925EA5" w:rsidRPr="00145A97">
        <w:rPr>
          <w:lang w:val="en-GB"/>
        </w:rPr>
        <w:t xml:space="preserve"> 2006; </w:t>
      </w:r>
      <w:proofErr w:type="spellStart"/>
      <w:r w:rsidR="00925EA5" w:rsidRPr="00145A97">
        <w:rPr>
          <w:lang w:val="en-GB"/>
        </w:rPr>
        <w:t>Krizek</w:t>
      </w:r>
      <w:proofErr w:type="spellEnd"/>
      <w:r w:rsidR="00925EA5" w:rsidRPr="00145A97">
        <w:rPr>
          <w:lang w:val="en-GB"/>
        </w:rPr>
        <w:t xml:space="preserve"> </w:t>
      </w:r>
      <w:r w:rsidR="00925EA5" w:rsidRPr="00145A97">
        <w:rPr>
          <w:i/>
          <w:lang w:val="en-GB"/>
        </w:rPr>
        <w:t>et al</w:t>
      </w:r>
      <w:r w:rsidR="00925EA5" w:rsidRPr="00145A97">
        <w:rPr>
          <w:lang w:val="en-GB"/>
        </w:rPr>
        <w:t xml:space="preserve"> 2009; </w:t>
      </w:r>
      <w:r w:rsidRPr="00145A97">
        <w:rPr>
          <w:lang w:val="en-GB"/>
        </w:rPr>
        <w:t xml:space="preserve">Adams </w:t>
      </w:r>
      <w:r w:rsidRPr="00145A97">
        <w:rPr>
          <w:i/>
          <w:lang w:val="en-GB"/>
        </w:rPr>
        <w:t>et al</w:t>
      </w:r>
      <w:r w:rsidRPr="00145A97">
        <w:rPr>
          <w:lang w:val="en-GB"/>
        </w:rPr>
        <w:t xml:space="preserve"> 2011). </w:t>
      </w:r>
      <w:r w:rsidR="000C294F">
        <w:rPr>
          <w:lang w:val="en-GB"/>
        </w:rPr>
        <w:t>T</w:t>
      </w:r>
      <w:r w:rsidRPr="00145A97">
        <w:rPr>
          <w:lang w:val="en-GB"/>
        </w:rPr>
        <w:t>here is</w:t>
      </w:r>
      <w:r w:rsidR="000C294F">
        <w:rPr>
          <w:lang w:val="en-GB"/>
        </w:rPr>
        <w:t xml:space="preserve"> therefore</w:t>
      </w:r>
      <w:r w:rsidRPr="00145A97">
        <w:rPr>
          <w:lang w:val="en-GB"/>
        </w:rPr>
        <w:t xml:space="preserve"> a need to advance these debates over evidence, argument and persuasion in spatial planning</w:t>
      </w:r>
      <w:r w:rsidR="00925EA5" w:rsidRPr="00145A97">
        <w:rPr>
          <w:lang w:val="en-GB"/>
        </w:rPr>
        <w:t>, of which the potential for ‘common understanding’ and ‘epistemic distance’ between actors remains an intrinsic part</w:t>
      </w:r>
      <w:r w:rsidR="004466AE" w:rsidRPr="00145A97">
        <w:rPr>
          <w:lang w:val="en-GB"/>
        </w:rPr>
        <w:t xml:space="preserve"> (</w:t>
      </w:r>
      <w:proofErr w:type="spellStart"/>
      <w:r w:rsidR="004466AE" w:rsidRPr="00145A97">
        <w:rPr>
          <w:lang w:val="en-GB"/>
        </w:rPr>
        <w:t>Cotella</w:t>
      </w:r>
      <w:proofErr w:type="spellEnd"/>
      <w:r w:rsidR="004466AE" w:rsidRPr="00145A97">
        <w:rPr>
          <w:lang w:val="en-GB"/>
        </w:rPr>
        <w:t xml:space="preserve"> </w:t>
      </w:r>
      <w:r w:rsidR="0099549C" w:rsidRPr="00145A97">
        <w:rPr>
          <w:i/>
          <w:lang w:val="en-GB"/>
        </w:rPr>
        <w:t>et al</w:t>
      </w:r>
      <w:r w:rsidR="004466AE" w:rsidRPr="00145A97">
        <w:rPr>
          <w:lang w:val="en-GB"/>
        </w:rPr>
        <w:t xml:space="preserve"> 201</w:t>
      </w:r>
      <w:r w:rsidR="004F0BF8">
        <w:rPr>
          <w:lang w:val="en-GB"/>
        </w:rPr>
        <w:t>2</w:t>
      </w:r>
      <w:r w:rsidR="004466AE" w:rsidRPr="00145A97">
        <w:rPr>
          <w:lang w:val="en-GB"/>
        </w:rPr>
        <w:t>)</w:t>
      </w:r>
      <w:r w:rsidRPr="00145A97">
        <w:rPr>
          <w:lang w:val="en-GB"/>
        </w:rPr>
        <w:t xml:space="preserve">. While agent interactivity </w:t>
      </w:r>
      <w:r w:rsidR="00925EA5" w:rsidRPr="00145A97">
        <w:rPr>
          <w:lang w:val="en-GB"/>
        </w:rPr>
        <w:t xml:space="preserve">may </w:t>
      </w:r>
      <w:r w:rsidR="00AC7963" w:rsidRPr="00145A97">
        <w:rPr>
          <w:lang w:val="en-GB"/>
        </w:rPr>
        <w:t xml:space="preserve">lead to </w:t>
      </w:r>
      <w:r w:rsidR="00925EA5" w:rsidRPr="00145A97">
        <w:rPr>
          <w:lang w:val="en-GB"/>
        </w:rPr>
        <w:t xml:space="preserve">the development and consolidation of </w:t>
      </w:r>
      <w:r w:rsidRPr="00145A97">
        <w:rPr>
          <w:lang w:val="en-GB"/>
        </w:rPr>
        <w:t xml:space="preserve">new policy ideas, discourses or preferences, and new institutional arrangements (Jensen and Richardson 2004), it </w:t>
      </w:r>
      <w:r w:rsidR="004F0BF8" w:rsidRPr="00145A97">
        <w:rPr>
          <w:lang w:val="en-GB"/>
        </w:rPr>
        <w:t xml:space="preserve">can </w:t>
      </w:r>
      <w:r w:rsidRPr="00145A97">
        <w:rPr>
          <w:lang w:val="en-GB"/>
        </w:rPr>
        <w:t xml:space="preserve">often be subject to the vested interests of political alliances, and the traditional silo-mentality of </w:t>
      </w:r>
      <w:proofErr w:type="spellStart"/>
      <w:r w:rsidRPr="00145A97">
        <w:rPr>
          <w:lang w:val="en-GB"/>
        </w:rPr>
        <w:t>sectorally</w:t>
      </w:r>
      <w:proofErr w:type="spellEnd"/>
      <w:r w:rsidRPr="00145A97">
        <w:rPr>
          <w:lang w:val="en-GB"/>
        </w:rPr>
        <w:t xml:space="preserve"> organised institutions</w:t>
      </w:r>
      <w:r w:rsidR="00775492" w:rsidRPr="00145A97">
        <w:rPr>
          <w:lang w:val="en-GB"/>
        </w:rPr>
        <w:t xml:space="preserve"> (</w:t>
      </w:r>
      <w:proofErr w:type="spellStart"/>
      <w:r w:rsidR="00775492" w:rsidRPr="00145A97">
        <w:rPr>
          <w:lang w:val="en-GB"/>
        </w:rPr>
        <w:t>Allmendinger</w:t>
      </w:r>
      <w:proofErr w:type="spellEnd"/>
      <w:r w:rsidR="00775492" w:rsidRPr="00145A97">
        <w:rPr>
          <w:lang w:val="en-GB"/>
        </w:rPr>
        <w:t xml:space="preserve"> and </w:t>
      </w:r>
      <w:proofErr w:type="spellStart"/>
      <w:r w:rsidR="00775492" w:rsidRPr="00145A97">
        <w:rPr>
          <w:lang w:val="en-GB"/>
        </w:rPr>
        <w:t>Tewdwr</w:t>
      </w:r>
      <w:proofErr w:type="spellEnd"/>
      <w:r w:rsidR="00775492" w:rsidRPr="00145A97">
        <w:rPr>
          <w:lang w:val="en-GB"/>
        </w:rPr>
        <w:t xml:space="preserve">-Jones </w:t>
      </w:r>
      <w:r w:rsidR="00775492" w:rsidRPr="00145A97">
        <w:rPr>
          <w:lang w:val="en-GB"/>
        </w:rPr>
        <w:lastRenderedPageBreak/>
        <w:t>2000; Benz</w:t>
      </w:r>
      <w:r w:rsidRPr="00145A97">
        <w:rPr>
          <w:lang w:val="en-GB"/>
        </w:rPr>
        <w:t xml:space="preserve"> 2000). </w:t>
      </w:r>
      <w:r w:rsidR="00693416" w:rsidRPr="00145A97">
        <w:rPr>
          <w:lang w:val="en-GB"/>
        </w:rPr>
        <w:t>The i</w:t>
      </w:r>
      <w:r w:rsidR="000C4DB2" w:rsidRPr="00145A97">
        <w:rPr>
          <w:lang w:val="en-GB"/>
        </w:rPr>
        <w:t xml:space="preserve">nstability surrounding regional tiers of governance </w:t>
      </w:r>
      <w:r w:rsidR="00693416" w:rsidRPr="00145A97">
        <w:rPr>
          <w:lang w:val="en-GB"/>
        </w:rPr>
        <w:t xml:space="preserve">in the Baltic States </w:t>
      </w:r>
      <w:r w:rsidR="000C4DB2" w:rsidRPr="00145A97">
        <w:rPr>
          <w:lang w:val="en-GB"/>
        </w:rPr>
        <w:t xml:space="preserve">and the fragmented nature of sub-national </w:t>
      </w:r>
      <w:r w:rsidR="004466AE" w:rsidRPr="00145A97">
        <w:rPr>
          <w:lang w:val="en-GB"/>
        </w:rPr>
        <w:t>territorial knowledge communities</w:t>
      </w:r>
      <w:r w:rsidRPr="00145A97">
        <w:rPr>
          <w:lang w:val="en-GB"/>
        </w:rPr>
        <w:t xml:space="preserve"> </w:t>
      </w:r>
      <w:r w:rsidR="00C74D5A" w:rsidRPr="00145A97">
        <w:rPr>
          <w:lang w:val="en-GB"/>
        </w:rPr>
        <w:t>increases</w:t>
      </w:r>
      <w:r w:rsidR="000C4DB2" w:rsidRPr="00145A97">
        <w:rPr>
          <w:lang w:val="en-GB"/>
        </w:rPr>
        <w:t xml:space="preserve"> the importance of understanding the role of </w:t>
      </w:r>
      <w:r w:rsidRPr="00145A97">
        <w:rPr>
          <w:lang w:val="en-GB"/>
        </w:rPr>
        <w:t xml:space="preserve">agent interactivity </w:t>
      </w:r>
      <w:r w:rsidR="000C4DB2" w:rsidRPr="00145A97">
        <w:rPr>
          <w:lang w:val="en-GB"/>
        </w:rPr>
        <w:t>in producing</w:t>
      </w:r>
      <w:r w:rsidRPr="00145A97">
        <w:rPr>
          <w:lang w:val="en-GB"/>
        </w:rPr>
        <w:t xml:space="preserve"> path-shaping policy change</w:t>
      </w:r>
      <w:r w:rsidR="000C4DB2" w:rsidRPr="00145A97">
        <w:rPr>
          <w:lang w:val="en-GB"/>
        </w:rPr>
        <w:t xml:space="preserve">. Such change can occur either through </w:t>
      </w:r>
      <w:r w:rsidRPr="00145A97">
        <w:rPr>
          <w:lang w:val="en-GB"/>
        </w:rPr>
        <w:t>the framing of new ‘policy images’ (</w:t>
      </w:r>
      <w:proofErr w:type="spellStart"/>
      <w:r w:rsidRPr="00145A97">
        <w:rPr>
          <w:lang w:val="en-GB"/>
        </w:rPr>
        <w:t>Kingdon</w:t>
      </w:r>
      <w:proofErr w:type="spellEnd"/>
      <w:r w:rsidRPr="00145A97">
        <w:rPr>
          <w:lang w:val="en-GB"/>
        </w:rPr>
        <w:t xml:space="preserve"> 1995)</w:t>
      </w:r>
      <w:r w:rsidR="006022FB" w:rsidRPr="00145A97">
        <w:rPr>
          <w:lang w:val="en-GB"/>
        </w:rPr>
        <w:t>,</w:t>
      </w:r>
      <w:r w:rsidRPr="00145A97">
        <w:rPr>
          <w:lang w:val="en-GB"/>
        </w:rPr>
        <w:t xml:space="preserve"> or the addition of new dimensions that ‘punctuate’ (Baumgartner and Jones 2002) path-dependent processes of policy stability.</w:t>
      </w:r>
    </w:p>
    <w:p w:rsidR="007806FA" w:rsidRPr="00145A97" w:rsidRDefault="007806FA" w:rsidP="007806F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highlight w:val="yellow"/>
          <w:lang w:val="en-GB"/>
        </w:rPr>
        <w:t>[Insert Table 2 Around here]</w:t>
      </w:r>
    </w:p>
    <w:p w:rsidR="00996C38" w:rsidRPr="00145A97" w:rsidRDefault="00CE6745" w:rsidP="00860DF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 following discussion charts the evolution of diverse territorial knowledge communities </w:t>
      </w:r>
      <w:r w:rsidR="001A6B16" w:rsidRPr="00145A97">
        <w:rPr>
          <w:lang w:val="en-GB"/>
        </w:rPr>
        <w:t xml:space="preserve">consisting of </w:t>
      </w:r>
      <w:r w:rsidRPr="00145A97">
        <w:rPr>
          <w:lang w:val="en-GB"/>
        </w:rPr>
        <w:t>professional ‘communities of practice’ (Wenger 1998)</w:t>
      </w:r>
      <w:r w:rsidR="004466AE" w:rsidRPr="00145A97">
        <w:rPr>
          <w:lang w:val="en-GB"/>
        </w:rPr>
        <w:t>,</w:t>
      </w:r>
      <w:r w:rsidRPr="00145A97">
        <w:rPr>
          <w:lang w:val="en-GB"/>
        </w:rPr>
        <w:t xml:space="preserve"> ‘epistemic communities’ (Haas 1992) </w:t>
      </w:r>
      <w:r w:rsidR="004466AE" w:rsidRPr="00145A97">
        <w:rPr>
          <w:lang w:val="en-GB"/>
        </w:rPr>
        <w:t xml:space="preserve">and </w:t>
      </w:r>
      <w:r w:rsidR="00693416" w:rsidRPr="00145A97">
        <w:rPr>
          <w:lang w:val="en-GB"/>
        </w:rPr>
        <w:t>‘</w:t>
      </w:r>
      <w:r w:rsidR="004466AE" w:rsidRPr="00145A97">
        <w:rPr>
          <w:lang w:val="en-GB"/>
        </w:rPr>
        <w:t>advocacy coalitions</w:t>
      </w:r>
      <w:r w:rsidR="00693416" w:rsidRPr="00145A97">
        <w:rPr>
          <w:lang w:val="en-GB"/>
        </w:rPr>
        <w:t>’</w:t>
      </w:r>
      <w:r w:rsidR="004466AE" w:rsidRPr="00145A97">
        <w:rPr>
          <w:lang w:val="en-GB"/>
        </w:rPr>
        <w:t xml:space="preserve"> (Sabatier and Jenkins-Smith, 1993)</w:t>
      </w:r>
      <w:r w:rsidRPr="00145A97">
        <w:rPr>
          <w:lang w:val="en-GB"/>
        </w:rPr>
        <w:t xml:space="preserve"> in the Baltic </w:t>
      </w:r>
      <w:r w:rsidR="001A6B16" w:rsidRPr="00145A97">
        <w:rPr>
          <w:lang w:val="en-GB"/>
        </w:rPr>
        <w:t>S</w:t>
      </w:r>
      <w:r w:rsidRPr="00145A97">
        <w:rPr>
          <w:lang w:val="en-GB"/>
        </w:rPr>
        <w:t xml:space="preserve">tates and the extent of </w:t>
      </w:r>
      <w:r w:rsidR="009963FF" w:rsidRPr="00145A97">
        <w:rPr>
          <w:lang w:val="en-GB"/>
        </w:rPr>
        <w:t>their engagement with ESP knowle</w:t>
      </w:r>
      <w:r w:rsidRPr="00145A97">
        <w:rPr>
          <w:lang w:val="en-GB"/>
        </w:rPr>
        <w:t>dge arenas</w:t>
      </w:r>
      <w:r w:rsidR="00693416" w:rsidRPr="00145A97">
        <w:rPr>
          <w:lang w:val="en-GB"/>
        </w:rPr>
        <w:t xml:space="preserve"> (see table 2)</w:t>
      </w:r>
      <w:r w:rsidRPr="00145A97">
        <w:rPr>
          <w:lang w:val="en-GB"/>
        </w:rPr>
        <w:t xml:space="preserve">. The analysis is rooted in a knowledge perspective that focuses on the </w:t>
      </w:r>
      <w:r w:rsidR="00860DF4" w:rsidRPr="00145A97">
        <w:rPr>
          <w:lang w:val="en-GB"/>
        </w:rPr>
        <w:t>role of territorial knowledge communities and the evolution of specific territorial governance arrangements or territorial knowledge channels (</w:t>
      </w:r>
      <w:r w:rsidRPr="00145A97">
        <w:rPr>
          <w:lang w:val="en-GB"/>
        </w:rPr>
        <w:t xml:space="preserve">Adams </w:t>
      </w:r>
      <w:r w:rsidRPr="00145A97">
        <w:rPr>
          <w:i/>
          <w:lang w:val="en-GB"/>
        </w:rPr>
        <w:t>et al</w:t>
      </w:r>
      <w:r w:rsidRPr="00145A97">
        <w:rPr>
          <w:lang w:val="en-GB"/>
        </w:rPr>
        <w:t xml:space="preserve"> 2011</w:t>
      </w:r>
      <w:r w:rsidR="00B946AB">
        <w:rPr>
          <w:lang w:val="en-GB"/>
        </w:rPr>
        <w:t xml:space="preserve">). </w:t>
      </w:r>
      <w:r w:rsidR="00860DF4" w:rsidRPr="00145A97">
        <w:rPr>
          <w:lang w:val="en-GB"/>
        </w:rPr>
        <w:t xml:space="preserve">The evolution of these knowledge channels is strongly linked to the evolution of the institutional landscape of planning referred to in the previous sections. Such a </w:t>
      </w:r>
      <w:r w:rsidRPr="00145A97">
        <w:rPr>
          <w:lang w:val="en-GB"/>
        </w:rPr>
        <w:t>knowledge perspective</w:t>
      </w:r>
      <w:r w:rsidR="00860DF4" w:rsidRPr="00145A97">
        <w:rPr>
          <w:lang w:val="en-GB"/>
        </w:rPr>
        <w:t xml:space="preserve"> implies </w:t>
      </w:r>
      <w:r w:rsidRPr="00145A97">
        <w:rPr>
          <w:lang w:val="en-GB"/>
        </w:rPr>
        <w:t xml:space="preserve">that </w:t>
      </w:r>
      <w:r w:rsidR="00AA3510" w:rsidRPr="00145A97">
        <w:rPr>
          <w:lang w:val="en-GB"/>
        </w:rPr>
        <w:t xml:space="preserve">engagement of </w:t>
      </w:r>
      <w:r w:rsidRPr="00145A97">
        <w:rPr>
          <w:lang w:val="en-GB"/>
        </w:rPr>
        <w:t>ESP must be broadened</w:t>
      </w:r>
      <w:r w:rsidR="00D30D2C" w:rsidRPr="00145A97">
        <w:rPr>
          <w:lang w:val="en-GB"/>
        </w:rPr>
        <w:t xml:space="preserve"> beyond its traditional narrow expert audience</w:t>
      </w:r>
      <w:r w:rsidR="00860DF4" w:rsidRPr="00145A97">
        <w:rPr>
          <w:lang w:val="en-GB"/>
        </w:rPr>
        <w:t xml:space="preserve"> </w:t>
      </w:r>
      <w:r w:rsidR="00D30D2C" w:rsidRPr="00145A97">
        <w:rPr>
          <w:lang w:val="en-GB"/>
        </w:rPr>
        <w:t>(</w:t>
      </w:r>
      <w:proofErr w:type="spellStart"/>
      <w:r w:rsidR="00D30D2C" w:rsidRPr="00145A97">
        <w:rPr>
          <w:lang w:val="en-GB"/>
        </w:rPr>
        <w:t>Faludi</w:t>
      </w:r>
      <w:proofErr w:type="spellEnd"/>
      <w:r w:rsidR="00D30D2C" w:rsidRPr="00145A97">
        <w:rPr>
          <w:lang w:val="en-GB"/>
        </w:rPr>
        <w:t xml:space="preserve"> </w:t>
      </w:r>
      <w:r w:rsidR="00687164" w:rsidRPr="00145A97">
        <w:rPr>
          <w:lang w:val="en-GB"/>
        </w:rPr>
        <w:t>2009</w:t>
      </w:r>
      <w:r w:rsidR="00D30D2C" w:rsidRPr="00145A97">
        <w:rPr>
          <w:lang w:val="en-GB"/>
        </w:rPr>
        <w:t xml:space="preserve">, </w:t>
      </w:r>
      <w:proofErr w:type="spellStart"/>
      <w:r w:rsidR="00D30D2C" w:rsidRPr="00145A97">
        <w:rPr>
          <w:lang w:val="en-GB"/>
        </w:rPr>
        <w:t>Waterhout</w:t>
      </w:r>
      <w:proofErr w:type="spellEnd"/>
      <w:r w:rsidR="00D30D2C" w:rsidRPr="00145A97">
        <w:rPr>
          <w:lang w:val="en-GB"/>
        </w:rPr>
        <w:t xml:space="preserve"> </w:t>
      </w:r>
      <w:r w:rsidR="00F15AF6" w:rsidRPr="00145A97">
        <w:rPr>
          <w:lang w:val="en-GB"/>
        </w:rPr>
        <w:t>2008, 2011</w:t>
      </w:r>
      <w:r w:rsidR="00D30D2C" w:rsidRPr="00145A97">
        <w:rPr>
          <w:lang w:val="en-GB"/>
        </w:rPr>
        <w:t>)</w:t>
      </w:r>
      <w:r w:rsidR="00860DF4" w:rsidRPr="00145A97">
        <w:rPr>
          <w:lang w:val="en-GB"/>
        </w:rPr>
        <w:t xml:space="preserve">. </w:t>
      </w:r>
      <w:r w:rsidR="00C74D5A" w:rsidRPr="00145A97">
        <w:rPr>
          <w:lang w:val="en-GB"/>
        </w:rPr>
        <w:t>M</w:t>
      </w:r>
      <w:r w:rsidR="00860DF4" w:rsidRPr="00145A97">
        <w:rPr>
          <w:lang w:val="en-GB"/>
        </w:rPr>
        <w:t>ulti-actor networks, engaging in diverse territorial knowledge communities</w:t>
      </w:r>
      <w:r w:rsidR="00B953E4">
        <w:rPr>
          <w:lang w:val="en-GB"/>
        </w:rPr>
        <w:t>,</w:t>
      </w:r>
      <w:r w:rsidR="00860DF4" w:rsidRPr="00145A97">
        <w:rPr>
          <w:lang w:val="en-GB"/>
        </w:rPr>
        <w:t xml:space="preserve"> will have </w:t>
      </w:r>
      <w:r w:rsidR="00C74D5A" w:rsidRPr="00145A97">
        <w:rPr>
          <w:lang w:val="en-GB"/>
        </w:rPr>
        <w:t>diverse</w:t>
      </w:r>
      <w:r w:rsidR="00860DF4" w:rsidRPr="00145A97">
        <w:rPr>
          <w:lang w:val="en-GB"/>
        </w:rPr>
        <w:t xml:space="preserve"> skills and experiences and possess different types of knowledge (</w:t>
      </w:r>
      <w:proofErr w:type="spellStart"/>
      <w:r w:rsidR="00860DF4" w:rsidRPr="00145A97">
        <w:rPr>
          <w:lang w:val="en-GB"/>
        </w:rPr>
        <w:t>Larner</w:t>
      </w:r>
      <w:proofErr w:type="spellEnd"/>
      <w:r w:rsidR="00860DF4" w:rsidRPr="00145A97">
        <w:rPr>
          <w:lang w:val="en-GB"/>
        </w:rPr>
        <w:t xml:space="preserve"> and Laurie 2010).</w:t>
      </w:r>
      <w:r w:rsidR="00BB51EF" w:rsidRPr="00145A97">
        <w:rPr>
          <w:lang w:val="en-GB"/>
        </w:rPr>
        <w:t xml:space="preserve"> </w:t>
      </w:r>
      <w:r w:rsidR="00125C4C" w:rsidRPr="00145A97">
        <w:rPr>
          <w:lang w:val="en-GB"/>
        </w:rPr>
        <w:t xml:space="preserve">The spectrum of knowledge </w:t>
      </w:r>
      <w:r w:rsidR="00BB51EF" w:rsidRPr="00145A97">
        <w:rPr>
          <w:lang w:val="en-GB"/>
        </w:rPr>
        <w:t xml:space="preserve">will </w:t>
      </w:r>
      <w:r w:rsidR="00125C4C" w:rsidRPr="00145A97">
        <w:rPr>
          <w:lang w:val="en-GB"/>
        </w:rPr>
        <w:t>range from ‘hard’ scientific knowledge</w:t>
      </w:r>
      <w:r w:rsidR="009F3B4E" w:rsidRPr="00145A97">
        <w:rPr>
          <w:lang w:val="en-GB"/>
        </w:rPr>
        <w:t>,</w:t>
      </w:r>
      <w:r w:rsidR="00125C4C" w:rsidRPr="00145A97">
        <w:rPr>
          <w:lang w:val="en-GB"/>
        </w:rPr>
        <w:t xml:space="preserve"> often in the form of quantitative statistics</w:t>
      </w:r>
      <w:r w:rsidR="009F3B4E" w:rsidRPr="00145A97">
        <w:rPr>
          <w:lang w:val="en-GB"/>
        </w:rPr>
        <w:t>,</w:t>
      </w:r>
      <w:r w:rsidR="00125C4C" w:rsidRPr="00145A97">
        <w:rPr>
          <w:lang w:val="en-GB"/>
        </w:rPr>
        <w:t xml:space="preserve"> to more qualitative, intangible</w:t>
      </w:r>
      <w:r w:rsidR="00C74D5A" w:rsidRPr="00145A97">
        <w:rPr>
          <w:lang w:val="en-GB"/>
        </w:rPr>
        <w:t>, tacit</w:t>
      </w:r>
      <w:r w:rsidR="00125C4C" w:rsidRPr="00145A97">
        <w:rPr>
          <w:lang w:val="en-GB"/>
        </w:rPr>
        <w:t xml:space="preserve"> and ‘soft’ types</w:t>
      </w:r>
      <w:r w:rsidR="009F3B4E" w:rsidRPr="00145A97">
        <w:rPr>
          <w:lang w:val="en-GB"/>
        </w:rPr>
        <w:t>,</w:t>
      </w:r>
      <w:r w:rsidR="00125C4C" w:rsidRPr="00145A97">
        <w:rPr>
          <w:lang w:val="en-GB"/>
        </w:rPr>
        <w:t xml:space="preserve"> </w:t>
      </w:r>
      <w:r w:rsidR="00C74D5A" w:rsidRPr="00145A97">
        <w:rPr>
          <w:lang w:val="en-GB"/>
        </w:rPr>
        <w:t xml:space="preserve">which </w:t>
      </w:r>
      <w:r w:rsidR="009F3B4E" w:rsidRPr="00145A97">
        <w:rPr>
          <w:lang w:val="en-GB"/>
        </w:rPr>
        <w:t xml:space="preserve">are more commonplace among non-expert communities and </w:t>
      </w:r>
      <w:r w:rsidR="00125C4C" w:rsidRPr="00145A97">
        <w:rPr>
          <w:lang w:val="en-GB"/>
        </w:rPr>
        <w:t>can be more difficult to access, articulate and quantify</w:t>
      </w:r>
      <w:r w:rsidR="004F0BF8">
        <w:rPr>
          <w:lang w:val="en-GB"/>
        </w:rPr>
        <w:t xml:space="preserve"> </w:t>
      </w:r>
      <w:r w:rsidR="004F0BF8" w:rsidRPr="00145A97">
        <w:rPr>
          <w:lang w:val="en-GB"/>
        </w:rPr>
        <w:t>(</w:t>
      </w:r>
      <w:r w:rsidR="004F0BF8">
        <w:rPr>
          <w:lang w:val="en-GB"/>
        </w:rPr>
        <w:t xml:space="preserve">PURR 2011, </w:t>
      </w:r>
      <w:proofErr w:type="spellStart"/>
      <w:r w:rsidR="004F0BF8" w:rsidRPr="00145A97">
        <w:rPr>
          <w:lang w:val="en-GB"/>
        </w:rPr>
        <w:t>Rydin</w:t>
      </w:r>
      <w:proofErr w:type="spellEnd"/>
      <w:r w:rsidR="004F0BF8" w:rsidRPr="00145A97">
        <w:rPr>
          <w:lang w:val="en-GB"/>
        </w:rPr>
        <w:t xml:space="preserve"> 2007)</w:t>
      </w:r>
      <w:r w:rsidR="004F0BF8">
        <w:rPr>
          <w:lang w:val="en-GB"/>
        </w:rPr>
        <w:t xml:space="preserve">. </w:t>
      </w:r>
      <w:r w:rsidR="00125C4C" w:rsidRPr="00145A97">
        <w:rPr>
          <w:lang w:val="en-GB"/>
        </w:rPr>
        <w:t>The combination of these different types of knowledge is important</w:t>
      </w:r>
      <w:r w:rsidR="004F0BF8">
        <w:rPr>
          <w:lang w:val="en-GB"/>
        </w:rPr>
        <w:t xml:space="preserve"> and i</w:t>
      </w:r>
      <w:r w:rsidR="00125C4C" w:rsidRPr="00145A97">
        <w:rPr>
          <w:lang w:val="en-GB"/>
        </w:rPr>
        <w:t xml:space="preserve">t is unlikely that accurate and comprehensive insights can be obtained without accessing </w:t>
      </w:r>
      <w:r w:rsidR="00E86CB6">
        <w:rPr>
          <w:lang w:val="en-GB"/>
        </w:rPr>
        <w:t xml:space="preserve">this </w:t>
      </w:r>
      <w:r w:rsidR="00125C4C" w:rsidRPr="00145A97">
        <w:rPr>
          <w:lang w:val="en-GB"/>
        </w:rPr>
        <w:t>broad spectrum</w:t>
      </w:r>
      <w:r w:rsidR="00116EC1" w:rsidRPr="00145A97">
        <w:rPr>
          <w:lang w:val="en-GB"/>
        </w:rPr>
        <w:t xml:space="preserve"> of knowledge</w:t>
      </w:r>
      <w:r w:rsidR="00125C4C" w:rsidRPr="00145A97">
        <w:rPr>
          <w:lang w:val="en-GB"/>
        </w:rPr>
        <w:t>.</w:t>
      </w:r>
    </w:p>
    <w:p w:rsidR="00116EC1" w:rsidRPr="00145A97" w:rsidRDefault="009A3797" w:rsidP="00CE674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T</w:t>
      </w:r>
      <w:r w:rsidR="00116EC1" w:rsidRPr="00145A97">
        <w:rPr>
          <w:lang w:val="en-GB"/>
        </w:rPr>
        <w:t xml:space="preserve">he most influential ESP knowledge arena for Baltic actors in the last two decades has been VASAB (Fritsch 2011). Set up in 1992, VASAB aimed to share knowledge and ideas about spatial </w:t>
      </w:r>
      <w:r w:rsidR="00116EC1" w:rsidRPr="00145A97">
        <w:rPr>
          <w:lang w:val="en-GB"/>
        </w:rPr>
        <w:lastRenderedPageBreak/>
        <w:t>development through joint spatial planning activities</w:t>
      </w:r>
      <w:r w:rsidR="00E86CB6">
        <w:rPr>
          <w:lang w:val="en-GB"/>
        </w:rPr>
        <w:t xml:space="preserve"> and f</w:t>
      </w:r>
      <w:r w:rsidR="00116EC1" w:rsidRPr="00145A97">
        <w:rPr>
          <w:lang w:val="en-GB"/>
        </w:rPr>
        <w:t xml:space="preserve">or </w:t>
      </w:r>
      <w:r w:rsidR="00E86CB6">
        <w:rPr>
          <w:lang w:val="en-GB"/>
        </w:rPr>
        <w:t xml:space="preserve">many </w:t>
      </w:r>
      <w:r w:rsidR="00116EC1" w:rsidRPr="00145A97">
        <w:rPr>
          <w:lang w:val="en-GB"/>
        </w:rPr>
        <w:t>participants provided their first exposure to a divers</w:t>
      </w:r>
      <w:r w:rsidR="0098643F" w:rsidRPr="00145A97">
        <w:rPr>
          <w:lang w:val="en-GB"/>
        </w:rPr>
        <w:t>e range</w:t>
      </w:r>
      <w:r w:rsidR="00116EC1" w:rsidRPr="00145A97">
        <w:rPr>
          <w:lang w:val="en-GB"/>
        </w:rPr>
        <w:t xml:space="preserve"> of international ideas, concepts and approaches. </w:t>
      </w:r>
      <w:r w:rsidR="00B953E4">
        <w:rPr>
          <w:lang w:val="en-GB"/>
        </w:rPr>
        <w:t>VASAB achievements listed in t</w:t>
      </w:r>
      <w:r w:rsidR="00E86CB6" w:rsidRPr="00145A97">
        <w:rPr>
          <w:lang w:val="en-GB"/>
        </w:rPr>
        <w:t>he workshop report from the seventh VASAB Ministerial Conference (VASAB 2009)</w:t>
      </w:r>
      <w:r w:rsidR="00E86CB6" w:rsidRPr="00145A97">
        <w:rPr>
          <w:rStyle w:val="FootnoteReference1"/>
          <w:sz w:val="24"/>
          <w:lang w:val="en-GB"/>
        </w:rPr>
        <w:footnoteReference w:id="5"/>
      </w:r>
      <w:r w:rsidR="00E86CB6">
        <w:rPr>
          <w:lang w:val="en-GB"/>
        </w:rPr>
        <w:t xml:space="preserve"> clearly demonstrate </w:t>
      </w:r>
      <w:r w:rsidR="00116EC1" w:rsidRPr="00145A97">
        <w:rPr>
          <w:lang w:val="en-GB"/>
        </w:rPr>
        <w:t>the characteristics of a knowledge arena</w:t>
      </w:r>
      <w:r w:rsidR="00E86CB6">
        <w:rPr>
          <w:lang w:val="en-GB"/>
        </w:rPr>
        <w:t xml:space="preserve"> where knowledge is debated. </w:t>
      </w:r>
    </w:p>
    <w:p w:rsidR="003F6B44" w:rsidRPr="00145A97" w:rsidRDefault="00116EC1" w:rsidP="0015487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 </w:t>
      </w:r>
      <w:r w:rsidR="009C58C4" w:rsidRPr="00145A97">
        <w:rPr>
          <w:lang w:val="en-GB"/>
        </w:rPr>
        <w:t xml:space="preserve">influence of </w:t>
      </w:r>
      <w:r w:rsidR="00BC190D">
        <w:rPr>
          <w:lang w:val="en-GB"/>
        </w:rPr>
        <w:t xml:space="preserve">Baltic States’ </w:t>
      </w:r>
      <w:r w:rsidR="009C58C4" w:rsidRPr="00145A97">
        <w:rPr>
          <w:lang w:val="en-GB"/>
        </w:rPr>
        <w:t xml:space="preserve">actors in VASAB has increased over the years </w:t>
      </w:r>
      <w:r w:rsidR="009A3797" w:rsidRPr="00145A97">
        <w:rPr>
          <w:lang w:val="en-GB"/>
        </w:rPr>
        <w:t xml:space="preserve">due to the role of </w:t>
      </w:r>
      <w:r w:rsidRPr="00145A97">
        <w:rPr>
          <w:lang w:val="en-GB"/>
        </w:rPr>
        <w:t xml:space="preserve">individual personalities, the influence of the alternating chairpersonship of VASAB and the presidencies of the Council of the Baltic Sea States </w:t>
      </w:r>
      <w:r w:rsidR="009A3797" w:rsidRPr="00145A97">
        <w:rPr>
          <w:lang w:val="en-GB"/>
        </w:rPr>
        <w:t xml:space="preserve">and the </w:t>
      </w:r>
      <w:r w:rsidR="00B953E4">
        <w:rPr>
          <w:lang w:val="en-GB"/>
        </w:rPr>
        <w:t xml:space="preserve">location of </w:t>
      </w:r>
      <w:r w:rsidRPr="00145A97">
        <w:rPr>
          <w:lang w:val="en-GB"/>
        </w:rPr>
        <w:t xml:space="preserve">the VASAB Secretariat in Riga since 2007. </w:t>
      </w:r>
      <w:r w:rsidR="00BC190D">
        <w:rPr>
          <w:lang w:val="en-GB"/>
        </w:rPr>
        <w:t>D</w:t>
      </w:r>
      <w:r w:rsidRPr="00145A97">
        <w:rPr>
          <w:lang w:val="en-GB"/>
        </w:rPr>
        <w:t xml:space="preserve">espite the emergence of the </w:t>
      </w:r>
      <w:r w:rsidR="009A3797" w:rsidRPr="00145A97">
        <w:rPr>
          <w:lang w:val="en-GB"/>
        </w:rPr>
        <w:t xml:space="preserve">potentially competing and more politically popular </w:t>
      </w:r>
      <w:r w:rsidRPr="00145A97">
        <w:rPr>
          <w:lang w:val="en-GB"/>
        </w:rPr>
        <w:t xml:space="preserve">EU Strategy for the BSR (EC 2009), there appears to be a general consensus among key stakeholders that VASAB remains relevant and influential. It </w:t>
      </w:r>
      <w:r w:rsidR="009A3797" w:rsidRPr="00145A97">
        <w:rPr>
          <w:lang w:val="en-GB"/>
        </w:rPr>
        <w:t xml:space="preserve">continues to provide </w:t>
      </w:r>
      <w:r w:rsidRPr="00145A97">
        <w:rPr>
          <w:lang w:val="en-GB"/>
        </w:rPr>
        <w:t>a platform for the promotion of supra-national issues</w:t>
      </w:r>
      <w:r w:rsidR="003F6B44" w:rsidRPr="00145A97">
        <w:rPr>
          <w:lang w:val="en-GB"/>
        </w:rPr>
        <w:t xml:space="preserve"> and </w:t>
      </w:r>
      <w:r w:rsidR="0098643F" w:rsidRPr="00145A97">
        <w:rPr>
          <w:lang w:val="en-GB"/>
        </w:rPr>
        <w:t xml:space="preserve">for </w:t>
      </w:r>
      <w:r w:rsidR="003F6B44" w:rsidRPr="00145A97">
        <w:rPr>
          <w:lang w:val="en-GB"/>
        </w:rPr>
        <w:t>uploading national interests into the international arena</w:t>
      </w:r>
      <w:r w:rsidR="0098643F" w:rsidRPr="00145A97">
        <w:rPr>
          <w:lang w:val="en-GB"/>
        </w:rPr>
        <w:t xml:space="preserve">, as well as for </w:t>
      </w:r>
      <w:r w:rsidR="003F6B44" w:rsidRPr="00145A97">
        <w:rPr>
          <w:lang w:val="en-GB"/>
        </w:rPr>
        <w:t>inform</w:t>
      </w:r>
      <w:r w:rsidR="0098643F" w:rsidRPr="00145A97">
        <w:rPr>
          <w:lang w:val="en-GB"/>
        </w:rPr>
        <w:t>ing</w:t>
      </w:r>
      <w:r w:rsidRPr="00145A97">
        <w:rPr>
          <w:lang w:val="en-GB"/>
        </w:rPr>
        <w:t xml:space="preserve"> </w:t>
      </w:r>
      <w:r w:rsidR="003F6B44" w:rsidRPr="00145A97">
        <w:rPr>
          <w:lang w:val="en-GB"/>
        </w:rPr>
        <w:t>national and sub-national planning discourses and documents.</w:t>
      </w:r>
      <w:r w:rsidR="003F6B44" w:rsidRPr="00145A97">
        <w:rPr>
          <w:rStyle w:val="FootnoteReference1"/>
          <w:sz w:val="24"/>
          <w:lang w:val="en-GB"/>
        </w:rPr>
        <w:footnoteReference w:id="6"/>
      </w:r>
    </w:p>
    <w:p w:rsidR="00EF56C1" w:rsidRPr="00145A97" w:rsidRDefault="009A3797" w:rsidP="0015487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 emphasis on the role of knowledge arenas such as </w:t>
      </w:r>
      <w:r w:rsidR="0015487F" w:rsidRPr="00145A97">
        <w:rPr>
          <w:lang w:val="en-GB"/>
        </w:rPr>
        <w:t xml:space="preserve">VASAB </w:t>
      </w:r>
      <w:r w:rsidR="00B84612" w:rsidRPr="00145A97">
        <w:rPr>
          <w:lang w:val="en-GB"/>
        </w:rPr>
        <w:t>rests on a knowledge resources-based interpretation of policy relevant events</w:t>
      </w:r>
      <w:r w:rsidR="007C3647" w:rsidRPr="00145A97">
        <w:rPr>
          <w:lang w:val="en-GB"/>
        </w:rPr>
        <w:t xml:space="preserve">. These knowledge resources are channelled into certain arenas where they are tested and validated via specific territorial governance mechanisms. These multi-agent, cross-scalar governance arrangements manifesting across and within different territorial knowledge communities are the territorial knowledge channels, which </w:t>
      </w:r>
      <w:r w:rsidR="007E7496" w:rsidRPr="00145A97">
        <w:rPr>
          <w:lang w:val="en-GB"/>
        </w:rPr>
        <w:t xml:space="preserve">potentially </w:t>
      </w:r>
      <w:r w:rsidR="00B84612" w:rsidRPr="00145A97">
        <w:rPr>
          <w:lang w:val="en-GB"/>
        </w:rPr>
        <w:t xml:space="preserve">influence policy development as a result of having acquired the powers to shape or frame alternatives for future policy change or safeguard existing policy approaches. </w:t>
      </w:r>
      <w:r w:rsidR="00C26CB3" w:rsidRPr="00145A97">
        <w:rPr>
          <w:lang w:val="en-GB"/>
        </w:rPr>
        <w:t>That is to say ‘knowledge has less to do with specific actors than with the structure in which actors act’ (</w:t>
      </w:r>
      <w:proofErr w:type="spellStart"/>
      <w:r w:rsidR="00C26CB3" w:rsidRPr="00145A97">
        <w:rPr>
          <w:lang w:val="en-GB"/>
        </w:rPr>
        <w:t>Radaelli</w:t>
      </w:r>
      <w:proofErr w:type="spellEnd"/>
      <w:r w:rsidR="00C26CB3" w:rsidRPr="00145A97">
        <w:rPr>
          <w:lang w:val="en-GB"/>
        </w:rPr>
        <w:t xml:space="preserve"> 1999: 769)</w:t>
      </w:r>
      <w:r w:rsidR="001A0643" w:rsidRPr="00145A97">
        <w:rPr>
          <w:lang w:val="en-GB"/>
        </w:rPr>
        <w:t>.</w:t>
      </w:r>
      <w:r w:rsidR="0015487F" w:rsidRPr="00145A97">
        <w:rPr>
          <w:lang w:val="en-GB"/>
        </w:rPr>
        <w:t xml:space="preserve"> </w:t>
      </w:r>
      <w:r w:rsidR="008734C0" w:rsidRPr="00145A97">
        <w:rPr>
          <w:lang w:val="en-GB"/>
        </w:rPr>
        <w:t>The key knowledge arenas of ESP include</w:t>
      </w:r>
      <w:r w:rsidR="006048C8" w:rsidRPr="00145A97">
        <w:rPr>
          <w:lang w:val="en-GB"/>
        </w:rPr>
        <w:t xml:space="preserve"> the </w:t>
      </w:r>
      <w:r w:rsidR="00542294" w:rsidRPr="00145A97">
        <w:rPr>
          <w:lang w:val="en-GB"/>
        </w:rPr>
        <w:t xml:space="preserve">former Community Initiative </w:t>
      </w:r>
      <w:proofErr w:type="spellStart"/>
      <w:r w:rsidR="00542294" w:rsidRPr="00145A97">
        <w:rPr>
          <w:lang w:val="en-GB"/>
        </w:rPr>
        <w:t>Interreg</w:t>
      </w:r>
      <w:proofErr w:type="spellEnd"/>
      <w:r w:rsidR="00542294" w:rsidRPr="00145A97">
        <w:rPr>
          <w:lang w:val="en-GB"/>
        </w:rPr>
        <w:t>, recently evolved into the mainstream objective of European Territorial Cooperation</w:t>
      </w:r>
      <w:r w:rsidR="006048C8" w:rsidRPr="00145A97">
        <w:rPr>
          <w:lang w:val="en-GB"/>
        </w:rPr>
        <w:t>, and ESPON</w:t>
      </w:r>
      <w:r w:rsidR="00542294" w:rsidRPr="00145A97">
        <w:rPr>
          <w:lang w:val="en-GB"/>
        </w:rPr>
        <w:t xml:space="preserve">. </w:t>
      </w:r>
      <w:r w:rsidR="00542294" w:rsidRPr="00145A97">
        <w:rPr>
          <w:lang w:val="en-GB"/>
        </w:rPr>
        <w:lastRenderedPageBreak/>
        <w:t xml:space="preserve">Actors from Estonia, Latvia or Lithuania appear to have been particularly active within the context of the </w:t>
      </w:r>
      <w:proofErr w:type="spellStart"/>
      <w:r w:rsidR="00542294" w:rsidRPr="00145A97">
        <w:rPr>
          <w:lang w:val="en-GB"/>
        </w:rPr>
        <w:t>Interreg</w:t>
      </w:r>
      <w:proofErr w:type="spellEnd"/>
      <w:r w:rsidR="00542294" w:rsidRPr="00145A97">
        <w:rPr>
          <w:lang w:val="en-GB"/>
        </w:rPr>
        <w:t xml:space="preserve"> IIIB BSR Programme</w:t>
      </w:r>
      <w:r w:rsidR="008734C0" w:rsidRPr="00145A97">
        <w:rPr>
          <w:lang w:val="en-GB"/>
        </w:rPr>
        <w:t xml:space="preserve"> </w:t>
      </w:r>
      <w:r w:rsidR="00542294" w:rsidRPr="00145A97">
        <w:rPr>
          <w:lang w:val="en-GB"/>
        </w:rPr>
        <w:t>– partly evolving from,</w:t>
      </w:r>
      <w:r w:rsidR="00AA3510" w:rsidRPr="00145A97">
        <w:rPr>
          <w:lang w:val="en-GB"/>
        </w:rPr>
        <w:t xml:space="preserve"> and overlapping with the above</w:t>
      </w:r>
      <w:r w:rsidR="00542294" w:rsidRPr="00145A97">
        <w:rPr>
          <w:lang w:val="en-GB"/>
        </w:rPr>
        <w:t xml:space="preserve">mentioned VASAB (Fritsch 2011). Analysis reveals that they have participated in 89, 85 and 95 projects respectively out of a total of 137 </w:t>
      </w:r>
      <w:proofErr w:type="spellStart"/>
      <w:r w:rsidR="00542294" w:rsidRPr="00145A97">
        <w:rPr>
          <w:lang w:val="en-GB"/>
        </w:rPr>
        <w:t>Interreg</w:t>
      </w:r>
      <w:proofErr w:type="spellEnd"/>
      <w:r w:rsidR="00542294" w:rsidRPr="00145A97">
        <w:rPr>
          <w:lang w:val="en-GB"/>
        </w:rPr>
        <w:t xml:space="preserve"> IIIB </w:t>
      </w:r>
      <w:r w:rsidR="00E86CB6">
        <w:rPr>
          <w:lang w:val="en-GB"/>
        </w:rPr>
        <w:t xml:space="preserve">BSR </w:t>
      </w:r>
      <w:r w:rsidR="00542294" w:rsidRPr="00145A97">
        <w:rPr>
          <w:lang w:val="en-GB"/>
        </w:rPr>
        <w:t>projects during the 2000-2006 Programme. In contrast they appear to have been significantly less active in the inter</w:t>
      </w:r>
      <w:r w:rsidR="00CA15B8" w:rsidRPr="00145A97">
        <w:rPr>
          <w:lang w:val="en-GB"/>
        </w:rPr>
        <w:t>-</w:t>
      </w:r>
      <w:r w:rsidR="00542294" w:rsidRPr="00145A97">
        <w:rPr>
          <w:lang w:val="en-GB"/>
        </w:rPr>
        <w:t xml:space="preserve">regional cooperation initiatives promoted under </w:t>
      </w:r>
      <w:proofErr w:type="spellStart"/>
      <w:r w:rsidR="00542294" w:rsidRPr="00145A97">
        <w:rPr>
          <w:lang w:val="en-GB"/>
        </w:rPr>
        <w:t>Interreg</w:t>
      </w:r>
      <w:proofErr w:type="spellEnd"/>
      <w:r w:rsidR="00542294" w:rsidRPr="00145A97">
        <w:rPr>
          <w:lang w:val="en-GB"/>
        </w:rPr>
        <w:t xml:space="preserve"> IIIC, participating in only 29 (Estonia), 24 (Latvia) and 41 (Lithuania) out of a total of 267 projects. The limited engagement of Baltic actors </w:t>
      </w:r>
      <w:r w:rsidR="00AA3510" w:rsidRPr="00145A97">
        <w:rPr>
          <w:lang w:val="en-GB"/>
        </w:rPr>
        <w:t>in</w:t>
      </w:r>
      <w:r w:rsidR="00542294" w:rsidRPr="00145A97">
        <w:rPr>
          <w:lang w:val="en-GB"/>
        </w:rPr>
        <w:t xml:space="preserve"> the </w:t>
      </w:r>
      <w:r w:rsidR="008734C0" w:rsidRPr="00145A97">
        <w:rPr>
          <w:lang w:val="en-GB"/>
        </w:rPr>
        <w:t xml:space="preserve">inter-regional strand </w:t>
      </w:r>
      <w:r w:rsidR="00542294" w:rsidRPr="00145A97">
        <w:rPr>
          <w:lang w:val="en-GB"/>
        </w:rPr>
        <w:t xml:space="preserve">appears to have continued into the current programming period and Baltic partners currently </w:t>
      </w:r>
      <w:r w:rsidR="00AA3510" w:rsidRPr="00145A97">
        <w:rPr>
          <w:lang w:val="en-GB"/>
        </w:rPr>
        <w:t xml:space="preserve">only lead </w:t>
      </w:r>
      <w:r w:rsidR="00542294" w:rsidRPr="00145A97">
        <w:rPr>
          <w:lang w:val="en-GB"/>
        </w:rPr>
        <w:t>two IVC projects</w:t>
      </w:r>
      <w:r w:rsidR="00542294" w:rsidRPr="00145A97">
        <w:rPr>
          <w:rStyle w:val="Rimandonotaapidipagina"/>
          <w:lang w:val="en-GB"/>
        </w:rPr>
        <w:footnoteReference w:id="7"/>
      </w:r>
      <w:r w:rsidR="00542294" w:rsidRPr="00145A97">
        <w:rPr>
          <w:lang w:val="en-GB"/>
        </w:rPr>
        <w:t xml:space="preserve">. The evidence suggests that actors from the Baltic States are engaging primarily with issues </w:t>
      </w:r>
      <w:r w:rsidR="0098643F" w:rsidRPr="00145A97">
        <w:rPr>
          <w:lang w:val="en-GB"/>
        </w:rPr>
        <w:t xml:space="preserve">of </w:t>
      </w:r>
      <w:r w:rsidR="00542294" w:rsidRPr="00145A97">
        <w:rPr>
          <w:lang w:val="en-GB"/>
        </w:rPr>
        <w:t>a geographical focus on the BSR</w:t>
      </w:r>
      <w:r w:rsidR="0098643F" w:rsidRPr="00145A97">
        <w:rPr>
          <w:lang w:val="en-GB"/>
        </w:rPr>
        <w:t>,</w:t>
      </w:r>
      <w:r w:rsidR="00542294" w:rsidRPr="00145A97">
        <w:rPr>
          <w:lang w:val="en-GB"/>
        </w:rPr>
        <w:t xml:space="preserve"> or that they prefer to explore themes with partners from neighbouring countries.</w:t>
      </w:r>
      <w:r w:rsidR="00EF56C1" w:rsidRPr="00145A97">
        <w:rPr>
          <w:lang w:val="en-GB"/>
        </w:rPr>
        <w:t xml:space="preserve"> Once again</w:t>
      </w:r>
      <w:r w:rsidR="0098643F" w:rsidRPr="00145A97">
        <w:rPr>
          <w:lang w:val="en-GB"/>
        </w:rPr>
        <w:t>,</w:t>
      </w:r>
      <w:r w:rsidR="00EF56C1" w:rsidRPr="00145A97">
        <w:rPr>
          <w:lang w:val="en-GB"/>
        </w:rPr>
        <w:t xml:space="preserve"> this may reflect a culture of pragmatism whereby more concrete and specific issues take priority over more abstract and ambiguous ones. </w:t>
      </w:r>
    </w:p>
    <w:p w:rsidR="00B84612" w:rsidRPr="00145A97" w:rsidRDefault="00E86CB6" w:rsidP="0015487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Pr>
          <w:lang w:val="en-GB"/>
        </w:rPr>
        <w:t>Whereas</w:t>
      </w:r>
      <w:r w:rsidR="00B81880">
        <w:rPr>
          <w:lang w:val="en-GB"/>
        </w:rPr>
        <w:t xml:space="preserve"> </w:t>
      </w:r>
      <w:proofErr w:type="spellStart"/>
      <w:r w:rsidR="008E7D88" w:rsidRPr="00145A97">
        <w:rPr>
          <w:lang w:val="en-GB"/>
        </w:rPr>
        <w:t>Interreg</w:t>
      </w:r>
      <w:proofErr w:type="spellEnd"/>
      <w:r w:rsidR="008E7D88" w:rsidRPr="00145A97">
        <w:rPr>
          <w:lang w:val="en-GB"/>
        </w:rPr>
        <w:t xml:space="preserve"> </w:t>
      </w:r>
      <w:r w:rsidR="00B81880">
        <w:rPr>
          <w:lang w:val="en-GB"/>
        </w:rPr>
        <w:t xml:space="preserve">focuses on </w:t>
      </w:r>
      <w:r w:rsidR="008E7D88" w:rsidRPr="00145A97">
        <w:rPr>
          <w:lang w:val="en-GB"/>
        </w:rPr>
        <w:t>a broad spectrum of knowledge</w:t>
      </w:r>
      <w:r w:rsidR="00B81880">
        <w:rPr>
          <w:lang w:val="en-GB"/>
        </w:rPr>
        <w:t>,</w:t>
      </w:r>
      <w:r w:rsidR="00EF56C1" w:rsidRPr="00145A97">
        <w:rPr>
          <w:lang w:val="en-GB"/>
        </w:rPr>
        <w:t xml:space="preserve"> </w:t>
      </w:r>
      <w:r w:rsidR="008E7D88" w:rsidRPr="00145A97">
        <w:rPr>
          <w:lang w:val="en-GB"/>
        </w:rPr>
        <w:t xml:space="preserve">ESPON is traditionally more </w:t>
      </w:r>
      <w:r w:rsidR="00EF56C1" w:rsidRPr="00145A97">
        <w:rPr>
          <w:lang w:val="en-GB"/>
        </w:rPr>
        <w:t>focused</w:t>
      </w:r>
      <w:r w:rsidR="008E7D88" w:rsidRPr="00145A97">
        <w:rPr>
          <w:lang w:val="en-GB"/>
        </w:rPr>
        <w:t xml:space="preserve"> </w:t>
      </w:r>
      <w:r w:rsidR="00EF56C1" w:rsidRPr="00145A97">
        <w:rPr>
          <w:lang w:val="en-GB"/>
        </w:rPr>
        <w:t>on quantitative scientific knowledge</w:t>
      </w:r>
      <w:r w:rsidR="008E7D88" w:rsidRPr="00145A97">
        <w:rPr>
          <w:lang w:val="en-GB"/>
        </w:rPr>
        <w:t xml:space="preserve">. ESPON is an arena </w:t>
      </w:r>
      <w:r w:rsidR="00EF56C1" w:rsidRPr="00145A97">
        <w:rPr>
          <w:lang w:val="en-GB"/>
        </w:rPr>
        <w:t xml:space="preserve">within which </w:t>
      </w:r>
      <w:r w:rsidR="008E7D88" w:rsidRPr="00145A97">
        <w:rPr>
          <w:lang w:val="en-GB"/>
        </w:rPr>
        <w:t xml:space="preserve">epistemic communities </w:t>
      </w:r>
      <w:r>
        <w:rPr>
          <w:lang w:val="en-GB"/>
        </w:rPr>
        <w:t>within</w:t>
      </w:r>
      <w:r w:rsidR="008E7D88" w:rsidRPr="00145A97">
        <w:rPr>
          <w:lang w:val="en-GB"/>
        </w:rPr>
        <w:t xml:space="preserve"> research institutions throughout the EU look </w:t>
      </w:r>
      <w:r w:rsidR="00F2359B" w:rsidRPr="00145A97">
        <w:rPr>
          <w:lang w:val="en-GB"/>
        </w:rPr>
        <w:t>‘</w:t>
      </w:r>
      <w:r w:rsidR="008E7D88" w:rsidRPr="00145A97">
        <w:rPr>
          <w:lang w:val="en-GB"/>
        </w:rPr>
        <w:t>to support po</w:t>
      </w:r>
      <w:r w:rsidR="00F2359B" w:rsidRPr="00145A97">
        <w:rPr>
          <w:lang w:val="en-GB"/>
        </w:rPr>
        <w:t xml:space="preserve">licy development and to build a European scientific community in the field of territorial development’ (ESPON, no date). The Baltic States </w:t>
      </w:r>
      <w:r w:rsidR="00B81880">
        <w:rPr>
          <w:lang w:val="en-GB"/>
        </w:rPr>
        <w:t xml:space="preserve">were </w:t>
      </w:r>
      <w:r w:rsidR="00B81880" w:rsidRPr="00145A97">
        <w:rPr>
          <w:lang w:val="en-GB"/>
        </w:rPr>
        <w:t xml:space="preserve">initially reluctant </w:t>
      </w:r>
      <w:r w:rsidR="00B81880">
        <w:rPr>
          <w:lang w:val="en-GB"/>
        </w:rPr>
        <w:t xml:space="preserve">to engage with </w:t>
      </w:r>
      <w:r w:rsidR="00F2359B" w:rsidRPr="00145A97">
        <w:rPr>
          <w:lang w:val="en-GB"/>
        </w:rPr>
        <w:t xml:space="preserve">ESPON </w:t>
      </w:r>
      <w:r w:rsidR="00EF56C1" w:rsidRPr="00145A97">
        <w:rPr>
          <w:lang w:val="en-GB"/>
        </w:rPr>
        <w:t>and they did not participate in the 2006 Programme</w:t>
      </w:r>
      <w:r w:rsidR="006611F9">
        <w:rPr>
          <w:lang w:val="en-GB"/>
        </w:rPr>
        <w:t xml:space="preserve"> due </w:t>
      </w:r>
      <w:r w:rsidR="00F2359B" w:rsidRPr="00145A97">
        <w:rPr>
          <w:lang w:val="en-GB"/>
        </w:rPr>
        <w:t xml:space="preserve">to </w:t>
      </w:r>
      <w:r w:rsidR="006611F9">
        <w:rPr>
          <w:lang w:val="en-GB"/>
        </w:rPr>
        <w:t>a</w:t>
      </w:r>
      <w:r w:rsidR="00F2359B" w:rsidRPr="00145A97">
        <w:rPr>
          <w:lang w:val="en-GB"/>
        </w:rPr>
        <w:t xml:space="preserve"> lack of national resources and scepticism regarding the scientific relevance of ESPON data for informing national policy development.</w:t>
      </w:r>
      <w:r w:rsidR="00CA15B8" w:rsidRPr="00145A97">
        <w:rPr>
          <w:rStyle w:val="Rimandonotaapidipagina"/>
          <w:lang w:val="en-GB"/>
        </w:rPr>
        <w:footnoteReference w:id="8"/>
      </w:r>
      <w:r w:rsidR="00C117FF" w:rsidRPr="00145A97">
        <w:rPr>
          <w:lang w:val="en-GB"/>
        </w:rPr>
        <w:t xml:space="preserve"> Nevertheless, a</w:t>
      </w:r>
      <w:r w:rsidR="00145E15" w:rsidRPr="00145A97">
        <w:rPr>
          <w:lang w:val="en-GB"/>
        </w:rPr>
        <w:t xml:space="preserve">ll three Baltic States </w:t>
      </w:r>
      <w:r w:rsidR="00B81880">
        <w:rPr>
          <w:lang w:val="en-GB"/>
        </w:rPr>
        <w:t xml:space="preserve">are participating </w:t>
      </w:r>
      <w:r w:rsidR="00145E15" w:rsidRPr="00145A97">
        <w:rPr>
          <w:lang w:val="en-GB"/>
        </w:rPr>
        <w:t>in the ESPON 2013 programme, each establishing a National Contact Point</w:t>
      </w:r>
      <w:r w:rsidR="00145E15" w:rsidRPr="00145A97">
        <w:rPr>
          <w:vertAlign w:val="superscript"/>
          <w:lang w:val="en-GB"/>
        </w:rPr>
        <w:footnoteReference w:id="9"/>
      </w:r>
      <w:r w:rsidR="00C117FF" w:rsidRPr="00145A97">
        <w:rPr>
          <w:lang w:val="en-GB"/>
        </w:rPr>
        <w:t xml:space="preserve">. </w:t>
      </w:r>
      <w:r w:rsidR="00B81880">
        <w:rPr>
          <w:lang w:val="en-GB"/>
        </w:rPr>
        <w:t xml:space="preserve">Despite this, at the time of writing </w:t>
      </w:r>
      <w:r w:rsidR="00145E15" w:rsidRPr="00145A97">
        <w:rPr>
          <w:lang w:val="en-GB"/>
        </w:rPr>
        <w:t xml:space="preserve">Baltic actors are still not participating in any of the transnational project groups responsible for </w:t>
      </w:r>
      <w:r w:rsidR="004538C6" w:rsidRPr="00145A97">
        <w:rPr>
          <w:lang w:val="en-GB"/>
        </w:rPr>
        <w:t xml:space="preserve">Applied Research Projects, and are currently active in only </w:t>
      </w:r>
      <w:r w:rsidR="00145E15" w:rsidRPr="00145A97">
        <w:rPr>
          <w:lang w:val="en-GB"/>
        </w:rPr>
        <w:t xml:space="preserve">two Targeted </w:t>
      </w:r>
      <w:r w:rsidR="00145E15" w:rsidRPr="00145A97">
        <w:rPr>
          <w:lang w:val="en-GB"/>
        </w:rPr>
        <w:lastRenderedPageBreak/>
        <w:t>Analysis Projects.</w:t>
      </w:r>
      <w:r w:rsidR="00145E15" w:rsidRPr="00145A97">
        <w:rPr>
          <w:vertAlign w:val="superscript"/>
          <w:lang w:val="en-GB"/>
        </w:rPr>
        <w:footnoteReference w:id="10"/>
      </w:r>
      <w:r w:rsidR="00695431" w:rsidRPr="00145A97">
        <w:rPr>
          <w:lang w:val="en-GB"/>
        </w:rPr>
        <w:t xml:space="preserve"> </w:t>
      </w:r>
      <w:r w:rsidR="00145E15" w:rsidRPr="00145A97">
        <w:rPr>
          <w:lang w:val="en-GB"/>
        </w:rPr>
        <w:t>The dominance of large Scandinavian research institutes with sufficient expertise, resources and capacity to provide high quality analysis of the Baltic</w:t>
      </w:r>
      <w:r w:rsidR="00C117FF" w:rsidRPr="00145A97">
        <w:rPr>
          <w:lang w:val="en-GB"/>
        </w:rPr>
        <w:t xml:space="preserve"> States </w:t>
      </w:r>
      <w:r w:rsidR="006611F9">
        <w:rPr>
          <w:lang w:val="en-GB"/>
        </w:rPr>
        <w:t>forms</w:t>
      </w:r>
      <w:r w:rsidR="00C117FF" w:rsidRPr="00145A97">
        <w:rPr>
          <w:lang w:val="en-GB"/>
        </w:rPr>
        <w:t xml:space="preserve"> one barrier to participation</w:t>
      </w:r>
      <w:r w:rsidR="009E6BA7" w:rsidRPr="00145A97">
        <w:rPr>
          <w:lang w:val="en-GB"/>
        </w:rPr>
        <w:t>.</w:t>
      </w:r>
      <w:r w:rsidR="00C117FF" w:rsidRPr="00145A97">
        <w:rPr>
          <w:lang w:val="en-GB"/>
        </w:rPr>
        <w:t xml:space="preserve"> </w:t>
      </w:r>
      <w:r w:rsidR="009E6BA7" w:rsidRPr="00145A97">
        <w:rPr>
          <w:lang w:val="en-GB"/>
        </w:rPr>
        <w:t>O</w:t>
      </w:r>
      <w:r w:rsidR="00C117FF" w:rsidRPr="00145A97">
        <w:rPr>
          <w:lang w:val="en-GB"/>
        </w:rPr>
        <w:t>ther potential reasons includ</w:t>
      </w:r>
      <w:r w:rsidR="009E6BA7" w:rsidRPr="00145A97">
        <w:rPr>
          <w:lang w:val="en-GB"/>
        </w:rPr>
        <w:t>e</w:t>
      </w:r>
      <w:r w:rsidR="00C117FF" w:rsidRPr="00145A97">
        <w:rPr>
          <w:lang w:val="en-GB"/>
        </w:rPr>
        <w:t xml:space="preserve"> different priorities and </w:t>
      </w:r>
      <w:r w:rsidR="009E6BA7" w:rsidRPr="00145A97">
        <w:rPr>
          <w:lang w:val="en-GB"/>
        </w:rPr>
        <w:t xml:space="preserve">a </w:t>
      </w:r>
      <w:r w:rsidR="00C117FF" w:rsidRPr="00145A97">
        <w:rPr>
          <w:lang w:val="en-GB"/>
        </w:rPr>
        <w:t>lack of human and other resources for research</w:t>
      </w:r>
      <w:r w:rsidR="009E6BA7" w:rsidRPr="00145A97">
        <w:rPr>
          <w:lang w:val="en-GB"/>
        </w:rPr>
        <w:t>,</w:t>
      </w:r>
      <w:r w:rsidR="00C117FF" w:rsidRPr="00145A97">
        <w:rPr>
          <w:lang w:val="en-GB"/>
        </w:rPr>
        <w:t xml:space="preserve"> particularly at sub-national levels.</w:t>
      </w:r>
      <w:r w:rsidR="00145E15" w:rsidRPr="00145A97">
        <w:rPr>
          <w:lang w:val="en-GB"/>
        </w:rPr>
        <w:t xml:space="preserve"> </w:t>
      </w:r>
      <w:r w:rsidR="001A0643" w:rsidRPr="00145A97">
        <w:rPr>
          <w:lang w:val="en-GB"/>
        </w:rPr>
        <w:t>T</w:t>
      </w:r>
      <w:r w:rsidR="00B84612" w:rsidRPr="00145A97">
        <w:rPr>
          <w:lang w:val="en-GB"/>
        </w:rPr>
        <w:t xml:space="preserve">he next section of the paper </w:t>
      </w:r>
      <w:r w:rsidR="001A0643" w:rsidRPr="00145A97">
        <w:rPr>
          <w:lang w:val="en-GB"/>
        </w:rPr>
        <w:t xml:space="preserve">examines the extent and nature of the responses of Baltic actors to the </w:t>
      </w:r>
      <w:r w:rsidR="00285A93" w:rsidRPr="00145A97">
        <w:rPr>
          <w:lang w:val="en-GB"/>
        </w:rPr>
        <w:t xml:space="preserve">consultation process launched by the </w:t>
      </w:r>
      <w:r w:rsidR="001A0643" w:rsidRPr="00145A97">
        <w:rPr>
          <w:lang w:val="en-GB"/>
        </w:rPr>
        <w:t>European Commission Green Paper on Territorial Cohesion (CEC 2008</w:t>
      </w:r>
      <w:r w:rsidR="004A29F8" w:rsidRPr="00145A97">
        <w:rPr>
          <w:rStyle w:val="Rimandonotaapidipagina"/>
          <w:lang w:val="en-GB"/>
        </w:rPr>
        <w:footnoteReference w:id="11"/>
      </w:r>
      <w:r w:rsidR="001A0643" w:rsidRPr="00145A97">
        <w:rPr>
          <w:lang w:val="en-GB"/>
        </w:rPr>
        <w:t>)</w:t>
      </w:r>
      <w:r w:rsidR="008E7D88" w:rsidRPr="00145A97">
        <w:rPr>
          <w:lang w:val="en-GB"/>
        </w:rPr>
        <w:t xml:space="preserve">. </w:t>
      </w:r>
    </w:p>
    <w:p w:rsidR="00CB673D" w:rsidRDefault="00CB673D"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b/>
          <w:lang w:val="en-GB"/>
        </w:rPr>
      </w:pPr>
    </w:p>
    <w:p w:rsidR="00B84612" w:rsidRPr="00145A97" w:rsidRDefault="00C75BF4"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b/>
          <w:lang w:val="en-GB"/>
        </w:rPr>
      </w:pPr>
      <w:r w:rsidRPr="00F330B0">
        <w:rPr>
          <w:b/>
          <w:lang w:val="en-GB"/>
        </w:rPr>
        <w:t xml:space="preserve">Territorial knowledge communities and </w:t>
      </w:r>
      <w:r w:rsidR="00B84612" w:rsidRPr="00F330B0">
        <w:rPr>
          <w:b/>
          <w:lang w:val="en-GB"/>
        </w:rPr>
        <w:t>engagement</w:t>
      </w:r>
      <w:r w:rsidR="00A74335" w:rsidRPr="00F330B0">
        <w:rPr>
          <w:b/>
          <w:lang w:val="en-GB"/>
        </w:rPr>
        <w:t xml:space="preserve"> of actors from the Baltic States in the territorial cohesion debate</w:t>
      </w:r>
    </w:p>
    <w:p w:rsidR="006022FB" w:rsidRPr="00145A97" w:rsidRDefault="00B84612" w:rsidP="006022F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The concept of territorial cohesion was introduced in the Treaty of Amsterdam (1997) and gained increasing relevance initially with the Treaty of Nice (2001) and</w:t>
      </w:r>
      <w:r w:rsidR="00285A93" w:rsidRPr="00145A97">
        <w:rPr>
          <w:lang w:val="en-GB"/>
        </w:rPr>
        <w:t>,</w:t>
      </w:r>
      <w:r w:rsidRPr="00145A97">
        <w:rPr>
          <w:lang w:val="en-GB"/>
        </w:rPr>
        <w:t xml:space="preserve"> </w:t>
      </w:r>
      <w:r w:rsidR="007325D5" w:rsidRPr="00145A97">
        <w:rPr>
          <w:lang w:val="en-GB"/>
        </w:rPr>
        <w:t>subsequently</w:t>
      </w:r>
      <w:r w:rsidR="00285A93" w:rsidRPr="00145A97">
        <w:rPr>
          <w:lang w:val="en-GB"/>
        </w:rPr>
        <w:t>,</w:t>
      </w:r>
      <w:r w:rsidR="007325D5" w:rsidRPr="00145A97">
        <w:rPr>
          <w:lang w:val="en-GB"/>
        </w:rPr>
        <w:t xml:space="preserve"> </w:t>
      </w:r>
      <w:r w:rsidR="003268C6" w:rsidRPr="00145A97">
        <w:rPr>
          <w:lang w:val="en-GB"/>
        </w:rPr>
        <w:t xml:space="preserve">with </w:t>
      </w:r>
      <w:r w:rsidRPr="00145A97">
        <w:rPr>
          <w:lang w:val="en-GB"/>
        </w:rPr>
        <w:t xml:space="preserve">the </w:t>
      </w:r>
      <w:proofErr w:type="spellStart"/>
      <w:r w:rsidRPr="00145A97">
        <w:rPr>
          <w:lang w:val="en-GB"/>
        </w:rPr>
        <w:t>Laeken</w:t>
      </w:r>
      <w:proofErr w:type="spellEnd"/>
      <w:r w:rsidRPr="00145A97">
        <w:rPr>
          <w:lang w:val="en-GB"/>
        </w:rPr>
        <w:t xml:space="preserve"> European Council (2001)</w:t>
      </w:r>
      <w:r w:rsidR="007325D5" w:rsidRPr="00145A97">
        <w:rPr>
          <w:lang w:val="en-GB"/>
        </w:rPr>
        <w:t xml:space="preserve"> </w:t>
      </w:r>
      <w:r w:rsidRPr="00145A97">
        <w:rPr>
          <w:lang w:val="en-GB"/>
        </w:rPr>
        <w:t>as fears about post enlarg</w:t>
      </w:r>
      <w:r w:rsidR="007E497C" w:rsidRPr="00145A97">
        <w:rPr>
          <w:lang w:val="en-GB"/>
        </w:rPr>
        <w:t>ement disparities grew (</w:t>
      </w:r>
      <w:proofErr w:type="spellStart"/>
      <w:r w:rsidR="007E497C" w:rsidRPr="00145A97">
        <w:rPr>
          <w:lang w:val="en-GB"/>
        </w:rPr>
        <w:t>Cotella</w:t>
      </w:r>
      <w:proofErr w:type="spellEnd"/>
      <w:r w:rsidR="007E497C" w:rsidRPr="00145A97">
        <w:rPr>
          <w:lang w:val="en-GB"/>
        </w:rPr>
        <w:t xml:space="preserve"> 2009;</w:t>
      </w:r>
      <w:r w:rsidRPr="00145A97">
        <w:rPr>
          <w:lang w:val="en-GB"/>
        </w:rPr>
        <w:t xml:space="preserve"> </w:t>
      </w:r>
      <w:proofErr w:type="spellStart"/>
      <w:r w:rsidRPr="00145A97">
        <w:rPr>
          <w:lang w:val="en-GB"/>
        </w:rPr>
        <w:t>Cotella</w:t>
      </w:r>
      <w:proofErr w:type="spellEnd"/>
      <w:r w:rsidRPr="00145A97">
        <w:rPr>
          <w:lang w:val="en-GB"/>
        </w:rPr>
        <w:t xml:space="preserve"> </w:t>
      </w:r>
      <w:r w:rsidRPr="00145A97">
        <w:rPr>
          <w:i/>
          <w:lang w:val="en-GB"/>
        </w:rPr>
        <w:t>et al</w:t>
      </w:r>
      <w:r w:rsidRPr="00145A97">
        <w:rPr>
          <w:lang w:val="en-GB"/>
        </w:rPr>
        <w:t xml:space="preserve"> 201</w:t>
      </w:r>
      <w:r w:rsidR="00B81880">
        <w:rPr>
          <w:lang w:val="en-GB"/>
        </w:rPr>
        <w:t>2</w:t>
      </w:r>
      <w:r w:rsidRPr="00145A97">
        <w:rPr>
          <w:lang w:val="en-GB"/>
        </w:rPr>
        <w:t xml:space="preserve">). </w:t>
      </w:r>
      <w:r w:rsidR="00612409" w:rsidRPr="00145A97">
        <w:rPr>
          <w:lang w:val="en-GB"/>
        </w:rPr>
        <w:t>T</w:t>
      </w:r>
      <w:r w:rsidRPr="00145A97">
        <w:rPr>
          <w:lang w:val="en-GB"/>
        </w:rPr>
        <w:t xml:space="preserve">he territorial cohesion objective was </w:t>
      </w:r>
      <w:r w:rsidR="00612409" w:rsidRPr="00145A97">
        <w:rPr>
          <w:lang w:val="en-GB"/>
        </w:rPr>
        <w:t xml:space="preserve">ultimately </w:t>
      </w:r>
      <w:r w:rsidRPr="00145A97">
        <w:rPr>
          <w:lang w:val="en-GB"/>
        </w:rPr>
        <w:t>ratified under the Treaty of Lisbon</w:t>
      </w:r>
      <w:r w:rsidR="003428D5" w:rsidRPr="00145A97">
        <w:rPr>
          <w:lang w:val="en-GB"/>
        </w:rPr>
        <w:t xml:space="preserve"> (2009)</w:t>
      </w:r>
      <w:r w:rsidR="00F330B0">
        <w:rPr>
          <w:lang w:val="en-GB"/>
        </w:rPr>
        <w:t xml:space="preserve"> an subsequently </w:t>
      </w:r>
      <w:r w:rsidR="006022FB" w:rsidRPr="00145A97">
        <w:rPr>
          <w:lang w:val="en-GB"/>
        </w:rPr>
        <w:t xml:space="preserve">the publication of the </w:t>
      </w:r>
      <w:r w:rsidR="0099549C" w:rsidRPr="00145A97">
        <w:rPr>
          <w:lang w:val="en-GB"/>
        </w:rPr>
        <w:t>Fifth</w:t>
      </w:r>
      <w:r w:rsidR="006022FB" w:rsidRPr="00145A97">
        <w:rPr>
          <w:lang w:val="en-GB"/>
        </w:rPr>
        <w:t xml:space="preserve"> Report on Economic, Social and Territorial Cohesion (CEC </w:t>
      </w:r>
      <w:r w:rsidR="003268C6" w:rsidRPr="00145A97">
        <w:rPr>
          <w:lang w:val="en-GB"/>
        </w:rPr>
        <w:t>2011</w:t>
      </w:r>
      <w:r w:rsidR="006022FB" w:rsidRPr="00145A97">
        <w:rPr>
          <w:lang w:val="en-GB"/>
        </w:rPr>
        <w:t>) and the Territorial Agenda 2020 (HU Presidency, 2011) formally advance</w:t>
      </w:r>
      <w:r w:rsidR="00F330B0">
        <w:rPr>
          <w:lang w:val="en-GB"/>
        </w:rPr>
        <w:t>d</w:t>
      </w:r>
      <w:r w:rsidR="006022FB" w:rsidRPr="00145A97">
        <w:rPr>
          <w:lang w:val="en-GB"/>
        </w:rPr>
        <w:t xml:space="preserve"> the objective across EU policy agendas. </w:t>
      </w:r>
    </w:p>
    <w:p w:rsidR="00B84612" w:rsidRPr="00145A97" w:rsidRDefault="00B84612" w:rsidP="00617FAA">
      <w:pPr>
        <w:pStyle w:val="BodyText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rPr>
          <w:rFonts w:ascii="Times New Roman" w:hAnsi="Times New Roman"/>
          <w:lang w:val="en-GB"/>
        </w:rPr>
      </w:pPr>
      <w:r w:rsidRPr="00145A97">
        <w:rPr>
          <w:rFonts w:ascii="Times New Roman" w:hAnsi="Times New Roman"/>
          <w:lang w:val="en-GB"/>
        </w:rPr>
        <w:t xml:space="preserve">The </w:t>
      </w:r>
      <w:r w:rsidR="00055A50" w:rsidRPr="00145A97">
        <w:rPr>
          <w:rFonts w:ascii="Times New Roman" w:hAnsi="Times New Roman"/>
          <w:lang w:val="en-GB"/>
        </w:rPr>
        <w:t xml:space="preserve">Green Paper was a response from the </w:t>
      </w:r>
      <w:r w:rsidRPr="00145A97">
        <w:rPr>
          <w:rFonts w:ascii="Times New Roman" w:hAnsi="Times New Roman"/>
          <w:lang w:val="en-GB"/>
        </w:rPr>
        <w:t>Commission to the uncertainty about the implications of territorial cohesion (cf. Evers 2007)</w:t>
      </w:r>
      <w:r w:rsidR="0067120A">
        <w:rPr>
          <w:rFonts w:ascii="Times New Roman" w:hAnsi="Times New Roman"/>
          <w:lang w:val="en-GB"/>
        </w:rPr>
        <w:t xml:space="preserve"> and</w:t>
      </w:r>
      <w:r w:rsidR="00055A50" w:rsidRPr="00145A97">
        <w:rPr>
          <w:rFonts w:ascii="Times New Roman" w:hAnsi="Times New Roman"/>
          <w:lang w:val="en-GB"/>
        </w:rPr>
        <w:t xml:space="preserve"> represented a clear attempt to </w:t>
      </w:r>
      <w:r w:rsidR="003428D5" w:rsidRPr="00145A97">
        <w:rPr>
          <w:rFonts w:ascii="Times New Roman" w:hAnsi="Times New Roman"/>
          <w:lang w:val="en-GB"/>
        </w:rPr>
        <w:t xml:space="preserve">broaden </w:t>
      </w:r>
      <w:r w:rsidR="00055A50" w:rsidRPr="00145A97">
        <w:rPr>
          <w:rFonts w:ascii="Times New Roman" w:hAnsi="Times New Roman"/>
          <w:lang w:val="en-GB"/>
        </w:rPr>
        <w:t xml:space="preserve">the debate beyond the narrow expert community that has traditionally been engaged in ESP. </w:t>
      </w:r>
      <w:r w:rsidR="00B46EB6" w:rsidRPr="00145A97">
        <w:rPr>
          <w:rFonts w:ascii="Times New Roman" w:hAnsi="Times New Roman"/>
          <w:lang w:val="en-GB"/>
        </w:rPr>
        <w:t xml:space="preserve">Despite having been subject to considerable apprehension and confusion (Evers </w:t>
      </w:r>
      <w:r w:rsidR="00B46EB6" w:rsidRPr="00145A97">
        <w:rPr>
          <w:rFonts w:ascii="Times New Roman" w:hAnsi="Times New Roman"/>
          <w:i/>
          <w:lang w:val="en-GB"/>
        </w:rPr>
        <w:t>et al</w:t>
      </w:r>
      <w:r w:rsidR="00B46EB6" w:rsidRPr="00145A97">
        <w:rPr>
          <w:rFonts w:ascii="Times New Roman" w:hAnsi="Times New Roman"/>
          <w:lang w:val="en-GB"/>
        </w:rPr>
        <w:t xml:space="preserve"> 2009), territorial cohesion remains a ‘generative metaphor’ through which long-standing issues continue to be re-examined and debated (</w:t>
      </w:r>
      <w:proofErr w:type="spellStart"/>
      <w:r w:rsidR="00B46EB6" w:rsidRPr="00145A97">
        <w:rPr>
          <w:rFonts w:ascii="Times New Roman" w:hAnsi="Times New Roman"/>
          <w:lang w:val="en-GB"/>
        </w:rPr>
        <w:t>Schon</w:t>
      </w:r>
      <w:proofErr w:type="spellEnd"/>
      <w:r w:rsidR="00B46EB6" w:rsidRPr="00145A97">
        <w:rPr>
          <w:rFonts w:ascii="Times New Roman" w:hAnsi="Times New Roman"/>
          <w:lang w:val="en-GB"/>
        </w:rPr>
        <w:t xml:space="preserve"> 1978). It follows earlier conceptualizations of spatial development</w:t>
      </w:r>
      <w:r w:rsidR="006022FB" w:rsidRPr="00145A97">
        <w:rPr>
          <w:rFonts w:ascii="Times New Roman" w:hAnsi="Times New Roman"/>
          <w:lang w:val="en-GB"/>
        </w:rPr>
        <w:t>,</w:t>
      </w:r>
      <w:r w:rsidR="00B46EB6" w:rsidRPr="00145A97">
        <w:rPr>
          <w:rFonts w:ascii="Times New Roman" w:hAnsi="Times New Roman"/>
          <w:lang w:val="en-GB"/>
        </w:rPr>
        <w:t xml:space="preserve"> including the ‘Blue Banana’ (Brunet, 1989) and the ‘Bunch of Grapes’ (</w:t>
      </w:r>
      <w:proofErr w:type="spellStart"/>
      <w:r w:rsidR="00B46EB6" w:rsidRPr="00145A97">
        <w:rPr>
          <w:rFonts w:ascii="Times New Roman" w:hAnsi="Times New Roman"/>
          <w:lang w:val="en-GB"/>
        </w:rPr>
        <w:t>Kunzmann</w:t>
      </w:r>
      <w:proofErr w:type="spellEnd"/>
      <w:r w:rsidR="00B46EB6" w:rsidRPr="00145A97">
        <w:rPr>
          <w:rFonts w:ascii="Times New Roman" w:hAnsi="Times New Roman"/>
          <w:lang w:val="en-GB"/>
        </w:rPr>
        <w:t xml:space="preserve"> and Wegener 1991)</w:t>
      </w:r>
      <w:r w:rsidR="006022FB" w:rsidRPr="00145A97">
        <w:rPr>
          <w:rFonts w:ascii="Times New Roman" w:hAnsi="Times New Roman"/>
          <w:lang w:val="en-GB"/>
        </w:rPr>
        <w:t>,</w:t>
      </w:r>
      <w:r w:rsidR="00B46EB6" w:rsidRPr="00145A97">
        <w:rPr>
          <w:rFonts w:ascii="Times New Roman" w:hAnsi="Times New Roman"/>
          <w:lang w:val="en-GB"/>
        </w:rPr>
        <w:t xml:space="preserve"> and the shift from core-periphery to polycentric models of spatial development (French Presidency 2000; </w:t>
      </w:r>
      <w:proofErr w:type="spellStart"/>
      <w:r w:rsidR="00B46EB6" w:rsidRPr="00145A97">
        <w:rPr>
          <w:rFonts w:ascii="Times New Roman" w:hAnsi="Times New Roman"/>
          <w:lang w:val="en-GB"/>
        </w:rPr>
        <w:t>Mehlbye</w:t>
      </w:r>
      <w:proofErr w:type="spellEnd"/>
      <w:r w:rsidR="00B46EB6" w:rsidRPr="00145A97">
        <w:rPr>
          <w:rFonts w:ascii="Times New Roman" w:hAnsi="Times New Roman"/>
          <w:lang w:val="en-GB"/>
        </w:rPr>
        <w:t xml:space="preserve"> 2000). Nonetheless, the European rhetoric surrounding spatial concepts such as ‘balanced </w:t>
      </w:r>
      <w:r w:rsidR="00B46EB6" w:rsidRPr="00145A97">
        <w:rPr>
          <w:rFonts w:ascii="Times New Roman" w:hAnsi="Times New Roman"/>
          <w:lang w:val="en-GB"/>
        </w:rPr>
        <w:lastRenderedPageBreak/>
        <w:t>polycentric development’ and territorial cohesion persists in a context where planners must package funds and spatial concepts in order to influence policy</w:t>
      </w:r>
      <w:r w:rsidR="00055A50" w:rsidRPr="00145A97">
        <w:rPr>
          <w:rFonts w:ascii="Times New Roman" w:hAnsi="Times New Roman"/>
          <w:lang w:val="en-GB"/>
        </w:rPr>
        <w:t xml:space="preserve">. The question therefore emerges as to whether planners are simply </w:t>
      </w:r>
      <w:r w:rsidR="00B46EB6" w:rsidRPr="00145A97">
        <w:rPr>
          <w:rFonts w:ascii="Times New Roman" w:hAnsi="Times New Roman"/>
          <w:lang w:val="en-GB"/>
        </w:rPr>
        <w:t>‘talking the talk’</w:t>
      </w:r>
      <w:r w:rsidR="00055A50" w:rsidRPr="00145A97">
        <w:rPr>
          <w:rFonts w:ascii="Times New Roman" w:hAnsi="Times New Roman"/>
          <w:lang w:val="en-GB"/>
        </w:rPr>
        <w:t xml:space="preserve"> rather</w:t>
      </w:r>
      <w:r w:rsidR="00B46EB6" w:rsidRPr="00145A97">
        <w:rPr>
          <w:rFonts w:ascii="Times New Roman" w:hAnsi="Times New Roman"/>
          <w:lang w:val="en-GB"/>
        </w:rPr>
        <w:t xml:space="preserve"> than ‘walking the walk’ when bringing together evidence-informed arguments to advance policy interests behind the veil of territorial cohesion</w:t>
      </w:r>
      <w:r w:rsidR="003435AC" w:rsidRPr="00145A97">
        <w:rPr>
          <w:rFonts w:ascii="Times New Roman" w:hAnsi="Times New Roman"/>
          <w:lang w:val="en-GB"/>
        </w:rPr>
        <w:t>.</w:t>
      </w:r>
    </w:p>
    <w:p w:rsidR="00B81880" w:rsidRPr="00145A97" w:rsidRDefault="00B84612" w:rsidP="00617FAA">
      <w:pPr>
        <w:pStyle w:val="BodyText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rPr>
          <w:rFonts w:ascii="Times New Roman" w:hAnsi="Times New Roman"/>
          <w:lang w:val="en-GB"/>
        </w:rPr>
      </w:pPr>
      <w:r w:rsidRPr="00145A97">
        <w:rPr>
          <w:rFonts w:ascii="Times New Roman" w:hAnsi="Times New Roman"/>
          <w:lang w:val="en-GB"/>
        </w:rPr>
        <w:t>The results of the consultation process provide a valuable resource in relation to current interpretations of the principle as well as significant clues as to the extent and nature of the engagement of diverse territorial knowledge communities in this debate. Almost 400 reactions were submitted from both Member and non Member States, including European institutions (9), national governments (31), regional or local bodies (96), non-EU bodies (9), towns, cities and municipalities (10), universities, research centres and consultancies (17), social and economic partners (17), interest groups (152), EU programmes (7), EU political bodies (2) and informed citizens (34)</w:t>
      </w:r>
      <w:r w:rsidR="003435AC" w:rsidRPr="00145A97">
        <w:rPr>
          <w:rFonts w:ascii="Times New Roman" w:hAnsi="Times New Roman"/>
          <w:lang w:val="en-GB"/>
        </w:rPr>
        <w:t xml:space="preserve"> (</w:t>
      </w:r>
      <w:r w:rsidR="0067120A">
        <w:rPr>
          <w:rFonts w:ascii="Times New Roman" w:hAnsi="Times New Roman"/>
          <w:lang w:val="en-GB"/>
        </w:rPr>
        <w:t xml:space="preserve">see </w:t>
      </w:r>
      <w:proofErr w:type="spellStart"/>
      <w:r w:rsidR="0067120A" w:rsidRPr="00145A97">
        <w:rPr>
          <w:rFonts w:ascii="Times New Roman" w:hAnsi="Times New Roman"/>
          <w:lang w:val="en-GB"/>
        </w:rPr>
        <w:t>Cotella</w:t>
      </w:r>
      <w:proofErr w:type="spellEnd"/>
      <w:r w:rsidR="0067120A" w:rsidRPr="00145A97">
        <w:rPr>
          <w:rFonts w:ascii="Times New Roman" w:hAnsi="Times New Roman"/>
          <w:lang w:val="en-GB"/>
        </w:rPr>
        <w:t xml:space="preserve"> </w:t>
      </w:r>
      <w:r w:rsidR="0067120A" w:rsidRPr="00145A97">
        <w:rPr>
          <w:rFonts w:ascii="Times New Roman" w:hAnsi="Times New Roman"/>
          <w:i/>
          <w:lang w:val="en-GB"/>
        </w:rPr>
        <w:t>et al</w:t>
      </w:r>
      <w:r w:rsidR="0067120A" w:rsidRPr="00145A97">
        <w:rPr>
          <w:rFonts w:ascii="Times New Roman" w:hAnsi="Times New Roman"/>
          <w:lang w:val="en-GB"/>
        </w:rPr>
        <w:t xml:space="preserve"> 201</w:t>
      </w:r>
      <w:r w:rsidR="0067120A">
        <w:rPr>
          <w:rFonts w:ascii="Times New Roman" w:hAnsi="Times New Roman"/>
          <w:lang w:val="en-GB"/>
        </w:rPr>
        <w:t xml:space="preserve">2 </w:t>
      </w:r>
      <w:r w:rsidR="003435AC" w:rsidRPr="00145A97">
        <w:rPr>
          <w:rFonts w:ascii="Times New Roman" w:hAnsi="Times New Roman"/>
          <w:lang w:val="en-GB"/>
        </w:rPr>
        <w:t>for a more detailed quantitative analysis)</w:t>
      </w:r>
      <w:r w:rsidRPr="00145A97">
        <w:rPr>
          <w:rFonts w:ascii="Times New Roman" w:hAnsi="Times New Roman"/>
          <w:lang w:val="en-GB"/>
        </w:rPr>
        <w:t xml:space="preserve">. </w:t>
      </w:r>
    </w:p>
    <w:p w:rsidR="00B84612" w:rsidRPr="00145A97" w:rsidRDefault="00612409" w:rsidP="00C86DD7">
      <w:pPr>
        <w:pStyle w:val="BodyText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rPr>
          <w:rFonts w:ascii="Times New Roman" w:hAnsi="Times New Roman"/>
          <w:lang w:val="en-GB"/>
        </w:rPr>
      </w:pPr>
      <w:r w:rsidRPr="00B81880">
        <w:rPr>
          <w:rFonts w:ascii="Times New Roman" w:hAnsi="Times New Roman"/>
          <w:lang w:val="en-GB"/>
        </w:rPr>
        <w:t xml:space="preserve">A preliminary mapping of the institutional geography of the Green Paper consultation process reveals significant differentiation in the levels of engagement. </w:t>
      </w:r>
      <w:r w:rsidR="00B84612" w:rsidRPr="00B81880">
        <w:rPr>
          <w:rFonts w:ascii="Times New Roman" w:hAnsi="Times New Roman"/>
          <w:lang w:val="en-GB"/>
        </w:rPr>
        <w:t xml:space="preserve">National institutions from all 27 EU Member States except Ireland responded to the consultation. </w:t>
      </w:r>
      <w:r w:rsidRPr="00B81880">
        <w:rPr>
          <w:rFonts w:ascii="Times New Roman" w:hAnsi="Times New Roman"/>
          <w:lang w:val="en-GB"/>
        </w:rPr>
        <w:t xml:space="preserve">However, the </w:t>
      </w:r>
      <w:r w:rsidR="00C86DD7" w:rsidRPr="00B81880">
        <w:rPr>
          <w:rFonts w:ascii="Times New Roman" w:hAnsi="Times New Roman"/>
          <w:lang w:val="en-GB"/>
        </w:rPr>
        <w:t>geographical distribution</w:t>
      </w:r>
      <w:r w:rsidRPr="00B81880">
        <w:rPr>
          <w:rFonts w:ascii="Times New Roman" w:hAnsi="Times New Roman"/>
          <w:lang w:val="en-GB"/>
        </w:rPr>
        <w:t xml:space="preserve"> of </w:t>
      </w:r>
      <w:r w:rsidR="004F103E">
        <w:rPr>
          <w:rFonts w:ascii="Times New Roman" w:hAnsi="Times New Roman"/>
          <w:lang w:val="en-GB"/>
        </w:rPr>
        <w:t xml:space="preserve">other </w:t>
      </w:r>
      <w:r w:rsidRPr="00B81880">
        <w:rPr>
          <w:rFonts w:ascii="Times New Roman" w:hAnsi="Times New Roman"/>
          <w:lang w:val="en-GB"/>
        </w:rPr>
        <w:t>respondents</w:t>
      </w:r>
      <w:r w:rsidR="00C86DD7" w:rsidRPr="00B81880">
        <w:rPr>
          <w:rFonts w:ascii="Times New Roman" w:hAnsi="Times New Roman"/>
          <w:lang w:val="en-GB"/>
        </w:rPr>
        <w:t xml:space="preserve"> is dominated by actors in north-west Europe</w:t>
      </w:r>
      <w:r w:rsidRPr="00B81880">
        <w:rPr>
          <w:rFonts w:ascii="Times New Roman" w:hAnsi="Times New Roman"/>
          <w:lang w:val="en-GB"/>
        </w:rPr>
        <w:t xml:space="preserve"> where 43</w:t>
      </w:r>
      <w:r w:rsidR="00285A93" w:rsidRPr="00B81880">
        <w:rPr>
          <w:rFonts w:ascii="Times New Roman" w:hAnsi="Times New Roman"/>
          <w:lang w:val="en-GB"/>
        </w:rPr>
        <w:t xml:space="preserve"> per cent</w:t>
      </w:r>
      <w:r w:rsidRPr="00B81880">
        <w:rPr>
          <w:rFonts w:ascii="Times New Roman" w:hAnsi="Times New Roman"/>
          <w:lang w:val="en-GB"/>
        </w:rPr>
        <w:t xml:space="preserve"> of regional and local </w:t>
      </w:r>
      <w:r w:rsidR="00F01B46">
        <w:rPr>
          <w:rFonts w:ascii="Times New Roman" w:hAnsi="Times New Roman"/>
          <w:lang w:val="en-GB"/>
        </w:rPr>
        <w:t>respondents</w:t>
      </w:r>
      <w:r w:rsidRPr="00B81880">
        <w:rPr>
          <w:rFonts w:ascii="Times New Roman" w:hAnsi="Times New Roman"/>
          <w:lang w:val="en-GB"/>
        </w:rPr>
        <w:t xml:space="preserve"> are located</w:t>
      </w:r>
      <w:r w:rsidR="00844DDC" w:rsidRPr="00B81880">
        <w:rPr>
          <w:rFonts w:ascii="Times New Roman" w:hAnsi="Times New Roman"/>
          <w:lang w:val="en-GB"/>
        </w:rPr>
        <w:t>.</w:t>
      </w:r>
      <w:r w:rsidRPr="00B81880">
        <w:rPr>
          <w:rFonts w:ascii="Times New Roman" w:hAnsi="Times New Roman"/>
          <w:lang w:val="en-GB"/>
        </w:rPr>
        <w:t xml:space="preserve"> </w:t>
      </w:r>
      <w:r w:rsidR="00844DDC" w:rsidRPr="00B81880">
        <w:rPr>
          <w:rFonts w:ascii="Times New Roman" w:hAnsi="Times New Roman"/>
          <w:lang w:val="en-GB"/>
        </w:rPr>
        <w:t>I</w:t>
      </w:r>
      <w:r w:rsidRPr="00B81880">
        <w:rPr>
          <w:rFonts w:ascii="Times New Roman" w:hAnsi="Times New Roman"/>
          <w:lang w:val="en-GB"/>
        </w:rPr>
        <w:t xml:space="preserve">n addition </w:t>
      </w:r>
      <w:r w:rsidR="00C86DD7" w:rsidRPr="00B81880">
        <w:rPr>
          <w:rFonts w:ascii="Times New Roman" w:hAnsi="Times New Roman"/>
          <w:lang w:val="en-GB"/>
        </w:rPr>
        <w:t>38</w:t>
      </w:r>
      <w:r w:rsidR="00285A93" w:rsidRPr="00B81880">
        <w:rPr>
          <w:rFonts w:ascii="Times New Roman" w:hAnsi="Times New Roman"/>
          <w:lang w:val="en-GB"/>
        </w:rPr>
        <w:t xml:space="preserve"> per cent </w:t>
      </w:r>
      <w:r w:rsidR="00C86DD7" w:rsidRPr="00B81880">
        <w:rPr>
          <w:rFonts w:ascii="Times New Roman" w:hAnsi="Times New Roman"/>
          <w:lang w:val="en-GB"/>
        </w:rPr>
        <w:t>and 47</w:t>
      </w:r>
      <w:r w:rsidR="00285A93" w:rsidRPr="00B81880">
        <w:rPr>
          <w:rFonts w:ascii="Times New Roman" w:hAnsi="Times New Roman"/>
          <w:lang w:val="en-GB"/>
        </w:rPr>
        <w:t xml:space="preserve"> per cent </w:t>
      </w:r>
      <w:r w:rsidR="00C86DD7" w:rsidRPr="00B81880">
        <w:rPr>
          <w:rFonts w:ascii="Times New Roman" w:hAnsi="Times New Roman"/>
          <w:lang w:val="en-GB"/>
        </w:rPr>
        <w:t>of interest groups had participants from</w:t>
      </w:r>
      <w:r w:rsidR="00C86DD7" w:rsidRPr="00145A97">
        <w:rPr>
          <w:rFonts w:ascii="Times New Roman" w:hAnsi="Times New Roman"/>
          <w:lang w:val="en-GB"/>
        </w:rPr>
        <w:t xml:space="preserve"> Germany and France respectively. </w:t>
      </w:r>
      <w:r w:rsidR="00B84612" w:rsidRPr="00145A97">
        <w:rPr>
          <w:rFonts w:ascii="Times New Roman" w:hAnsi="Times New Roman"/>
          <w:lang w:val="en-GB"/>
        </w:rPr>
        <w:t>A</w:t>
      </w:r>
      <w:r w:rsidR="00844DDC" w:rsidRPr="00145A97">
        <w:rPr>
          <w:rFonts w:ascii="Times New Roman" w:hAnsi="Times New Roman"/>
          <w:lang w:val="en-GB"/>
        </w:rPr>
        <w:t>mong CEE</w:t>
      </w:r>
      <w:r w:rsidR="002134D0" w:rsidRPr="00145A97">
        <w:rPr>
          <w:rFonts w:ascii="Times New Roman" w:hAnsi="Times New Roman"/>
          <w:lang w:val="en-GB"/>
        </w:rPr>
        <w:t xml:space="preserve"> countries</w:t>
      </w:r>
      <w:r w:rsidR="00844DDC" w:rsidRPr="00145A97">
        <w:rPr>
          <w:rFonts w:ascii="Times New Roman" w:hAnsi="Times New Roman"/>
          <w:lang w:val="en-GB"/>
        </w:rPr>
        <w:t>, a</w:t>
      </w:r>
      <w:r w:rsidR="00B84612" w:rsidRPr="00145A97">
        <w:rPr>
          <w:rFonts w:ascii="Times New Roman" w:hAnsi="Times New Roman"/>
          <w:lang w:val="en-GB"/>
        </w:rPr>
        <w:t xml:space="preserve">ctors from the </w:t>
      </w:r>
      <w:proofErr w:type="spellStart"/>
      <w:r w:rsidR="00A736D5" w:rsidRPr="00145A97">
        <w:rPr>
          <w:rFonts w:ascii="Times New Roman" w:hAnsi="Times New Roman"/>
          <w:lang w:val="en-GB"/>
        </w:rPr>
        <w:t>Visegrád</w:t>
      </w:r>
      <w:proofErr w:type="spellEnd"/>
      <w:r w:rsidR="00A736D5" w:rsidRPr="00145A97">
        <w:rPr>
          <w:rFonts w:ascii="Times New Roman" w:hAnsi="Times New Roman"/>
          <w:lang w:val="en-GB"/>
        </w:rPr>
        <w:t xml:space="preserve"> </w:t>
      </w:r>
      <w:r w:rsidR="00B84612" w:rsidRPr="00145A97">
        <w:rPr>
          <w:rFonts w:ascii="Times New Roman" w:hAnsi="Times New Roman"/>
          <w:lang w:val="en-GB"/>
        </w:rPr>
        <w:t xml:space="preserve">countries appear to have been most active, particularly those from Poland. Engagement of actors from the Baltic States appears to </w:t>
      </w:r>
      <w:r w:rsidR="00117D6A" w:rsidRPr="00145A97">
        <w:rPr>
          <w:rFonts w:ascii="Times New Roman" w:hAnsi="Times New Roman"/>
          <w:lang w:val="en-GB"/>
        </w:rPr>
        <w:t xml:space="preserve">be concentrated at </w:t>
      </w:r>
      <w:r w:rsidR="008A3C62" w:rsidRPr="00145A97">
        <w:rPr>
          <w:rFonts w:ascii="Times New Roman" w:hAnsi="Times New Roman"/>
          <w:lang w:val="en-GB"/>
        </w:rPr>
        <w:t xml:space="preserve">national </w:t>
      </w:r>
      <w:r w:rsidR="002134D0" w:rsidRPr="00145A97">
        <w:rPr>
          <w:rFonts w:ascii="Times New Roman" w:hAnsi="Times New Roman"/>
          <w:lang w:val="en-GB"/>
        </w:rPr>
        <w:t>and transnational levels. N</w:t>
      </w:r>
      <w:r w:rsidR="00B84612" w:rsidRPr="00145A97">
        <w:rPr>
          <w:rFonts w:ascii="Times New Roman" w:hAnsi="Times New Roman"/>
          <w:lang w:val="en-GB"/>
        </w:rPr>
        <w:t xml:space="preserve">o responses </w:t>
      </w:r>
      <w:r w:rsidR="002134D0" w:rsidRPr="00145A97">
        <w:rPr>
          <w:rFonts w:ascii="Times New Roman" w:hAnsi="Times New Roman"/>
          <w:lang w:val="en-GB"/>
        </w:rPr>
        <w:t xml:space="preserve">were </w:t>
      </w:r>
      <w:r w:rsidR="00B84612" w:rsidRPr="00145A97">
        <w:rPr>
          <w:rFonts w:ascii="Times New Roman" w:hAnsi="Times New Roman"/>
          <w:lang w:val="en-GB"/>
        </w:rPr>
        <w:t xml:space="preserve">received from any regional or local institutions, universities, research institutes </w:t>
      </w:r>
      <w:r w:rsidR="002134D0" w:rsidRPr="00145A97">
        <w:rPr>
          <w:rFonts w:ascii="Times New Roman" w:hAnsi="Times New Roman"/>
          <w:lang w:val="en-GB"/>
        </w:rPr>
        <w:t>or</w:t>
      </w:r>
      <w:r w:rsidR="00B84612" w:rsidRPr="00145A97">
        <w:rPr>
          <w:rFonts w:ascii="Times New Roman" w:hAnsi="Times New Roman"/>
          <w:lang w:val="en-GB"/>
        </w:rPr>
        <w:t xml:space="preserve"> consultancies</w:t>
      </w:r>
      <w:r w:rsidR="002134D0" w:rsidRPr="00145A97">
        <w:rPr>
          <w:rFonts w:ascii="Times New Roman" w:hAnsi="Times New Roman"/>
          <w:lang w:val="en-GB"/>
        </w:rPr>
        <w:t xml:space="preserve"> in the Baltic States</w:t>
      </w:r>
      <w:r w:rsidR="00C70989">
        <w:rPr>
          <w:rFonts w:ascii="Times New Roman" w:hAnsi="Times New Roman"/>
          <w:lang w:val="en-GB"/>
        </w:rPr>
        <w:t xml:space="preserve"> and i</w:t>
      </w:r>
      <w:r w:rsidR="00B84612" w:rsidRPr="00145A97">
        <w:rPr>
          <w:rFonts w:ascii="Times New Roman" w:hAnsi="Times New Roman"/>
          <w:lang w:val="en-GB"/>
        </w:rPr>
        <w:t xml:space="preserve">nterest groups involving Baltic actors also appear to have been less active. </w:t>
      </w:r>
      <w:r w:rsidR="00D6795F" w:rsidRPr="00145A97">
        <w:rPr>
          <w:rFonts w:ascii="Times New Roman" w:hAnsi="Times New Roman"/>
          <w:lang w:val="en-GB"/>
        </w:rPr>
        <w:t xml:space="preserve">Excluding </w:t>
      </w:r>
      <w:r w:rsidR="00B84612" w:rsidRPr="00145A97">
        <w:rPr>
          <w:rFonts w:ascii="Times New Roman" w:hAnsi="Times New Roman"/>
          <w:lang w:val="en-GB"/>
        </w:rPr>
        <w:t xml:space="preserve">those interest groups with a clear pan-European focus, Estonian actors participated in eight </w:t>
      </w:r>
      <w:r w:rsidR="00C70989">
        <w:rPr>
          <w:rFonts w:ascii="Times New Roman" w:hAnsi="Times New Roman"/>
          <w:lang w:val="en-GB"/>
        </w:rPr>
        <w:t xml:space="preserve">responding </w:t>
      </w:r>
      <w:r w:rsidR="00B84612" w:rsidRPr="00145A97">
        <w:rPr>
          <w:rFonts w:ascii="Times New Roman" w:hAnsi="Times New Roman"/>
          <w:lang w:val="en-GB"/>
        </w:rPr>
        <w:t xml:space="preserve">interest groups, Lithuanian actors in six groups and Latvian actors in only three groups. </w:t>
      </w:r>
      <w:r w:rsidR="007500EA" w:rsidRPr="00145A97">
        <w:rPr>
          <w:rFonts w:ascii="Times New Roman" w:hAnsi="Times New Roman"/>
          <w:lang w:val="en-GB"/>
        </w:rPr>
        <w:t xml:space="preserve">The responses to the Green Paper from </w:t>
      </w:r>
      <w:r w:rsidR="00602FC1" w:rsidRPr="00145A97">
        <w:rPr>
          <w:rFonts w:ascii="Times New Roman" w:hAnsi="Times New Roman"/>
          <w:lang w:val="en-GB"/>
        </w:rPr>
        <w:t xml:space="preserve">state institutions in the three countries </w:t>
      </w:r>
      <w:r w:rsidR="007500EA" w:rsidRPr="00145A97">
        <w:rPr>
          <w:rFonts w:ascii="Times New Roman" w:hAnsi="Times New Roman"/>
          <w:lang w:val="en-GB"/>
        </w:rPr>
        <w:lastRenderedPageBreak/>
        <w:t xml:space="preserve">and responses from </w:t>
      </w:r>
      <w:r w:rsidR="00602FC1" w:rsidRPr="00145A97">
        <w:rPr>
          <w:rFonts w:ascii="Times New Roman" w:hAnsi="Times New Roman"/>
          <w:lang w:val="en-GB"/>
        </w:rPr>
        <w:t xml:space="preserve">selected </w:t>
      </w:r>
      <w:r w:rsidR="007500EA" w:rsidRPr="00145A97">
        <w:rPr>
          <w:rFonts w:ascii="Times New Roman" w:hAnsi="Times New Roman"/>
          <w:lang w:val="en-GB"/>
        </w:rPr>
        <w:t xml:space="preserve">interest groups will now be considered in more detail. </w:t>
      </w:r>
    </w:p>
    <w:p w:rsidR="00CB673D" w:rsidRDefault="00CB673D" w:rsidP="006022F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outlineLvl w:val="0"/>
        <w:rPr>
          <w:b/>
          <w:i/>
          <w:lang w:val="en-GB"/>
        </w:rPr>
      </w:pPr>
    </w:p>
    <w:p w:rsidR="00B84612" w:rsidRPr="00145A97" w:rsidRDefault="00602FC1" w:rsidP="006022F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outlineLvl w:val="0"/>
        <w:rPr>
          <w:lang w:val="en-GB"/>
        </w:rPr>
      </w:pPr>
      <w:r w:rsidRPr="00145A97">
        <w:rPr>
          <w:b/>
          <w:i/>
          <w:lang w:val="en-GB"/>
        </w:rPr>
        <w:t>Responses from state institutions</w:t>
      </w:r>
    </w:p>
    <w:p w:rsidR="00B84612" w:rsidRPr="00145A97" w:rsidRDefault="00B84612" w:rsidP="00FC67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shd w:val="clear" w:color="auto" w:fill="FFFF00"/>
          <w:lang w:val="en-GB"/>
        </w:rPr>
      </w:pPr>
      <w:r w:rsidRPr="00145A97">
        <w:rPr>
          <w:lang w:val="en-GB"/>
        </w:rPr>
        <w:t xml:space="preserve">The evidence from the responses to the Green Paper and from the </w:t>
      </w:r>
      <w:r w:rsidR="004F103E" w:rsidRPr="00145A97">
        <w:rPr>
          <w:lang w:val="en-GB"/>
        </w:rPr>
        <w:t xml:space="preserve">stakeholder </w:t>
      </w:r>
      <w:r w:rsidRPr="00145A97">
        <w:rPr>
          <w:lang w:val="en-GB"/>
        </w:rPr>
        <w:t xml:space="preserve">interviews suggests that the territorial cohesion </w:t>
      </w:r>
      <w:r w:rsidR="001238D3" w:rsidRPr="00145A97">
        <w:rPr>
          <w:lang w:val="en-GB"/>
        </w:rPr>
        <w:t xml:space="preserve">discourse </w:t>
      </w:r>
      <w:r w:rsidRPr="00145A97">
        <w:rPr>
          <w:lang w:val="en-GB"/>
        </w:rPr>
        <w:t>in the Baltic</w:t>
      </w:r>
      <w:r w:rsidR="00936206" w:rsidRPr="00145A97">
        <w:rPr>
          <w:lang w:val="en-GB"/>
        </w:rPr>
        <w:t xml:space="preserve"> States</w:t>
      </w:r>
      <w:r w:rsidRPr="00145A97">
        <w:rPr>
          <w:lang w:val="en-GB"/>
        </w:rPr>
        <w:t xml:space="preserve"> is primarily restricted to </w:t>
      </w:r>
      <w:r w:rsidR="00602FC1" w:rsidRPr="00145A97">
        <w:rPr>
          <w:lang w:val="en-GB"/>
        </w:rPr>
        <w:t xml:space="preserve">expert communities concentrated in national </w:t>
      </w:r>
      <w:r w:rsidRPr="00145A97">
        <w:rPr>
          <w:lang w:val="en-GB"/>
        </w:rPr>
        <w:t>level</w:t>
      </w:r>
      <w:r w:rsidR="001238D3" w:rsidRPr="00145A97">
        <w:rPr>
          <w:lang w:val="en-GB"/>
        </w:rPr>
        <w:t xml:space="preserve"> institutions</w:t>
      </w:r>
      <w:r w:rsidRPr="00145A97">
        <w:rPr>
          <w:lang w:val="en-GB"/>
        </w:rPr>
        <w:t xml:space="preserve">. The ministries responsible for spatial planning and regional development submitted responses on behalf of the Estonian and Latvian governments and the Ministry of Finance submitted the Lithuanian response. </w:t>
      </w:r>
      <w:r w:rsidR="00602FC1" w:rsidRPr="00145A97">
        <w:rPr>
          <w:lang w:val="en-GB"/>
        </w:rPr>
        <w:t xml:space="preserve">No submissions were made by sub-national state institutions. </w:t>
      </w:r>
      <w:r w:rsidR="00602FC1" w:rsidRPr="00DD5EBE">
        <w:rPr>
          <w:lang w:val="en-GB"/>
        </w:rPr>
        <w:t>T</w:t>
      </w:r>
      <w:r w:rsidR="005F6CED" w:rsidRPr="00DD5EBE">
        <w:rPr>
          <w:lang w:val="en-GB"/>
        </w:rPr>
        <w:t xml:space="preserve">he </w:t>
      </w:r>
      <w:r w:rsidRPr="00DD5EBE">
        <w:rPr>
          <w:lang w:val="en-GB"/>
        </w:rPr>
        <w:t xml:space="preserve">strategic level and abstract nature of territorial cohesion means such discourse is far removed from every day work </w:t>
      </w:r>
      <w:r w:rsidR="005F6CED" w:rsidRPr="00DD5EBE">
        <w:rPr>
          <w:lang w:val="en-GB"/>
        </w:rPr>
        <w:t xml:space="preserve">of </w:t>
      </w:r>
      <w:r w:rsidRPr="00DD5EBE">
        <w:rPr>
          <w:lang w:val="en-GB"/>
        </w:rPr>
        <w:t>many regional and local actors</w:t>
      </w:r>
      <w:r w:rsidR="006D2522" w:rsidRPr="00DD5EBE">
        <w:rPr>
          <w:lang w:val="en-GB"/>
        </w:rPr>
        <w:t xml:space="preserve"> possibly reducing </w:t>
      </w:r>
      <w:r w:rsidR="00602FC1" w:rsidRPr="00DD5EBE">
        <w:rPr>
          <w:lang w:val="en-GB"/>
        </w:rPr>
        <w:t>the perceived relevance of the debate</w:t>
      </w:r>
      <w:r w:rsidR="00FC6711" w:rsidRPr="00DD5EBE">
        <w:rPr>
          <w:lang w:val="en-GB"/>
        </w:rPr>
        <w:t xml:space="preserve">. To address this issue a National Co-ordination Group has been established in Latvia to disseminate information and translate debates </w:t>
      </w:r>
      <w:r w:rsidRPr="00DD5EBE">
        <w:rPr>
          <w:lang w:val="en-GB"/>
        </w:rPr>
        <w:t xml:space="preserve">into a form </w:t>
      </w:r>
      <w:r w:rsidR="00FC6711" w:rsidRPr="00DD5EBE">
        <w:rPr>
          <w:lang w:val="en-GB"/>
        </w:rPr>
        <w:t xml:space="preserve">to </w:t>
      </w:r>
      <w:r w:rsidR="009E6BA7" w:rsidRPr="00DD5EBE">
        <w:rPr>
          <w:lang w:val="en-GB"/>
        </w:rPr>
        <w:t xml:space="preserve">which </w:t>
      </w:r>
      <w:r w:rsidRPr="00DD5EBE">
        <w:rPr>
          <w:lang w:val="en-GB"/>
        </w:rPr>
        <w:t>actors at lower territorial levels can relate.</w:t>
      </w:r>
      <w:r w:rsidRPr="00145A97">
        <w:rPr>
          <w:lang w:val="en-GB"/>
        </w:rPr>
        <w:t xml:space="preserve"> </w:t>
      </w:r>
      <w:r w:rsidR="005F6CED" w:rsidRPr="00145A97">
        <w:rPr>
          <w:lang w:val="en-GB"/>
        </w:rPr>
        <w:t xml:space="preserve">The </w:t>
      </w:r>
      <w:r w:rsidR="00602FC1" w:rsidRPr="00145A97">
        <w:rPr>
          <w:lang w:val="en-GB"/>
        </w:rPr>
        <w:t xml:space="preserve">culture of pragmatism is </w:t>
      </w:r>
      <w:r w:rsidR="00FC6711">
        <w:rPr>
          <w:lang w:val="en-GB"/>
        </w:rPr>
        <w:t xml:space="preserve">also demonstrated </w:t>
      </w:r>
      <w:r w:rsidR="00602FC1" w:rsidRPr="00145A97">
        <w:rPr>
          <w:lang w:val="en-GB"/>
        </w:rPr>
        <w:t xml:space="preserve">by the </w:t>
      </w:r>
      <w:r w:rsidR="007A1E20">
        <w:rPr>
          <w:lang w:val="en-GB"/>
        </w:rPr>
        <w:t>Latvian and Estonian</w:t>
      </w:r>
      <w:r w:rsidRPr="00145A97">
        <w:rPr>
          <w:lang w:val="en-GB"/>
        </w:rPr>
        <w:t xml:space="preserve"> associations for spatial planners</w:t>
      </w:r>
      <w:r w:rsidR="009E6BA7" w:rsidRPr="00145A97">
        <w:rPr>
          <w:lang w:val="en-GB"/>
        </w:rPr>
        <w:t>,</w:t>
      </w:r>
      <w:r w:rsidRPr="00145A97">
        <w:rPr>
          <w:lang w:val="en-GB"/>
        </w:rPr>
        <w:t xml:space="preserve"> </w:t>
      </w:r>
      <w:r w:rsidR="00602FC1" w:rsidRPr="00145A97">
        <w:rPr>
          <w:lang w:val="en-GB"/>
        </w:rPr>
        <w:t>who focus primarily on domestic issues</w:t>
      </w:r>
      <w:r w:rsidR="004F103E">
        <w:rPr>
          <w:lang w:val="en-GB"/>
        </w:rPr>
        <w:t xml:space="preserve">, </w:t>
      </w:r>
      <w:r w:rsidR="00602FC1" w:rsidRPr="00145A97">
        <w:rPr>
          <w:lang w:val="en-GB"/>
        </w:rPr>
        <w:t xml:space="preserve">have </w:t>
      </w:r>
      <w:r w:rsidR="004F103E">
        <w:rPr>
          <w:lang w:val="en-GB"/>
        </w:rPr>
        <w:t>yet to</w:t>
      </w:r>
      <w:r w:rsidR="00602FC1" w:rsidRPr="00145A97">
        <w:rPr>
          <w:lang w:val="en-GB"/>
        </w:rPr>
        <w:t xml:space="preserve"> formally discuss territorial cohesion</w:t>
      </w:r>
      <w:r w:rsidR="004F103E">
        <w:rPr>
          <w:lang w:val="en-GB"/>
        </w:rPr>
        <w:t xml:space="preserve"> and did not </w:t>
      </w:r>
      <w:r w:rsidR="005F6CED" w:rsidRPr="00145A97">
        <w:rPr>
          <w:lang w:val="en-GB"/>
        </w:rPr>
        <w:t>respond</w:t>
      </w:r>
      <w:r w:rsidRPr="00145A97">
        <w:rPr>
          <w:lang w:val="en-GB"/>
        </w:rPr>
        <w:t xml:space="preserve"> to the Green Paper.</w:t>
      </w:r>
    </w:p>
    <w:p w:rsidR="00151303" w:rsidRPr="00145A97" w:rsidRDefault="00B84612" w:rsidP="0015130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An analysis of the three national responses reveals commonalities and differences in relation to interpretations and perceived implications of territorial cohesion</w:t>
      </w:r>
      <w:r w:rsidR="009E6BA7" w:rsidRPr="00145A97">
        <w:rPr>
          <w:lang w:val="en-GB"/>
        </w:rPr>
        <w:t xml:space="preserve"> (see t</w:t>
      </w:r>
      <w:r w:rsidR="00936206" w:rsidRPr="00145A97">
        <w:rPr>
          <w:lang w:val="en-GB"/>
        </w:rPr>
        <w:t xml:space="preserve">able </w:t>
      </w:r>
      <w:r w:rsidR="00D31807" w:rsidRPr="00145A97">
        <w:rPr>
          <w:lang w:val="en-GB"/>
        </w:rPr>
        <w:t>3</w:t>
      </w:r>
      <w:r w:rsidR="009E6BA7" w:rsidRPr="00145A97">
        <w:rPr>
          <w:lang w:val="en-GB"/>
        </w:rPr>
        <w:t xml:space="preserve"> for summary)</w:t>
      </w:r>
      <w:r w:rsidRPr="00145A97">
        <w:rPr>
          <w:lang w:val="en-GB"/>
        </w:rPr>
        <w:t xml:space="preserve">. </w:t>
      </w:r>
      <w:r w:rsidR="005F6CED" w:rsidRPr="00145A97">
        <w:rPr>
          <w:lang w:val="en-GB"/>
        </w:rPr>
        <w:t xml:space="preserve">The Latvian and Lithuanian responses adopt a structured approach </w:t>
      </w:r>
      <w:r w:rsidR="007A1E20">
        <w:rPr>
          <w:lang w:val="en-GB"/>
        </w:rPr>
        <w:t>addressing the questions in turn though the</w:t>
      </w:r>
      <w:r w:rsidR="005F6CED" w:rsidRPr="00145A97">
        <w:rPr>
          <w:lang w:val="en-GB"/>
        </w:rPr>
        <w:t xml:space="preserve"> Estonian response follows a broader structure. All three demonstrate a positive attitude to the concept, which might be expected </w:t>
      </w:r>
      <w:r w:rsidR="009E6BA7" w:rsidRPr="00145A97">
        <w:rPr>
          <w:lang w:val="en-GB"/>
        </w:rPr>
        <w:t xml:space="preserve">from </w:t>
      </w:r>
      <w:r w:rsidR="005F6CED" w:rsidRPr="00145A97">
        <w:rPr>
          <w:lang w:val="en-GB"/>
        </w:rPr>
        <w:t xml:space="preserve">major beneficiaries of </w:t>
      </w:r>
      <w:r w:rsidR="00B2299B" w:rsidRPr="00145A97">
        <w:rPr>
          <w:lang w:val="en-GB"/>
        </w:rPr>
        <w:t xml:space="preserve">EU </w:t>
      </w:r>
      <w:r w:rsidR="005F6CED" w:rsidRPr="00145A97">
        <w:rPr>
          <w:lang w:val="en-GB"/>
        </w:rPr>
        <w:t xml:space="preserve">cohesion </w:t>
      </w:r>
      <w:r w:rsidR="00B2299B" w:rsidRPr="00145A97">
        <w:rPr>
          <w:lang w:val="en-GB"/>
        </w:rPr>
        <w:t>policy</w:t>
      </w:r>
      <w:r w:rsidR="005F6CED" w:rsidRPr="00145A97">
        <w:rPr>
          <w:lang w:val="en-GB"/>
        </w:rPr>
        <w:t>. The general tone of the responses reflects some of the key challenges facing the Baltic nations</w:t>
      </w:r>
      <w:r w:rsidR="009E6BA7" w:rsidRPr="00145A97">
        <w:rPr>
          <w:lang w:val="en-GB"/>
        </w:rPr>
        <w:t>,</w:t>
      </w:r>
      <w:r w:rsidR="005F6CED" w:rsidRPr="00145A97">
        <w:rPr>
          <w:lang w:val="en-GB"/>
        </w:rPr>
        <w:t xml:space="preserve"> including low levels of prosperity, negative demographic trends and concerns over access to services and employment. All three responses identify a range of themes encapsulated </w:t>
      </w:r>
      <w:r w:rsidR="007A1E20">
        <w:rPr>
          <w:lang w:val="en-GB"/>
        </w:rPr>
        <w:t>by</w:t>
      </w:r>
      <w:r w:rsidR="005F6CED" w:rsidRPr="00145A97">
        <w:rPr>
          <w:lang w:val="en-GB"/>
        </w:rPr>
        <w:t xml:space="preserve"> the concept rather than putting forward a specific detailed definition. Territorial co-operation, the co-ordination of sector policies, the integration of the territorial dimensions of national and EU </w:t>
      </w:r>
      <w:r w:rsidR="005F6CED" w:rsidRPr="00145A97">
        <w:rPr>
          <w:lang w:val="en-GB"/>
        </w:rPr>
        <w:lastRenderedPageBreak/>
        <w:t>policies</w:t>
      </w:r>
      <w:r w:rsidR="009E6BA7" w:rsidRPr="00145A97">
        <w:rPr>
          <w:lang w:val="en-GB"/>
        </w:rPr>
        <w:t>,</w:t>
      </w:r>
      <w:r w:rsidR="005F6CED" w:rsidRPr="00145A97">
        <w:rPr>
          <w:lang w:val="en-GB"/>
        </w:rPr>
        <w:t xml:space="preserve"> and the harnessing of specific territorial characteristics are recurring themes.</w:t>
      </w:r>
      <w:r w:rsidR="007A1E20">
        <w:rPr>
          <w:lang w:val="en-GB"/>
        </w:rPr>
        <w:t xml:space="preserve"> </w:t>
      </w:r>
      <w:r w:rsidR="00FC6711">
        <w:rPr>
          <w:lang w:val="en-GB"/>
        </w:rPr>
        <w:t>Such</w:t>
      </w:r>
      <w:r w:rsidR="007A1E20">
        <w:rPr>
          <w:lang w:val="en-GB"/>
        </w:rPr>
        <w:t xml:space="preserve"> similarities may also imply </w:t>
      </w:r>
      <w:r w:rsidR="0018644F" w:rsidRPr="00145A97">
        <w:rPr>
          <w:lang w:val="en-GB"/>
        </w:rPr>
        <w:t xml:space="preserve">interaction between </w:t>
      </w:r>
      <w:r w:rsidR="007A1E20">
        <w:rPr>
          <w:lang w:val="en-GB"/>
        </w:rPr>
        <w:t xml:space="preserve">actors and </w:t>
      </w:r>
      <w:r w:rsidR="0018644F" w:rsidRPr="00145A97">
        <w:rPr>
          <w:lang w:val="en-GB"/>
        </w:rPr>
        <w:t xml:space="preserve">knowledge communities </w:t>
      </w:r>
      <w:r w:rsidR="007A1E20">
        <w:rPr>
          <w:lang w:val="en-GB"/>
        </w:rPr>
        <w:t>debating the issue.</w:t>
      </w:r>
      <w:r w:rsidR="0018644F" w:rsidRPr="00145A97">
        <w:rPr>
          <w:lang w:val="en-GB"/>
        </w:rPr>
        <w:t xml:space="preserve"> </w:t>
      </w:r>
    </w:p>
    <w:p w:rsidR="001305E6" w:rsidRPr="00145A97" w:rsidRDefault="00151303"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highlight w:val="yellow"/>
          <w:lang w:val="en-GB"/>
        </w:rPr>
        <w:t xml:space="preserve">[Insert Table </w:t>
      </w:r>
      <w:r w:rsidR="00D31807" w:rsidRPr="00145A97">
        <w:rPr>
          <w:highlight w:val="yellow"/>
          <w:lang w:val="en-GB"/>
        </w:rPr>
        <w:t>3</w:t>
      </w:r>
      <w:r w:rsidRPr="00145A97">
        <w:rPr>
          <w:highlight w:val="yellow"/>
          <w:lang w:val="en-GB"/>
        </w:rPr>
        <w:t xml:space="preserve"> around here]</w:t>
      </w:r>
    </w:p>
    <w:p w:rsidR="00B84612" w:rsidRPr="00145A97" w:rsidRDefault="00B84612"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There is a strong affinity with the equity based focus of territorial cohesion that has its roots in the French </w:t>
      </w:r>
      <w:proofErr w:type="spellStart"/>
      <w:r w:rsidRPr="00145A97">
        <w:rPr>
          <w:i/>
          <w:lang w:val="en-GB"/>
        </w:rPr>
        <w:t>amenagement</w:t>
      </w:r>
      <w:proofErr w:type="spellEnd"/>
      <w:r w:rsidRPr="00145A97">
        <w:rPr>
          <w:i/>
          <w:lang w:val="en-GB"/>
        </w:rPr>
        <w:t xml:space="preserve"> du </w:t>
      </w:r>
      <w:proofErr w:type="spellStart"/>
      <w:r w:rsidRPr="00145A97">
        <w:rPr>
          <w:i/>
          <w:lang w:val="en-GB"/>
        </w:rPr>
        <w:t>territoire</w:t>
      </w:r>
      <w:proofErr w:type="spellEnd"/>
      <w:r w:rsidRPr="00145A97">
        <w:rPr>
          <w:lang w:val="en-GB"/>
        </w:rPr>
        <w:t xml:space="preserve"> and </w:t>
      </w:r>
      <w:r w:rsidR="00F63DFA" w:rsidRPr="00145A97">
        <w:rPr>
          <w:lang w:val="en-GB"/>
        </w:rPr>
        <w:t xml:space="preserve">an emphasis on </w:t>
      </w:r>
      <w:r w:rsidRPr="00145A97">
        <w:rPr>
          <w:lang w:val="en-GB"/>
        </w:rPr>
        <w:t>reduction of social and economic disparities. The Latvian discussion of an appropriate definition is the broadest of the three and demonstrates familiarity with the relevant EU discourses and terminology</w:t>
      </w:r>
      <w:r w:rsidR="009E6BA7" w:rsidRPr="00145A97">
        <w:rPr>
          <w:lang w:val="en-GB"/>
        </w:rPr>
        <w:t>. It</w:t>
      </w:r>
      <w:r w:rsidRPr="00145A97">
        <w:rPr>
          <w:lang w:val="en-GB"/>
        </w:rPr>
        <w:t xml:space="preserve"> refer</w:t>
      </w:r>
      <w:r w:rsidR="009E6BA7" w:rsidRPr="00145A97">
        <w:rPr>
          <w:lang w:val="en-GB"/>
        </w:rPr>
        <w:t>s</w:t>
      </w:r>
      <w:r w:rsidRPr="00145A97">
        <w:rPr>
          <w:lang w:val="en-GB"/>
        </w:rPr>
        <w:t xml:space="preserve"> to territorial cohesion as ‘horizontal guidelines for sustainable and coordinated development of all EU regions oriented towards provision of equal standards of quality of life and access to basic services for citizens by paying special attention to the less developed regions to enhance their competitiveness’ (MRDLG 2009: 1). The Estonian response refers to the need to ensure ‘fair opportunities in terms of living conditions and quality of life’, compared to the Latvian emphasis on equality</w:t>
      </w:r>
      <w:r w:rsidR="001238D3" w:rsidRPr="00145A97">
        <w:rPr>
          <w:lang w:val="en-GB"/>
        </w:rPr>
        <w:t>. This</w:t>
      </w:r>
      <w:r w:rsidRPr="00145A97">
        <w:rPr>
          <w:lang w:val="en-GB"/>
        </w:rPr>
        <w:t xml:space="preserve"> </w:t>
      </w:r>
      <w:r w:rsidR="00C66271" w:rsidRPr="00145A97">
        <w:rPr>
          <w:lang w:val="en-GB"/>
        </w:rPr>
        <w:t xml:space="preserve">may </w:t>
      </w:r>
      <w:r w:rsidR="001238D3" w:rsidRPr="00145A97">
        <w:rPr>
          <w:lang w:val="en-GB"/>
        </w:rPr>
        <w:t>impl</w:t>
      </w:r>
      <w:r w:rsidR="00C66271" w:rsidRPr="00145A97">
        <w:rPr>
          <w:lang w:val="en-GB"/>
        </w:rPr>
        <w:t>y</w:t>
      </w:r>
      <w:r w:rsidR="001238D3" w:rsidRPr="00145A97">
        <w:rPr>
          <w:lang w:val="en-GB"/>
        </w:rPr>
        <w:t xml:space="preserve"> </w:t>
      </w:r>
      <w:r w:rsidRPr="00145A97">
        <w:rPr>
          <w:lang w:val="en-GB"/>
        </w:rPr>
        <w:t xml:space="preserve">recognition by the Estonians of the conflict between much spatial planning rhetoric </w:t>
      </w:r>
      <w:r w:rsidR="009E6BA7" w:rsidRPr="00145A97">
        <w:rPr>
          <w:lang w:val="en-GB"/>
        </w:rPr>
        <w:t xml:space="preserve">on </w:t>
      </w:r>
      <w:r w:rsidRPr="00145A97">
        <w:rPr>
          <w:lang w:val="en-GB"/>
        </w:rPr>
        <w:t xml:space="preserve">the importance of localising service provision and the reality of increasing centralisation. </w:t>
      </w:r>
    </w:p>
    <w:p w:rsidR="00B84612" w:rsidRPr="00145A97" w:rsidRDefault="00B84612"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In relation to the scale and scope of territorial action, all three responses </w:t>
      </w:r>
      <w:r w:rsidR="00687458">
        <w:rPr>
          <w:lang w:val="en-GB"/>
        </w:rPr>
        <w:t>emphasise</w:t>
      </w:r>
      <w:r w:rsidRPr="00145A97">
        <w:rPr>
          <w:lang w:val="en-GB"/>
        </w:rPr>
        <w:t xml:space="preserve"> the importance of multi-level governance, effective vertical and horizontal integration and the principle of subsidiarity. </w:t>
      </w:r>
      <w:r w:rsidR="0018644F" w:rsidRPr="00145A97">
        <w:rPr>
          <w:lang w:val="en-GB"/>
        </w:rPr>
        <w:t xml:space="preserve">Though this implies a degree of common interests, there is also some suggestion of competing agendas. </w:t>
      </w:r>
      <w:r w:rsidRPr="00145A97">
        <w:rPr>
          <w:lang w:val="en-GB"/>
        </w:rPr>
        <w:t>The responses envisage a strategic role for the EU with the Estonian and Lithuanian responses emphasising the setting of objectives and priorities, the co-ordination of implementation, evaluation and the identification of policy gaps</w:t>
      </w:r>
      <w:r w:rsidR="001238D3" w:rsidRPr="00145A97">
        <w:rPr>
          <w:lang w:val="en-GB"/>
        </w:rPr>
        <w:t xml:space="preserve">. </w:t>
      </w:r>
      <w:r w:rsidRPr="00145A97">
        <w:rPr>
          <w:lang w:val="en-GB"/>
        </w:rPr>
        <w:t>The Latvian response defines the EU’s primary role as the promotion of territorial cohesion leaving individual Member</w:t>
      </w:r>
      <w:r w:rsidR="004F103E">
        <w:rPr>
          <w:lang w:val="en-GB"/>
        </w:rPr>
        <w:t xml:space="preserve"> States to apply the principle</w:t>
      </w:r>
      <w:r w:rsidR="00687458">
        <w:rPr>
          <w:lang w:val="en-GB"/>
        </w:rPr>
        <w:t xml:space="preserve"> and identify t</w:t>
      </w:r>
      <w:r w:rsidR="004F103E">
        <w:rPr>
          <w:lang w:val="en-GB"/>
        </w:rPr>
        <w:t xml:space="preserve">he </w:t>
      </w:r>
      <w:r w:rsidR="008612E6" w:rsidRPr="00145A97">
        <w:rPr>
          <w:lang w:val="en-GB"/>
        </w:rPr>
        <w:t xml:space="preserve">Latvian </w:t>
      </w:r>
      <w:r w:rsidRPr="00145A97">
        <w:rPr>
          <w:lang w:val="en-GB"/>
        </w:rPr>
        <w:t xml:space="preserve">territorial development index as an example of how territorial cohesion is integrated into national policy. The Estonian response emphasises </w:t>
      </w:r>
      <w:r w:rsidR="009E6BA7" w:rsidRPr="00145A97">
        <w:rPr>
          <w:lang w:val="en-GB"/>
        </w:rPr>
        <w:t xml:space="preserve">the </w:t>
      </w:r>
      <w:r w:rsidRPr="00145A97">
        <w:rPr>
          <w:lang w:val="en-GB"/>
        </w:rPr>
        <w:t>creat</w:t>
      </w:r>
      <w:r w:rsidR="009E6BA7" w:rsidRPr="00145A97">
        <w:rPr>
          <w:lang w:val="en-GB"/>
        </w:rPr>
        <w:t>ion of</w:t>
      </w:r>
      <w:r w:rsidRPr="00145A97">
        <w:rPr>
          <w:lang w:val="en-GB"/>
        </w:rPr>
        <w:t xml:space="preserve"> European added value </w:t>
      </w:r>
      <w:r w:rsidR="009E6BA7" w:rsidRPr="00145A97">
        <w:rPr>
          <w:lang w:val="en-GB"/>
        </w:rPr>
        <w:t xml:space="preserve">through a </w:t>
      </w:r>
      <w:r w:rsidRPr="00145A97">
        <w:rPr>
          <w:lang w:val="en-GB"/>
        </w:rPr>
        <w:t xml:space="preserve">focus on </w:t>
      </w:r>
      <w:r w:rsidR="009E6BA7" w:rsidRPr="00145A97">
        <w:rPr>
          <w:lang w:val="en-GB"/>
        </w:rPr>
        <w:t xml:space="preserve">the </w:t>
      </w:r>
      <w:r w:rsidRPr="00145A97">
        <w:rPr>
          <w:lang w:val="en-GB"/>
        </w:rPr>
        <w:t xml:space="preserve">specific </w:t>
      </w:r>
      <w:r w:rsidR="009E6BA7" w:rsidRPr="00145A97">
        <w:rPr>
          <w:lang w:val="en-GB"/>
        </w:rPr>
        <w:t xml:space="preserve">territorial </w:t>
      </w:r>
      <w:r w:rsidR="00B61B72" w:rsidRPr="00145A97">
        <w:rPr>
          <w:lang w:val="en-GB"/>
        </w:rPr>
        <w:t>potential</w:t>
      </w:r>
      <w:r w:rsidR="009E6BA7" w:rsidRPr="00145A97">
        <w:rPr>
          <w:lang w:val="en-GB"/>
        </w:rPr>
        <w:t xml:space="preserve"> of each region</w:t>
      </w:r>
      <w:r w:rsidRPr="00145A97">
        <w:rPr>
          <w:lang w:val="en-GB"/>
        </w:rPr>
        <w:t xml:space="preserve">. None of the responses support the idea that areas with specific geographical features require special policy </w:t>
      </w:r>
      <w:r w:rsidRPr="00145A97">
        <w:rPr>
          <w:lang w:val="en-GB"/>
        </w:rPr>
        <w:lastRenderedPageBreak/>
        <w:t>measures</w:t>
      </w:r>
      <w:r w:rsidR="004F103E">
        <w:rPr>
          <w:lang w:val="en-GB"/>
        </w:rPr>
        <w:t>, though</w:t>
      </w:r>
      <w:r w:rsidRPr="00145A97">
        <w:rPr>
          <w:lang w:val="en-GB"/>
        </w:rPr>
        <w:t xml:space="preserve"> this conflicts with the agendas of some of the interest groups discussed in the next section. The</w:t>
      </w:r>
      <w:r w:rsidR="0018644F" w:rsidRPr="00145A97">
        <w:rPr>
          <w:lang w:val="en-GB"/>
        </w:rPr>
        <w:t xml:space="preserve"> responses examined here </w:t>
      </w:r>
      <w:r w:rsidRPr="00145A97">
        <w:rPr>
          <w:lang w:val="en-GB"/>
        </w:rPr>
        <w:t>reflect the challenges facing the nation as a whole</w:t>
      </w:r>
      <w:r w:rsidR="004F103E">
        <w:rPr>
          <w:lang w:val="en-GB"/>
        </w:rPr>
        <w:t xml:space="preserve"> and demonstrate</w:t>
      </w:r>
      <w:r w:rsidR="00BA41D2" w:rsidRPr="00145A97">
        <w:rPr>
          <w:lang w:val="en-GB"/>
        </w:rPr>
        <w:t xml:space="preserve"> pragmatic motivations for identifying </w:t>
      </w:r>
      <w:r w:rsidRPr="00145A97">
        <w:rPr>
          <w:lang w:val="en-GB"/>
        </w:rPr>
        <w:t xml:space="preserve">social and economic characteristics as the crucial factor when considering </w:t>
      </w:r>
      <w:r w:rsidR="009E6BA7" w:rsidRPr="00145A97">
        <w:rPr>
          <w:lang w:val="en-GB"/>
        </w:rPr>
        <w:t xml:space="preserve">national </w:t>
      </w:r>
      <w:r w:rsidRPr="00145A97">
        <w:rPr>
          <w:lang w:val="en-GB"/>
        </w:rPr>
        <w:t xml:space="preserve">policy and funding. </w:t>
      </w:r>
    </w:p>
    <w:p w:rsidR="00306653" w:rsidRPr="00145A97" w:rsidRDefault="004F103E"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Pr>
          <w:lang w:val="en-GB"/>
        </w:rPr>
        <w:t>M</w:t>
      </w:r>
      <w:r w:rsidR="00B84612" w:rsidRPr="00145A97">
        <w:rPr>
          <w:lang w:val="en-GB"/>
        </w:rPr>
        <w:t xml:space="preserve">uch attention </w:t>
      </w:r>
      <w:r>
        <w:rPr>
          <w:lang w:val="en-GB"/>
        </w:rPr>
        <w:t xml:space="preserve">is </w:t>
      </w:r>
      <w:r w:rsidR="00B84612" w:rsidRPr="00145A97">
        <w:rPr>
          <w:lang w:val="en-GB"/>
        </w:rPr>
        <w:t xml:space="preserve">given to governance issues particularly in relation to </w:t>
      </w:r>
      <w:r w:rsidR="00016045" w:rsidRPr="00145A97">
        <w:rPr>
          <w:lang w:val="en-GB"/>
        </w:rPr>
        <w:t xml:space="preserve">horizontal and vertical </w:t>
      </w:r>
      <w:r w:rsidR="00B84612" w:rsidRPr="00145A97">
        <w:rPr>
          <w:lang w:val="en-GB"/>
        </w:rPr>
        <w:t>co-operation and policy co-ordination</w:t>
      </w:r>
      <w:r>
        <w:rPr>
          <w:lang w:val="en-GB"/>
        </w:rPr>
        <w:t>, though</w:t>
      </w:r>
      <w:r w:rsidR="002E0432" w:rsidRPr="00145A97">
        <w:rPr>
          <w:lang w:val="en-GB"/>
        </w:rPr>
        <w:t xml:space="preserve"> recent reforms and ongoing uncertainty about the sub-national levels of governance </w:t>
      </w:r>
      <w:r>
        <w:rPr>
          <w:lang w:val="en-GB"/>
        </w:rPr>
        <w:t>are</w:t>
      </w:r>
      <w:r w:rsidR="002E0432" w:rsidRPr="00145A97">
        <w:rPr>
          <w:lang w:val="en-GB"/>
        </w:rPr>
        <w:t xml:space="preserve"> not conducive to the consolidation of </w:t>
      </w:r>
      <w:r w:rsidR="00687458">
        <w:rPr>
          <w:lang w:val="en-GB"/>
        </w:rPr>
        <w:t>governance</w:t>
      </w:r>
      <w:r w:rsidR="008612E6" w:rsidRPr="00145A97">
        <w:rPr>
          <w:lang w:val="en-GB"/>
        </w:rPr>
        <w:t xml:space="preserve"> networks</w:t>
      </w:r>
      <w:r w:rsidR="002E0432" w:rsidRPr="00145A97">
        <w:rPr>
          <w:lang w:val="en-GB"/>
        </w:rPr>
        <w:t xml:space="preserve">. </w:t>
      </w:r>
      <w:r w:rsidR="00BA41D2" w:rsidRPr="00145A97">
        <w:rPr>
          <w:lang w:val="en-GB"/>
        </w:rPr>
        <w:t>All</w:t>
      </w:r>
      <w:r w:rsidR="00B84612" w:rsidRPr="00145A97">
        <w:rPr>
          <w:lang w:val="en-GB"/>
        </w:rPr>
        <w:t xml:space="preserve"> responses </w:t>
      </w:r>
      <w:r w:rsidR="00BA41D2" w:rsidRPr="00145A97">
        <w:rPr>
          <w:lang w:val="en-GB"/>
        </w:rPr>
        <w:t xml:space="preserve">(including those from interest groups discussed in the next section) </w:t>
      </w:r>
      <w:r w:rsidR="00B84612" w:rsidRPr="00145A97">
        <w:rPr>
          <w:lang w:val="en-GB"/>
        </w:rPr>
        <w:t xml:space="preserve">emphasise the importance </w:t>
      </w:r>
      <w:r w:rsidR="009820E1" w:rsidRPr="00145A97">
        <w:rPr>
          <w:lang w:val="en-GB"/>
        </w:rPr>
        <w:t xml:space="preserve">of </w:t>
      </w:r>
      <w:r w:rsidR="00B84612" w:rsidRPr="00145A97">
        <w:rPr>
          <w:lang w:val="en-GB"/>
        </w:rPr>
        <w:t>greater</w:t>
      </w:r>
      <w:r w:rsidR="003D1381">
        <w:rPr>
          <w:lang w:val="en-GB"/>
        </w:rPr>
        <w:t xml:space="preserve"> </w:t>
      </w:r>
      <w:r w:rsidR="00B84612" w:rsidRPr="00145A97">
        <w:rPr>
          <w:lang w:val="en-GB"/>
        </w:rPr>
        <w:t>flexibility in the designation of areas for planned intervention</w:t>
      </w:r>
      <w:r w:rsidR="00BA41D2" w:rsidRPr="00145A97">
        <w:rPr>
          <w:lang w:val="en-GB"/>
        </w:rPr>
        <w:t xml:space="preserve"> as a means of allowing creative and </w:t>
      </w:r>
      <w:r w:rsidR="00EB6C31" w:rsidRPr="00145A97">
        <w:rPr>
          <w:lang w:val="en-GB"/>
        </w:rPr>
        <w:t xml:space="preserve">context sensitive solutions to </w:t>
      </w:r>
      <w:r w:rsidR="008612E6" w:rsidRPr="00145A97">
        <w:rPr>
          <w:lang w:val="en-GB"/>
        </w:rPr>
        <w:t>b</w:t>
      </w:r>
      <w:r w:rsidR="00EB6C31" w:rsidRPr="00145A97">
        <w:rPr>
          <w:lang w:val="en-GB"/>
        </w:rPr>
        <w:t>e developed</w:t>
      </w:r>
      <w:r w:rsidR="00B84612" w:rsidRPr="00145A97">
        <w:rPr>
          <w:lang w:val="en-GB"/>
        </w:rPr>
        <w:t>.</w:t>
      </w:r>
      <w:r w:rsidR="00EB6C31" w:rsidRPr="00145A97">
        <w:rPr>
          <w:lang w:val="en-GB"/>
        </w:rPr>
        <w:t xml:space="preserve"> </w:t>
      </w:r>
      <w:r w:rsidR="00B84612" w:rsidRPr="00145A97">
        <w:rPr>
          <w:lang w:val="en-GB"/>
        </w:rPr>
        <w:t>The Estonian and Lithuanian responses cite the EU Strategy for the BSR as a good example of integrated action</w:t>
      </w:r>
      <w:r w:rsidR="00250072" w:rsidRPr="00145A97">
        <w:rPr>
          <w:lang w:val="en-GB"/>
        </w:rPr>
        <w:t>, which</w:t>
      </w:r>
      <w:r w:rsidR="00B84612" w:rsidRPr="00145A97">
        <w:rPr>
          <w:lang w:val="en-GB"/>
        </w:rPr>
        <w:t xml:space="preserve"> was echoed by a number of the stakeholders during interviews. The Estonian response calls for partial reallocation of the structural funds via macro-regional strategies on condition that they focus on a limited number of agreed priorities. However, the general emphasis appears to be on the optimisation of existing territorial co-operation mechanisms rather than the creation of new ones. </w:t>
      </w:r>
    </w:p>
    <w:p w:rsidR="000D7FDE" w:rsidRPr="00145A97" w:rsidRDefault="00B84612" w:rsidP="00F4627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Improved co-ordination is a strong recurring theme and a wide variety of sector policies are identified where more consideration needs to be given to territorial impacts</w:t>
      </w:r>
      <w:r w:rsidR="000D7FDE" w:rsidRPr="00145A97">
        <w:rPr>
          <w:lang w:val="en-GB"/>
        </w:rPr>
        <w:t>. All three responses identify the</w:t>
      </w:r>
      <w:r w:rsidRPr="00145A97">
        <w:rPr>
          <w:lang w:val="en-GB"/>
        </w:rPr>
        <w:t xml:space="preserve"> </w:t>
      </w:r>
      <w:r w:rsidR="000D7FDE" w:rsidRPr="00145A97">
        <w:rPr>
          <w:lang w:val="en-GB"/>
        </w:rPr>
        <w:t xml:space="preserve">transport, energy, environment and rural development sectors and there is also a strong emphasis on science, research, innovation and competitiveness. </w:t>
      </w:r>
      <w:r w:rsidR="00F172B3" w:rsidRPr="00145A97">
        <w:rPr>
          <w:lang w:val="en-GB"/>
        </w:rPr>
        <w:t>The reassertion of economic priorities, in combination with an intensive engagement with international economic development networks (</w:t>
      </w:r>
      <w:proofErr w:type="spellStart"/>
      <w:r w:rsidR="00F172B3" w:rsidRPr="00145A97">
        <w:rPr>
          <w:lang w:val="en-GB"/>
        </w:rPr>
        <w:t>Capik</w:t>
      </w:r>
      <w:proofErr w:type="spellEnd"/>
      <w:r w:rsidR="00F172B3" w:rsidRPr="00145A97">
        <w:rPr>
          <w:lang w:val="en-GB"/>
        </w:rPr>
        <w:t xml:space="preserve"> 2011), reflects the policy pragmatism and political expedience that has become </w:t>
      </w:r>
      <w:r w:rsidR="00067869">
        <w:rPr>
          <w:lang w:val="en-GB"/>
        </w:rPr>
        <w:t>increasingly</w:t>
      </w:r>
      <w:r w:rsidR="00F172B3" w:rsidRPr="00145A97">
        <w:rPr>
          <w:lang w:val="en-GB"/>
        </w:rPr>
        <w:t xml:space="preserve"> apparent in the current economic climate. Such pragmatism is </w:t>
      </w:r>
      <w:r w:rsidR="008612E6" w:rsidRPr="00145A97">
        <w:rPr>
          <w:lang w:val="en-GB"/>
        </w:rPr>
        <w:t xml:space="preserve">also </w:t>
      </w:r>
      <w:r w:rsidR="00F172B3" w:rsidRPr="00145A97">
        <w:rPr>
          <w:lang w:val="en-GB"/>
        </w:rPr>
        <w:t>revealed in other ways. T</w:t>
      </w:r>
      <w:r w:rsidRPr="00145A97">
        <w:rPr>
          <w:lang w:val="en-GB"/>
        </w:rPr>
        <w:t xml:space="preserve">he Estonian response identifies neighbourhood policy as a key area, reflecting the priority given to the external dimensions of EU territorial governance. The Lithuanian response </w:t>
      </w:r>
      <w:r w:rsidR="000D7FDE" w:rsidRPr="00145A97">
        <w:rPr>
          <w:lang w:val="en-GB"/>
        </w:rPr>
        <w:t xml:space="preserve">focuses more strongly on </w:t>
      </w:r>
      <w:r w:rsidRPr="00145A97">
        <w:rPr>
          <w:lang w:val="en-GB"/>
        </w:rPr>
        <w:t xml:space="preserve">the importance of co-ordinating </w:t>
      </w:r>
      <w:r w:rsidR="00F46271" w:rsidRPr="00145A97">
        <w:rPr>
          <w:lang w:val="en-GB"/>
        </w:rPr>
        <w:t xml:space="preserve">social, health and education policy, </w:t>
      </w:r>
      <w:r w:rsidRPr="00145A97">
        <w:rPr>
          <w:lang w:val="en-GB"/>
        </w:rPr>
        <w:t xml:space="preserve">stressing the impact that such services have on quality of life. </w:t>
      </w:r>
      <w:r w:rsidR="00F172B3" w:rsidRPr="00145A97">
        <w:rPr>
          <w:lang w:val="en-GB"/>
        </w:rPr>
        <w:t>Finally, t</w:t>
      </w:r>
      <w:r w:rsidR="000D7FDE" w:rsidRPr="00145A97">
        <w:rPr>
          <w:lang w:val="en-GB"/>
        </w:rPr>
        <w:t xml:space="preserve">he Latvian response identifies </w:t>
      </w:r>
      <w:r w:rsidR="005C026E" w:rsidRPr="00145A97">
        <w:rPr>
          <w:lang w:val="en-GB"/>
        </w:rPr>
        <w:t xml:space="preserve">the </w:t>
      </w:r>
      <w:r w:rsidR="005C026E" w:rsidRPr="00145A97">
        <w:rPr>
          <w:lang w:val="en-GB"/>
        </w:rPr>
        <w:lastRenderedPageBreak/>
        <w:t xml:space="preserve">importance of considering the territorial impacts of </w:t>
      </w:r>
      <w:r w:rsidR="000D7FDE" w:rsidRPr="00145A97">
        <w:rPr>
          <w:lang w:val="en-GB"/>
        </w:rPr>
        <w:t>maritime policy</w:t>
      </w:r>
      <w:r w:rsidR="00067869">
        <w:rPr>
          <w:lang w:val="en-GB"/>
        </w:rPr>
        <w:t xml:space="preserve"> which has become a key issue </w:t>
      </w:r>
      <w:r w:rsidR="00EB29FC" w:rsidRPr="00145A97">
        <w:rPr>
          <w:lang w:val="en-GB"/>
        </w:rPr>
        <w:t>in Latvia in recent years.</w:t>
      </w:r>
      <w:r w:rsidR="00F172B3" w:rsidRPr="00145A97">
        <w:rPr>
          <w:lang w:val="en-GB"/>
        </w:rPr>
        <w:t xml:space="preserve"> </w:t>
      </w:r>
    </w:p>
    <w:p w:rsidR="00B84612" w:rsidRPr="00145A97" w:rsidRDefault="00B84612"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At a practical level</w:t>
      </w:r>
      <w:r w:rsidR="00250072" w:rsidRPr="00145A97">
        <w:rPr>
          <w:lang w:val="en-GB"/>
        </w:rPr>
        <w:t>,</w:t>
      </w:r>
      <w:r w:rsidRPr="00145A97">
        <w:rPr>
          <w:lang w:val="en-GB"/>
        </w:rPr>
        <w:t xml:space="preserve"> the Estonian response recommends </w:t>
      </w:r>
      <w:r w:rsidR="003D1381">
        <w:rPr>
          <w:lang w:val="en-GB"/>
        </w:rPr>
        <w:t xml:space="preserve">removing the distinction between </w:t>
      </w:r>
      <w:r w:rsidR="003D1381" w:rsidRPr="00145A97">
        <w:rPr>
          <w:lang w:val="en-GB"/>
        </w:rPr>
        <w:t>cohesion policy and rural policy</w:t>
      </w:r>
      <w:r w:rsidR="003D1381">
        <w:rPr>
          <w:lang w:val="en-GB"/>
        </w:rPr>
        <w:t xml:space="preserve"> by preparing </w:t>
      </w:r>
      <w:r w:rsidR="003D1381" w:rsidRPr="00145A97">
        <w:rPr>
          <w:lang w:val="en-GB"/>
        </w:rPr>
        <w:t>integrated community strategic guidelines</w:t>
      </w:r>
      <w:r w:rsidR="003D1381">
        <w:rPr>
          <w:lang w:val="en-GB"/>
        </w:rPr>
        <w:t>.</w:t>
      </w:r>
      <w:r w:rsidRPr="00145A97">
        <w:rPr>
          <w:lang w:val="en-GB"/>
        </w:rPr>
        <w:t xml:space="preserve"> The Latvian response suggests strengthening the role of the Informal Council of Ministers responsible for Regional Development</w:t>
      </w:r>
      <w:r w:rsidR="00250072" w:rsidRPr="00145A97">
        <w:rPr>
          <w:lang w:val="en-GB"/>
        </w:rPr>
        <w:t>, as well as</w:t>
      </w:r>
      <w:r w:rsidR="001F784E" w:rsidRPr="00145A97">
        <w:rPr>
          <w:lang w:val="en-GB"/>
        </w:rPr>
        <w:t xml:space="preserve"> </w:t>
      </w:r>
      <w:r w:rsidR="00306653" w:rsidRPr="00145A97">
        <w:rPr>
          <w:lang w:val="en-GB"/>
        </w:rPr>
        <w:t xml:space="preserve">drawing up EU guidelines on territorial cohesion </w:t>
      </w:r>
      <w:r w:rsidR="00742123" w:rsidRPr="00145A97">
        <w:rPr>
          <w:lang w:val="en-GB"/>
        </w:rPr>
        <w:t xml:space="preserve">as </w:t>
      </w:r>
      <w:r w:rsidR="00306653" w:rsidRPr="00145A97">
        <w:rPr>
          <w:lang w:val="en-GB"/>
        </w:rPr>
        <w:t xml:space="preserve">a framework for national strategies </w:t>
      </w:r>
      <w:r w:rsidR="00250072" w:rsidRPr="00145A97">
        <w:rPr>
          <w:lang w:val="en-GB"/>
        </w:rPr>
        <w:t>with</w:t>
      </w:r>
      <w:r w:rsidR="00306653" w:rsidRPr="00145A97">
        <w:rPr>
          <w:lang w:val="en-GB"/>
        </w:rPr>
        <w:t xml:space="preserve"> mandatory </w:t>
      </w:r>
      <w:r w:rsidR="00250072" w:rsidRPr="00145A97">
        <w:rPr>
          <w:lang w:val="en-GB"/>
        </w:rPr>
        <w:t xml:space="preserve">territorial impact </w:t>
      </w:r>
      <w:r w:rsidR="00067869">
        <w:rPr>
          <w:lang w:val="en-GB"/>
        </w:rPr>
        <w:t>assessments</w:t>
      </w:r>
      <w:r w:rsidR="0099549C" w:rsidRPr="00145A97">
        <w:rPr>
          <w:lang w:val="en-GB"/>
        </w:rPr>
        <w:t xml:space="preserve"> of sector policies.</w:t>
      </w:r>
      <w:r w:rsidR="00067869">
        <w:rPr>
          <w:lang w:val="en-GB"/>
        </w:rPr>
        <w:t xml:space="preserve"> T</w:t>
      </w:r>
      <w:r w:rsidR="0099549C" w:rsidRPr="00145A97">
        <w:rPr>
          <w:lang w:val="en-GB"/>
        </w:rPr>
        <w:t xml:space="preserve">he </w:t>
      </w:r>
      <w:r w:rsidR="00306653" w:rsidRPr="00145A97">
        <w:rPr>
          <w:lang w:val="en-GB"/>
        </w:rPr>
        <w:t xml:space="preserve">Latvian response </w:t>
      </w:r>
      <w:r w:rsidR="00067869">
        <w:rPr>
          <w:lang w:val="en-GB"/>
        </w:rPr>
        <w:t xml:space="preserve">also </w:t>
      </w:r>
      <w:r w:rsidR="00306653" w:rsidRPr="00145A97">
        <w:rPr>
          <w:lang w:val="en-GB"/>
        </w:rPr>
        <w:t xml:space="preserve">emphasises </w:t>
      </w:r>
      <w:r w:rsidRPr="00145A97">
        <w:rPr>
          <w:lang w:val="en-GB"/>
        </w:rPr>
        <w:t xml:space="preserve">the role of ESPON in developing effective monitoring instruments. </w:t>
      </w:r>
      <w:r w:rsidR="00306653" w:rsidRPr="00145A97">
        <w:rPr>
          <w:lang w:val="en-GB"/>
        </w:rPr>
        <w:t xml:space="preserve">The Estonian response promotes </w:t>
      </w:r>
      <w:r w:rsidR="003D1381">
        <w:rPr>
          <w:lang w:val="en-GB"/>
        </w:rPr>
        <w:t xml:space="preserve">the application of </w:t>
      </w:r>
      <w:r w:rsidR="00306653" w:rsidRPr="00145A97">
        <w:rPr>
          <w:lang w:val="en-GB"/>
        </w:rPr>
        <w:t xml:space="preserve">territorial cohesion through an increased focus on territorial co-operation and trans-national spatial planning. </w:t>
      </w:r>
    </w:p>
    <w:p w:rsidR="00B84612" w:rsidRPr="00145A97" w:rsidRDefault="00687458" w:rsidP="003D1381">
      <w:pPr>
        <w:spacing w:line="480" w:lineRule="auto"/>
        <w:jc w:val="both"/>
        <w:rPr>
          <w:lang w:val="en-GB"/>
        </w:rPr>
      </w:pPr>
      <w:r>
        <w:rPr>
          <w:lang w:val="en-GB"/>
        </w:rPr>
        <w:t xml:space="preserve">Each national response recognises </w:t>
      </w:r>
      <w:r w:rsidR="00646489" w:rsidRPr="00145A97">
        <w:rPr>
          <w:lang w:val="en-GB"/>
        </w:rPr>
        <w:t xml:space="preserve">the need to engage </w:t>
      </w:r>
      <w:r w:rsidR="00A8177B" w:rsidRPr="00145A97">
        <w:rPr>
          <w:lang w:val="en-GB"/>
        </w:rPr>
        <w:t>a broad coalition of actors in the territorial cohesion debate</w:t>
      </w:r>
      <w:r w:rsidR="008612E6" w:rsidRPr="00145A97">
        <w:rPr>
          <w:lang w:val="en-GB"/>
        </w:rPr>
        <w:t xml:space="preserve"> despite the evidence suggesting</w:t>
      </w:r>
      <w:r w:rsidR="00A8177B" w:rsidRPr="00145A97">
        <w:rPr>
          <w:lang w:val="en-GB"/>
        </w:rPr>
        <w:t xml:space="preserve"> that this debate is </w:t>
      </w:r>
      <w:r w:rsidR="008612E6" w:rsidRPr="00145A97">
        <w:rPr>
          <w:lang w:val="en-GB"/>
        </w:rPr>
        <w:t xml:space="preserve">currently concentrated in </w:t>
      </w:r>
      <w:r w:rsidR="00646489" w:rsidRPr="00145A97">
        <w:rPr>
          <w:lang w:val="en-GB"/>
        </w:rPr>
        <w:t>expert communities operating in national level institutions. The</w:t>
      </w:r>
      <w:r w:rsidR="00B84612" w:rsidRPr="00145A97">
        <w:rPr>
          <w:lang w:val="en-GB"/>
        </w:rPr>
        <w:t xml:space="preserve"> </w:t>
      </w:r>
      <w:r w:rsidR="00067869">
        <w:rPr>
          <w:lang w:val="en-GB"/>
        </w:rPr>
        <w:t>stakeholder</w:t>
      </w:r>
      <w:r w:rsidR="00067869" w:rsidRPr="00145A97">
        <w:rPr>
          <w:lang w:val="en-GB"/>
        </w:rPr>
        <w:t xml:space="preserve"> </w:t>
      </w:r>
      <w:r w:rsidR="00B84612" w:rsidRPr="00145A97">
        <w:rPr>
          <w:lang w:val="en-GB"/>
        </w:rPr>
        <w:t xml:space="preserve">interviews </w:t>
      </w:r>
      <w:r w:rsidR="00646489" w:rsidRPr="00145A97">
        <w:rPr>
          <w:lang w:val="en-GB"/>
        </w:rPr>
        <w:t xml:space="preserve">confirmed </w:t>
      </w:r>
      <w:r w:rsidR="00B84612" w:rsidRPr="00145A97">
        <w:rPr>
          <w:lang w:val="en-GB"/>
        </w:rPr>
        <w:t>the view</w:t>
      </w:r>
      <w:r w:rsidR="00A8177B" w:rsidRPr="00145A97">
        <w:rPr>
          <w:lang w:val="en-GB"/>
        </w:rPr>
        <w:t xml:space="preserve"> </w:t>
      </w:r>
      <w:r w:rsidR="00B84612" w:rsidRPr="00145A97">
        <w:rPr>
          <w:lang w:val="en-GB"/>
        </w:rPr>
        <w:t>that sub-national knowledge communities are not fully engaged</w:t>
      </w:r>
      <w:r w:rsidR="00A8177B" w:rsidRPr="00145A97">
        <w:rPr>
          <w:lang w:val="en-GB"/>
        </w:rPr>
        <w:t xml:space="preserve"> in this discourse</w:t>
      </w:r>
      <w:r>
        <w:rPr>
          <w:lang w:val="en-GB"/>
        </w:rPr>
        <w:t>,</w:t>
      </w:r>
      <w:r w:rsidR="00067869">
        <w:rPr>
          <w:lang w:val="en-GB"/>
        </w:rPr>
        <w:t xml:space="preserve"> suggesting that </w:t>
      </w:r>
      <w:r w:rsidRPr="00145A97">
        <w:rPr>
          <w:lang w:val="en-GB"/>
        </w:rPr>
        <w:t xml:space="preserve">vertical </w:t>
      </w:r>
      <w:r>
        <w:rPr>
          <w:lang w:val="en-GB"/>
        </w:rPr>
        <w:t xml:space="preserve">governance structures and </w:t>
      </w:r>
      <w:r w:rsidR="00646489" w:rsidRPr="00145A97">
        <w:rPr>
          <w:lang w:val="en-GB"/>
        </w:rPr>
        <w:t xml:space="preserve">knowledge channels appear to be highly fragmented with limited capacity and </w:t>
      </w:r>
      <w:r w:rsidR="00646489" w:rsidRPr="003D1381">
        <w:rPr>
          <w:lang w:val="en-GB"/>
        </w:rPr>
        <w:t>effectiveness.</w:t>
      </w:r>
      <w:r w:rsidR="003D1381">
        <w:rPr>
          <w:lang w:val="en-GB"/>
        </w:rPr>
        <w:t xml:space="preserve"> In</w:t>
      </w:r>
      <w:r w:rsidR="00067869">
        <w:rPr>
          <w:lang w:val="en-GB"/>
        </w:rPr>
        <w:t xml:space="preserve"> contrast</w:t>
      </w:r>
      <w:r w:rsidR="003D1381">
        <w:rPr>
          <w:lang w:val="en-GB"/>
        </w:rPr>
        <w:t xml:space="preserve"> to the Latvian attempts to broaden engagement </w:t>
      </w:r>
      <w:r w:rsidR="003D1381" w:rsidRPr="00145A97">
        <w:rPr>
          <w:lang w:val="en-GB"/>
        </w:rPr>
        <w:t>at the sub-national level</w:t>
      </w:r>
      <w:r w:rsidR="003D1381">
        <w:rPr>
          <w:lang w:val="en-GB"/>
        </w:rPr>
        <w:t xml:space="preserve"> though its </w:t>
      </w:r>
      <w:r w:rsidR="003D1381" w:rsidRPr="00145A97">
        <w:rPr>
          <w:lang w:val="en-GB"/>
        </w:rPr>
        <w:t>National Co-ordination Group</w:t>
      </w:r>
      <w:r w:rsidR="00067869">
        <w:rPr>
          <w:lang w:val="en-GB"/>
        </w:rPr>
        <w:t xml:space="preserve">, </w:t>
      </w:r>
      <w:r>
        <w:rPr>
          <w:lang w:val="en-GB"/>
        </w:rPr>
        <w:t>a</w:t>
      </w:r>
      <w:r w:rsidR="00B84612" w:rsidRPr="00145A97">
        <w:rPr>
          <w:lang w:val="en-GB"/>
        </w:rPr>
        <w:t xml:space="preserve"> </w:t>
      </w:r>
      <w:r w:rsidR="00067869">
        <w:rPr>
          <w:lang w:val="en-GB"/>
        </w:rPr>
        <w:t xml:space="preserve">Lithuanian </w:t>
      </w:r>
      <w:r w:rsidR="00B84612" w:rsidRPr="00145A97">
        <w:rPr>
          <w:lang w:val="en-GB"/>
        </w:rPr>
        <w:t>interviewee</w:t>
      </w:r>
      <w:r w:rsidR="00067869">
        <w:rPr>
          <w:lang w:val="en-GB"/>
        </w:rPr>
        <w:t xml:space="preserve"> argued </w:t>
      </w:r>
      <w:r w:rsidR="00B84612" w:rsidRPr="00145A97">
        <w:rPr>
          <w:lang w:val="en-GB"/>
        </w:rPr>
        <w:t xml:space="preserve">that the ambiguous nature of territorial cohesion means that its practical aims and potential added value first need to be clarified at the EU level before Lithuanian planners </w:t>
      </w:r>
      <w:r w:rsidR="007238AA" w:rsidRPr="00145A97">
        <w:rPr>
          <w:lang w:val="en-GB"/>
        </w:rPr>
        <w:t xml:space="preserve">can </w:t>
      </w:r>
      <w:r w:rsidR="00B84612" w:rsidRPr="00145A97">
        <w:rPr>
          <w:lang w:val="en-GB"/>
        </w:rPr>
        <w:t>divert their attention from more urgent domestic issues</w:t>
      </w:r>
      <w:r w:rsidR="007238AA" w:rsidRPr="00145A97">
        <w:rPr>
          <w:lang w:val="en-GB"/>
        </w:rPr>
        <w:t>,</w:t>
      </w:r>
      <w:r w:rsidR="00B84612" w:rsidRPr="00145A97">
        <w:rPr>
          <w:lang w:val="en-GB"/>
        </w:rPr>
        <w:t xml:space="preserve"> including a new round of planning documents and new planning legislation.</w:t>
      </w:r>
      <w:r w:rsidR="00BA394B" w:rsidRPr="00145A97">
        <w:rPr>
          <w:lang w:val="en-GB"/>
        </w:rPr>
        <w:t xml:space="preserve"> </w:t>
      </w:r>
      <w:r w:rsidR="007238AA" w:rsidRPr="00145A97">
        <w:rPr>
          <w:lang w:val="en-GB"/>
        </w:rPr>
        <w:t xml:space="preserve">Once again, the </w:t>
      </w:r>
      <w:r w:rsidR="00646489" w:rsidRPr="00145A97">
        <w:rPr>
          <w:lang w:val="en-GB"/>
        </w:rPr>
        <w:t xml:space="preserve">focus on day-to-day </w:t>
      </w:r>
      <w:r w:rsidRPr="00145A97">
        <w:rPr>
          <w:lang w:val="en-GB"/>
        </w:rPr>
        <w:t xml:space="preserve">domestic </w:t>
      </w:r>
      <w:r w:rsidR="00646489" w:rsidRPr="00145A97">
        <w:rPr>
          <w:lang w:val="en-GB"/>
        </w:rPr>
        <w:t xml:space="preserve">planning practice </w:t>
      </w:r>
      <w:r w:rsidR="00DB11C3" w:rsidRPr="00145A97">
        <w:rPr>
          <w:lang w:val="en-GB"/>
        </w:rPr>
        <w:t xml:space="preserve">illustrates </w:t>
      </w:r>
      <w:r w:rsidR="00BA394B" w:rsidRPr="00145A97">
        <w:rPr>
          <w:lang w:val="en-GB"/>
        </w:rPr>
        <w:t>the pragmatic approach that characterises the action</w:t>
      </w:r>
      <w:r w:rsidR="007238AA" w:rsidRPr="00145A97">
        <w:rPr>
          <w:lang w:val="en-GB"/>
        </w:rPr>
        <w:t>s</w:t>
      </w:r>
      <w:r w:rsidR="00BA394B" w:rsidRPr="00145A97">
        <w:rPr>
          <w:lang w:val="en-GB"/>
        </w:rPr>
        <w:t xml:space="preserve"> of </w:t>
      </w:r>
      <w:r w:rsidR="003D1381">
        <w:rPr>
          <w:lang w:val="en-GB"/>
        </w:rPr>
        <w:t xml:space="preserve">many </w:t>
      </w:r>
      <w:r w:rsidR="007238AA" w:rsidRPr="00145A97">
        <w:rPr>
          <w:lang w:val="en-GB"/>
        </w:rPr>
        <w:t xml:space="preserve">planning </w:t>
      </w:r>
      <w:r w:rsidR="002E0C2F">
        <w:rPr>
          <w:lang w:val="en-GB"/>
        </w:rPr>
        <w:t>communities</w:t>
      </w:r>
      <w:r w:rsidR="00DB11C3" w:rsidRPr="00145A97">
        <w:rPr>
          <w:lang w:val="en-GB"/>
        </w:rPr>
        <w:t xml:space="preserve"> in the </w:t>
      </w:r>
      <w:r w:rsidR="00BA394B" w:rsidRPr="00145A97">
        <w:rPr>
          <w:lang w:val="en-GB"/>
        </w:rPr>
        <w:t>Baltic States.</w:t>
      </w:r>
    </w:p>
    <w:p w:rsidR="00CB673D" w:rsidRDefault="00CB673D" w:rsidP="00540BCE">
      <w:pPr>
        <w:spacing w:line="480" w:lineRule="auto"/>
        <w:outlineLvl w:val="0"/>
        <w:rPr>
          <w:b/>
          <w:i/>
          <w:lang w:val="en-GB"/>
        </w:rPr>
      </w:pPr>
    </w:p>
    <w:p w:rsidR="00B84612" w:rsidRPr="00145A97" w:rsidRDefault="00B84612" w:rsidP="00540BCE">
      <w:pPr>
        <w:spacing w:line="480" w:lineRule="auto"/>
        <w:outlineLvl w:val="0"/>
        <w:rPr>
          <w:lang w:val="en-GB"/>
        </w:rPr>
      </w:pPr>
      <w:r w:rsidRPr="00145A97">
        <w:rPr>
          <w:b/>
          <w:i/>
          <w:lang w:val="en-GB"/>
        </w:rPr>
        <w:t>Responses from selected interest groups</w:t>
      </w:r>
    </w:p>
    <w:p w:rsidR="007E4464" w:rsidRPr="00145A97" w:rsidRDefault="00B4781D" w:rsidP="00C4601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A</w:t>
      </w:r>
      <w:r w:rsidR="00B84612" w:rsidRPr="00145A97">
        <w:rPr>
          <w:lang w:val="en-GB"/>
        </w:rPr>
        <w:t xml:space="preserve"> number of responses were submitted by interest groups</w:t>
      </w:r>
      <w:r w:rsidRPr="00145A97">
        <w:rPr>
          <w:lang w:val="en-GB"/>
        </w:rPr>
        <w:t xml:space="preserve"> </w:t>
      </w:r>
      <w:r w:rsidR="00B84612" w:rsidRPr="00145A97">
        <w:rPr>
          <w:lang w:val="en-GB"/>
        </w:rPr>
        <w:t>consist</w:t>
      </w:r>
      <w:r w:rsidR="004B7B50" w:rsidRPr="00145A97">
        <w:rPr>
          <w:lang w:val="en-GB"/>
        </w:rPr>
        <w:t>ing</w:t>
      </w:r>
      <w:r w:rsidR="00B84612" w:rsidRPr="00145A97">
        <w:rPr>
          <w:lang w:val="en-GB"/>
        </w:rPr>
        <w:t xml:space="preserve"> of transnational networks</w:t>
      </w:r>
      <w:r w:rsidR="00487554" w:rsidRPr="00145A97">
        <w:rPr>
          <w:lang w:val="en-GB"/>
        </w:rPr>
        <w:t xml:space="preserve">. </w:t>
      </w:r>
      <w:r w:rsidR="00B84612" w:rsidRPr="00145A97">
        <w:rPr>
          <w:lang w:val="en-GB"/>
        </w:rPr>
        <w:t xml:space="preserve">Though the extent to which the contributions have been debated and assembled as a joint product of </w:t>
      </w:r>
      <w:r w:rsidR="00B84612" w:rsidRPr="00145A97">
        <w:rPr>
          <w:lang w:val="en-GB"/>
        </w:rPr>
        <w:lastRenderedPageBreak/>
        <w:t>each member of the network is unclear</w:t>
      </w:r>
      <w:r w:rsidR="00742123" w:rsidRPr="00145A97">
        <w:rPr>
          <w:lang w:val="en-GB"/>
        </w:rPr>
        <w:t xml:space="preserve">, </w:t>
      </w:r>
      <w:r w:rsidR="00B84612" w:rsidRPr="00145A97">
        <w:rPr>
          <w:lang w:val="en-GB"/>
        </w:rPr>
        <w:t xml:space="preserve">six responses have been selected that were submitted by networks where the thematic and/or geographical focus was relevant to the Baltic States and within which actors from the Baltic States participated. The </w:t>
      </w:r>
      <w:r w:rsidR="00487554" w:rsidRPr="00145A97">
        <w:rPr>
          <w:lang w:val="en-GB"/>
        </w:rPr>
        <w:t xml:space="preserve">selected groups include </w:t>
      </w:r>
      <w:r w:rsidR="00B84612" w:rsidRPr="00145A97">
        <w:rPr>
          <w:lang w:val="en-GB"/>
        </w:rPr>
        <w:t>VASAB</w:t>
      </w:r>
      <w:r w:rsidR="00487554" w:rsidRPr="00145A97">
        <w:rPr>
          <w:lang w:val="en-GB"/>
        </w:rPr>
        <w:t xml:space="preserve"> and</w:t>
      </w:r>
      <w:r w:rsidR="00B84612" w:rsidRPr="00145A97">
        <w:rPr>
          <w:lang w:val="en-GB"/>
        </w:rPr>
        <w:t xml:space="preserve"> </w:t>
      </w:r>
      <w:proofErr w:type="spellStart"/>
      <w:r w:rsidR="00487554" w:rsidRPr="00145A97">
        <w:rPr>
          <w:lang w:val="en-GB"/>
        </w:rPr>
        <w:t>Euroregion</w:t>
      </w:r>
      <w:proofErr w:type="spellEnd"/>
      <w:r w:rsidR="00487554" w:rsidRPr="00145A97">
        <w:rPr>
          <w:lang w:val="en-GB"/>
        </w:rPr>
        <w:t xml:space="preserve"> Baltic, the former displaying characteristics of </w:t>
      </w:r>
      <w:r w:rsidR="004B7B50" w:rsidRPr="00145A97">
        <w:rPr>
          <w:lang w:val="en-GB"/>
        </w:rPr>
        <w:t xml:space="preserve">both </w:t>
      </w:r>
      <w:r w:rsidR="00487554" w:rsidRPr="00145A97">
        <w:rPr>
          <w:lang w:val="en-GB"/>
        </w:rPr>
        <w:t xml:space="preserve">an epistemic community and </w:t>
      </w:r>
      <w:r w:rsidR="004B7B50" w:rsidRPr="00145A97">
        <w:rPr>
          <w:lang w:val="en-GB"/>
        </w:rPr>
        <w:t xml:space="preserve">a community of practice and </w:t>
      </w:r>
      <w:r w:rsidR="00487554" w:rsidRPr="00145A97">
        <w:rPr>
          <w:lang w:val="en-GB"/>
        </w:rPr>
        <w:t xml:space="preserve">the latter displaying </w:t>
      </w:r>
      <w:r w:rsidR="004B7B50" w:rsidRPr="00145A97">
        <w:rPr>
          <w:lang w:val="en-GB"/>
        </w:rPr>
        <w:t>more</w:t>
      </w:r>
      <w:r w:rsidR="00487554" w:rsidRPr="00145A97">
        <w:rPr>
          <w:lang w:val="en-GB"/>
        </w:rPr>
        <w:t xml:space="preserve"> characteristics of a </w:t>
      </w:r>
      <w:r w:rsidR="008612E6" w:rsidRPr="00145A97">
        <w:rPr>
          <w:lang w:val="en-GB"/>
        </w:rPr>
        <w:t xml:space="preserve">professional </w:t>
      </w:r>
      <w:r w:rsidR="00487554" w:rsidRPr="00145A97">
        <w:rPr>
          <w:lang w:val="en-GB"/>
        </w:rPr>
        <w:t xml:space="preserve">community of practice. The remaining four groups, Innovation Circle Network, the B7 Baltic Sea Islands Network, the Commission for the Peripheral and Maritime Regions </w:t>
      </w:r>
      <w:r w:rsidR="00080487" w:rsidRPr="00145A97">
        <w:rPr>
          <w:lang w:val="en-GB"/>
        </w:rPr>
        <w:t xml:space="preserve">(CPMR) </w:t>
      </w:r>
      <w:r w:rsidR="00487554" w:rsidRPr="00145A97">
        <w:rPr>
          <w:lang w:val="en-GB"/>
        </w:rPr>
        <w:t>and the Network of Eastern External Border Regions</w:t>
      </w:r>
      <w:r w:rsidR="00080487" w:rsidRPr="00145A97">
        <w:rPr>
          <w:lang w:val="en-GB"/>
        </w:rPr>
        <w:t xml:space="preserve"> (NEEBOR)</w:t>
      </w:r>
      <w:r w:rsidR="008612E6" w:rsidRPr="00145A97">
        <w:rPr>
          <w:lang w:val="en-GB"/>
        </w:rPr>
        <w:t xml:space="preserve"> </w:t>
      </w:r>
      <w:r w:rsidR="00487554" w:rsidRPr="00145A97">
        <w:rPr>
          <w:lang w:val="en-GB"/>
        </w:rPr>
        <w:t xml:space="preserve">display characteristics of </w:t>
      </w:r>
      <w:r w:rsidR="00755A79">
        <w:rPr>
          <w:lang w:val="en-GB"/>
        </w:rPr>
        <w:t xml:space="preserve">both </w:t>
      </w:r>
      <w:r w:rsidR="00487554" w:rsidRPr="00145A97">
        <w:rPr>
          <w:lang w:val="en-GB"/>
        </w:rPr>
        <w:t xml:space="preserve">advocacy coalitions </w:t>
      </w:r>
      <w:r w:rsidR="00755A79">
        <w:rPr>
          <w:lang w:val="en-GB"/>
        </w:rPr>
        <w:t>and communities of practice</w:t>
      </w:r>
      <w:r w:rsidR="00487554" w:rsidRPr="00145A97">
        <w:rPr>
          <w:lang w:val="en-GB"/>
        </w:rPr>
        <w:t xml:space="preserve">. </w:t>
      </w:r>
    </w:p>
    <w:p w:rsidR="00ED6441" w:rsidRPr="00145A97" w:rsidRDefault="00B84612" w:rsidP="000A026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VASAB </w:t>
      </w:r>
      <w:r w:rsidR="00AD4881" w:rsidRPr="00145A97">
        <w:rPr>
          <w:lang w:val="en-GB"/>
        </w:rPr>
        <w:t xml:space="preserve">was identified earlier in the paper as a </w:t>
      </w:r>
      <w:r w:rsidRPr="00145A97">
        <w:rPr>
          <w:lang w:val="en-GB"/>
        </w:rPr>
        <w:t xml:space="preserve">well established and influential </w:t>
      </w:r>
      <w:r w:rsidR="00AD4881" w:rsidRPr="00145A97">
        <w:rPr>
          <w:lang w:val="en-GB"/>
        </w:rPr>
        <w:t>actor in the field of spatial development in the BSR</w:t>
      </w:r>
      <w:r w:rsidR="00297730" w:rsidRPr="00145A97">
        <w:rPr>
          <w:lang w:val="en-GB"/>
        </w:rPr>
        <w:t>.</w:t>
      </w:r>
      <w:r w:rsidR="00AD4881" w:rsidRPr="00145A97">
        <w:rPr>
          <w:lang w:val="en-GB"/>
        </w:rPr>
        <w:t xml:space="preserve"> </w:t>
      </w:r>
      <w:proofErr w:type="spellStart"/>
      <w:r w:rsidR="0005249B" w:rsidRPr="00145A97">
        <w:rPr>
          <w:lang w:val="en-GB"/>
        </w:rPr>
        <w:t>Euroregion</w:t>
      </w:r>
      <w:proofErr w:type="spellEnd"/>
      <w:r w:rsidR="0005249B" w:rsidRPr="00145A97">
        <w:rPr>
          <w:lang w:val="en-GB"/>
        </w:rPr>
        <w:t xml:space="preserve"> Baltic focuses on the south-east of the BSR and include</w:t>
      </w:r>
      <w:r w:rsidR="00755A79">
        <w:rPr>
          <w:lang w:val="en-GB"/>
        </w:rPr>
        <w:t>d</w:t>
      </w:r>
      <w:r w:rsidR="0005249B" w:rsidRPr="00145A97">
        <w:rPr>
          <w:lang w:val="en-GB"/>
        </w:rPr>
        <w:t xml:space="preserve"> eight partner regions in Denmark, Lithuania, Poland, Sweden the Kaliningrad Region of Russia. The B7 network </w:t>
      </w:r>
      <w:r w:rsidR="00067869">
        <w:rPr>
          <w:lang w:val="en-GB"/>
        </w:rPr>
        <w:t>has</w:t>
      </w:r>
      <w:r w:rsidR="00080487" w:rsidRPr="00145A97">
        <w:rPr>
          <w:lang w:val="en-GB"/>
        </w:rPr>
        <w:t xml:space="preserve"> a long history of participat</w:t>
      </w:r>
      <w:r w:rsidR="00395FE8" w:rsidRPr="00145A97">
        <w:rPr>
          <w:lang w:val="en-GB"/>
        </w:rPr>
        <w:t>ion</w:t>
      </w:r>
      <w:r w:rsidR="00080487" w:rsidRPr="00145A97">
        <w:rPr>
          <w:lang w:val="en-GB"/>
        </w:rPr>
        <w:t xml:space="preserve"> in</w:t>
      </w:r>
      <w:r w:rsidR="00755A79">
        <w:rPr>
          <w:lang w:val="en-GB"/>
        </w:rPr>
        <w:t xml:space="preserve"> EU</w:t>
      </w:r>
      <w:r w:rsidR="00395FE8" w:rsidRPr="00145A97">
        <w:rPr>
          <w:lang w:val="en-GB"/>
        </w:rPr>
        <w:t xml:space="preserve"> </w:t>
      </w:r>
      <w:r w:rsidR="00080487" w:rsidRPr="00145A97">
        <w:rPr>
          <w:lang w:val="en-GB"/>
        </w:rPr>
        <w:t>debates</w:t>
      </w:r>
      <w:r w:rsidR="00755A79">
        <w:rPr>
          <w:lang w:val="en-GB"/>
        </w:rPr>
        <w:t xml:space="preserve"> and</w:t>
      </w:r>
      <w:r w:rsidR="00395FE8" w:rsidRPr="00145A97">
        <w:rPr>
          <w:lang w:val="en-GB"/>
        </w:rPr>
        <w:t xml:space="preserve"> </w:t>
      </w:r>
      <w:r w:rsidR="00080487" w:rsidRPr="00145A97">
        <w:rPr>
          <w:lang w:val="en-GB"/>
        </w:rPr>
        <w:t xml:space="preserve">represents </w:t>
      </w:r>
      <w:r w:rsidR="0005249B" w:rsidRPr="00145A97">
        <w:rPr>
          <w:lang w:val="en-GB"/>
        </w:rPr>
        <w:t>the interests of the largest seven islands in the Baltic Sea</w:t>
      </w:r>
      <w:r w:rsidR="00395FE8" w:rsidRPr="00145A97">
        <w:rPr>
          <w:lang w:val="en-GB"/>
        </w:rPr>
        <w:t>,</w:t>
      </w:r>
      <w:r w:rsidR="0005249B" w:rsidRPr="00145A97">
        <w:rPr>
          <w:lang w:val="en-GB"/>
        </w:rPr>
        <w:t xml:space="preserve"> including </w:t>
      </w:r>
      <w:r w:rsidR="00395FE8" w:rsidRPr="00145A97">
        <w:rPr>
          <w:lang w:val="en-GB"/>
        </w:rPr>
        <w:t xml:space="preserve">the </w:t>
      </w:r>
      <w:r w:rsidR="0005249B" w:rsidRPr="00145A97">
        <w:rPr>
          <w:lang w:val="en-GB"/>
        </w:rPr>
        <w:t xml:space="preserve">two Estonian islands of Saaremaa and </w:t>
      </w:r>
      <w:proofErr w:type="spellStart"/>
      <w:r w:rsidR="0005249B" w:rsidRPr="00145A97">
        <w:rPr>
          <w:lang w:val="en-GB"/>
        </w:rPr>
        <w:t>Hiiumaa</w:t>
      </w:r>
      <w:proofErr w:type="spellEnd"/>
      <w:r w:rsidR="0005249B" w:rsidRPr="00145A97">
        <w:rPr>
          <w:lang w:val="en-GB"/>
        </w:rPr>
        <w:t>. Innovation Circle Network</w:t>
      </w:r>
      <w:r w:rsidR="00080487" w:rsidRPr="00145A97">
        <w:rPr>
          <w:lang w:val="en-GB"/>
        </w:rPr>
        <w:t xml:space="preserve"> is</w:t>
      </w:r>
      <w:r w:rsidR="0005249B" w:rsidRPr="00145A97">
        <w:rPr>
          <w:lang w:val="en-GB"/>
        </w:rPr>
        <w:t xml:space="preserve"> a trans-European network of municipalities, regional authorities, public institutions, enterprises and individuals </w:t>
      </w:r>
      <w:r w:rsidR="00080487" w:rsidRPr="00145A97">
        <w:rPr>
          <w:lang w:val="en-GB"/>
        </w:rPr>
        <w:t>that work together to promote the interests of small towns and rural areas</w:t>
      </w:r>
      <w:r w:rsidR="0005249B" w:rsidRPr="00145A97">
        <w:rPr>
          <w:lang w:val="en-GB"/>
        </w:rPr>
        <w:t xml:space="preserve">. The response from the CPMR was submitted on behalf of the North Sea and Baltic Sea commissions, two of the six geographical commissions that have been established and currently represent 160 regions from 28 different countries. NEEBOR consists of 34 </w:t>
      </w:r>
      <w:r w:rsidR="002E57A1" w:rsidRPr="00145A97">
        <w:rPr>
          <w:lang w:val="en-GB"/>
        </w:rPr>
        <w:t>members</w:t>
      </w:r>
      <w:r w:rsidR="00395FE8" w:rsidRPr="00145A97">
        <w:rPr>
          <w:lang w:val="en-GB"/>
        </w:rPr>
        <w:t xml:space="preserve"> from</w:t>
      </w:r>
      <w:r w:rsidR="002E57A1" w:rsidRPr="00145A97">
        <w:rPr>
          <w:lang w:val="en-GB"/>
        </w:rPr>
        <w:t xml:space="preserve"> regional and municipal authorities </w:t>
      </w:r>
      <w:r w:rsidR="0005249B" w:rsidRPr="00145A97">
        <w:rPr>
          <w:lang w:val="en-GB"/>
        </w:rPr>
        <w:t>in thirteen countries</w:t>
      </w:r>
      <w:r w:rsidR="00395FE8" w:rsidRPr="00145A97">
        <w:rPr>
          <w:lang w:val="en-GB"/>
        </w:rPr>
        <w:t xml:space="preserve">, </w:t>
      </w:r>
      <w:r w:rsidR="0005249B" w:rsidRPr="00145A97">
        <w:rPr>
          <w:lang w:val="en-GB"/>
        </w:rPr>
        <w:t>represent</w:t>
      </w:r>
      <w:r w:rsidR="00395FE8" w:rsidRPr="00145A97">
        <w:rPr>
          <w:lang w:val="en-GB"/>
        </w:rPr>
        <w:t>ing</w:t>
      </w:r>
      <w:r w:rsidR="0005249B" w:rsidRPr="00145A97">
        <w:rPr>
          <w:lang w:val="en-GB"/>
        </w:rPr>
        <w:t xml:space="preserve"> the interests of the border regions on both sides of the eastern external border of the EU. </w:t>
      </w:r>
      <w:r w:rsidR="002E57A1" w:rsidRPr="00145A97">
        <w:rPr>
          <w:lang w:val="en-GB"/>
        </w:rPr>
        <w:t>T</w:t>
      </w:r>
      <w:r w:rsidR="0005249B" w:rsidRPr="00145A97">
        <w:rPr>
          <w:lang w:val="en-GB"/>
        </w:rPr>
        <w:t xml:space="preserve">he Baltic States are </w:t>
      </w:r>
      <w:r w:rsidR="00B67C2A" w:rsidRPr="00145A97">
        <w:rPr>
          <w:lang w:val="en-GB"/>
        </w:rPr>
        <w:t>represented by</w:t>
      </w:r>
      <w:r w:rsidR="0005249B" w:rsidRPr="00145A97">
        <w:rPr>
          <w:lang w:val="en-GB"/>
        </w:rPr>
        <w:t xml:space="preserve"> respective national associations </w:t>
      </w:r>
      <w:r w:rsidR="00B67C2A" w:rsidRPr="00145A97">
        <w:rPr>
          <w:lang w:val="en-GB"/>
        </w:rPr>
        <w:t xml:space="preserve">of </w:t>
      </w:r>
      <w:r w:rsidR="0005249B" w:rsidRPr="00145A97">
        <w:rPr>
          <w:lang w:val="en-GB"/>
        </w:rPr>
        <w:t xml:space="preserve">regional and municipal governments. </w:t>
      </w:r>
      <w:r w:rsidR="000A0261" w:rsidRPr="00145A97">
        <w:rPr>
          <w:lang w:val="en-GB"/>
        </w:rPr>
        <w:t xml:space="preserve">An overview of the responses of these groups is provided in Table 4. </w:t>
      </w:r>
    </w:p>
    <w:p w:rsidR="0005249B" w:rsidRPr="00145A97" w:rsidRDefault="000A0261"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highlight w:val="yellow"/>
          <w:lang w:val="en-GB"/>
        </w:rPr>
        <w:t>[Insert Table 4 around here]</w:t>
      </w:r>
    </w:p>
    <w:p w:rsidR="00B67C2A" w:rsidRPr="00145A97" w:rsidRDefault="009475DB"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 responses from VASAB, Innovation Circle Network and </w:t>
      </w:r>
      <w:proofErr w:type="spellStart"/>
      <w:r w:rsidRPr="00145A97">
        <w:rPr>
          <w:lang w:val="en-GB"/>
        </w:rPr>
        <w:t>Euroregion</w:t>
      </w:r>
      <w:proofErr w:type="spellEnd"/>
      <w:r w:rsidRPr="00145A97">
        <w:rPr>
          <w:lang w:val="en-GB"/>
        </w:rPr>
        <w:t xml:space="preserve"> Baltic are relatively brief and general while those from B7 Islands Network, CPMR and NEEBOR respond more fully and in </w:t>
      </w:r>
      <w:r w:rsidRPr="00145A97">
        <w:rPr>
          <w:lang w:val="en-GB"/>
        </w:rPr>
        <w:lastRenderedPageBreak/>
        <w:t xml:space="preserve">a more structured way to the </w:t>
      </w:r>
      <w:r w:rsidR="00BF5628" w:rsidRPr="00145A97">
        <w:rPr>
          <w:lang w:val="en-GB"/>
        </w:rPr>
        <w:t xml:space="preserve">Green Paper </w:t>
      </w:r>
      <w:r w:rsidRPr="00145A97">
        <w:rPr>
          <w:lang w:val="en-GB"/>
        </w:rPr>
        <w:t xml:space="preserve">questions. </w:t>
      </w:r>
      <w:r w:rsidR="00C26447" w:rsidRPr="00145A97">
        <w:rPr>
          <w:lang w:val="en-GB"/>
        </w:rPr>
        <w:t>All respondents are generally positive about the concept of territorial cohesion</w:t>
      </w:r>
      <w:r w:rsidR="00ED72B2" w:rsidRPr="00145A97">
        <w:rPr>
          <w:lang w:val="en-GB"/>
        </w:rPr>
        <w:t xml:space="preserve">. They </w:t>
      </w:r>
      <w:r w:rsidR="00B67C2A" w:rsidRPr="00145A97">
        <w:rPr>
          <w:lang w:val="en-GB"/>
        </w:rPr>
        <w:t xml:space="preserve">identify a similar range of themes </w:t>
      </w:r>
      <w:r w:rsidR="00ED72B2" w:rsidRPr="00145A97">
        <w:rPr>
          <w:lang w:val="en-GB"/>
        </w:rPr>
        <w:t xml:space="preserve">that </w:t>
      </w:r>
      <w:r w:rsidR="00B67C2A" w:rsidRPr="00145A97">
        <w:rPr>
          <w:lang w:val="en-GB"/>
        </w:rPr>
        <w:t>includ</w:t>
      </w:r>
      <w:r w:rsidR="00ED72B2" w:rsidRPr="00145A97">
        <w:rPr>
          <w:lang w:val="en-GB"/>
        </w:rPr>
        <w:t>e</w:t>
      </w:r>
      <w:r w:rsidR="00B67C2A" w:rsidRPr="00145A97">
        <w:rPr>
          <w:lang w:val="en-GB"/>
        </w:rPr>
        <w:t xml:space="preserve"> </w:t>
      </w:r>
      <w:r w:rsidR="00C26447" w:rsidRPr="00145A97">
        <w:rPr>
          <w:lang w:val="en-GB"/>
        </w:rPr>
        <w:t>balanced, polycentric and sustainable development, equality and access to services</w:t>
      </w:r>
      <w:r w:rsidR="00ED72B2" w:rsidRPr="00145A97">
        <w:rPr>
          <w:lang w:val="en-GB"/>
        </w:rPr>
        <w:t>,</w:t>
      </w:r>
      <w:r w:rsidR="00C26447" w:rsidRPr="00145A97">
        <w:rPr>
          <w:lang w:val="en-GB"/>
        </w:rPr>
        <w:t xml:space="preserve"> and diversity</w:t>
      </w:r>
      <w:r w:rsidR="00B67C2A" w:rsidRPr="00145A97">
        <w:rPr>
          <w:lang w:val="en-GB"/>
        </w:rPr>
        <w:t>. These themes</w:t>
      </w:r>
      <w:r w:rsidR="00C26447" w:rsidRPr="00145A97">
        <w:rPr>
          <w:lang w:val="en-GB"/>
        </w:rPr>
        <w:t xml:space="preserve"> reflect both familiarity with EU debates and terminology</w:t>
      </w:r>
      <w:r w:rsidR="00ED72B2" w:rsidRPr="00145A97">
        <w:rPr>
          <w:lang w:val="en-GB"/>
        </w:rPr>
        <w:t>, as well as</w:t>
      </w:r>
      <w:r w:rsidR="00C26447" w:rsidRPr="00145A97">
        <w:rPr>
          <w:lang w:val="en-GB"/>
        </w:rPr>
        <w:t xml:space="preserve"> an emphasis on issues that are specifically relevant to more geographically peripheral areas. </w:t>
      </w:r>
      <w:r w:rsidR="008F1D26" w:rsidRPr="00145A97">
        <w:rPr>
          <w:lang w:val="en-GB"/>
        </w:rPr>
        <w:t xml:space="preserve">The strong focus on maritime issues reflects the importance of the sea in the BSR and the degree of knowledge and expertise developed on maritime issues in countries such as Latvia. </w:t>
      </w:r>
    </w:p>
    <w:p w:rsidR="00B84612" w:rsidRPr="00145A97" w:rsidRDefault="004B7B50"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 </w:t>
      </w:r>
      <w:r w:rsidR="00B84612" w:rsidRPr="00145A97">
        <w:rPr>
          <w:lang w:val="en-GB"/>
        </w:rPr>
        <w:t>Committee for Spatial Development</w:t>
      </w:r>
      <w:r w:rsidR="007F06DB" w:rsidRPr="00145A97">
        <w:rPr>
          <w:lang w:val="en-GB"/>
        </w:rPr>
        <w:t xml:space="preserve"> submitted the response on behalf of VASAB</w:t>
      </w:r>
      <w:r w:rsidR="00187258" w:rsidRPr="00145A97">
        <w:rPr>
          <w:rStyle w:val="Rimandonotaapidipagina"/>
          <w:lang w:val="en-GB"/>
        </w:rPr>
        <w:footnoteReference w:id="12"/>
      </w:r>
      <w:r w:rsidR="00C26447" w:rsidRPr="00145A97">
        <w:rPr>
          <w:lang w:val="en-GB"/>
        </w:rPr>
        <w:t>. Th</w:t>
      </w:r>
      <w:r w:rsidR="007F06DB" w:rsidRPr="00145A97">
        <w:rPr>
          <w:lang w:val="en-GB"/>
        </w:rPr>
        <w:t xml:space="preserve">e response is </w:t>
      </w:r>
      <w:r w:rsidR="00C26447" w:rsidRPr="00145A97">
        <w:rPr>
          <w:lang w:val="en-GB"/>
        </w:rPr>
        <w:t>relatively superficial</w:t>
      </w:r>
      <w:r w:rsidR="00ED72B2" w:rsidRPr="00145A97">
        <w:rPr>
          <w:lang w:val="en-GB"/>
        </w:rPr>
        <w:t>,</w:t>
      </w:r>
      <w:r w:rsidR="007F06DB" w:rsidRPr="00145A97">
        <w:rPr>
          <w:lang w:val="en-GB"/>
        </w:rPr>
        <w:t xml:space="preserve"> but</w:t>
      </w:r>
      <w:r w:rsidR="008F1D26" w:rsidRPr="00145A97">
        <w:rPr>
          <w:lang w:val="en-GB"/>
        </w:rPr>
        <w:t xml:space="preserve"> refers to the VASAB Long Term Perspective (LTP) (VASAB 2010) </w:t>
      </w:r>
      <w:r w:rsidR="00ED72B2" w:rsidRPr="00145A97">
        <w:rPr>
          <w:lang w:val="en-GB"/>
        </w:rPr>
        <w:t xml:space="preserve">that </w:t>
      </w:r>
      <w:r w:rsidR="008F1D26" w:rsidRPr="00145A97">
        <w:rPr>
          <w:lang w:val="en-GB"/>
        </w:rPr>
        <w:t xml:space="preserve">was published soon after the consultation closed. The LTP is </w:t>
      </w:r>
      <w:r w:rsidR="00BF5628">
        <w:rPr>
          <w:lang w:val="en-GB"/>
        </w:rPr>
        <w:t>considered to be</w:t>
      </w:r>
      <w:r w:rsidR="008F1D26" w:rsidRPr="00145A97">
        <w:rPr>
          <w:lang w:val="en-GB"/>
        </w:rPr>
        <w:t xml:space="preserve"> a means of contributing towards territorial cohesion and offers a formal definition of the concept as ‘</w:t>
      </w:r>
      <w:r w:rsidR="00B84612" w:rsidRPr="00145A97">
        <w:rPr>
          <w:lang w:val="en-GB"/>
        </w:rPr>
        <w:t xml:space="preserve">a desired long term goal of initiatives and actions resulting from both territorial development policies at national and regional level as well as from those sector policies that show a clear territorial dimension’ (VASAB 2010: 14). This definition shows some similarities to the Lithuanian response to the Green Paper, which also implies that territorial cohesion </w:t>
      </w:r>
      <w:r w:rsidR="00755A79">
        <w:rPr>
          <w:lang w:val="en-GB"/>
        </w:rPr>
        <w:t xml:space="preserve">is </w:t>
      </w:r>
      <w:r w:rsidR="00B84612" w:rsidRPr="00145A97">
        <w:rPr>
          <w:lang w:val="en-GB"/>
        </w:rPr>
        <w:t>some form of desired end state</w:t>
      </w:r>
      <w:r w:rsidR="003A06A6" w:rsidRPr="00145A97">
        <w:rPr>
          <w:lang w:val="en-GB"/>
        </w:rPr>
        <w:t xml:space="preserve">, though </w:t>
      </w:r>
      <w:r w:rsidR="00B84612" w:rsidRPr="00145A97">
        <w:rPr>
          <w:lang w:val="en-GB"/>
        </w:rPr>
        <w:t>this does not appear to be a common assumption in other responses.</w:t>
      </w:r>
    </w:p>
    <w:p w:rsidR="008F1D26" w:rsidRPr="00145A97" w:rsidRDefault="00677C5F"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There is also a significant degree of consensus in relation to the scale and scope of territorial action</w:t>
      </w:r>
      <w:r w:rsidR="00117591" w:rsidRPr="00145A97">
        <w:rPr>
          <w:lang w:val="en-GB"/>
        </w:rPr>
        <w:t xml:space="preserve">. </w:t>
      </w:r>
      <w:r w:rsidRPr="00145A97">
        <w:rPr>
          <w:lang w:val="en-GB"/>
        </w:rPr>
        <w:t>Innovation Circle identif</w:t>
      </w:r>
      <w:r w:rsidR="00ED6441" w:rsidRPr="00145A97">
        <w:rPr>
          <w:lang w:val="en-GB"/>
        </w:rPr>
        <w:t>ies</w:t>
      </w:r>
      <w:r w:rsidRPr="00145A97">
        <w:rPr>
          <w:lang w:val="en-GB"/>
        </w:rPr>
        <w:t xml:space="preserve"> the importance of innovative actions to make geographically peripheral areas more attractive to high quality human resources. </w:t>
      </w:r>
      <w:r w:rsidR="00B3210C" w:rsidRPr="00145A97">
        <w:rPr>
          <w:lang w:val="en-GB"/>
        </w:rPr>
        <w:t xml:space="preserve">The identification of local responses and local knowledge strengthens arguments about </w:t>
      </w:r>
      <w:r w:rsidR="008F7224" w:rsidRPr="00145A97">
        <w:rPr>
          <w:lang w:val="en-GB"/>
        </w:rPr>
        <w:t xml:space="preserve">the importance of the spectrum of knowledge discussed earlier in the paper. </w:t>
      </w:r>
      <w:r w:rsidRPr="00145A97">
        <w:rPr>
          <w:lang w:val="en-GB"/>
        </w:rPr>
        <w:t xml:space="preserve">The </w:t>
      </w:r>
      <w:r w:rsidR="008F7224" w:rsidRPr="00145A97">
        <w:rPr>
          <w:lang w:val="en-GB"/>
        </w:rPr>
        <w:t>concept</w:t>
      </w:r>
      <w:r w:rsidRPr="00145A97">
        <w:rPr>
          <w:lang w:val="en-GB"/>
        </w:rPr>
        <w:t xml:space="preserve"> of subsidiarity is generally articulated as a means of strengthening the role of the sub-national levels</w:t>
      </w:r>
      <w:r w:rsidR="00ED72B2" w:rsidRPr="00145A97">
        <w:rPr>
          <w:lang w:val="en-GB"/>
        </w:rPr>
        <w:t>, which</w:t>
      </w:r>
      <w:r w:rsidRPr="00145A97">
        <w:rPr>
          <w:lang w:val="en-GB"/>
        </w:rPr>
        <w:t xml:space="preserve"> the Innovation Circle and </w:t>
      </w:r>
      <w:r w:rsidR="00ED72B2" w:rsidRPr="00145A97">
        <w:rPr>
          <w:lang w:val="en-GB"/>
        </w:rPr>
        <w:t xml:space="preserve">the </w:t>
      </w:r>
      <w:r w:rsidRPr="00145A97">
        <w:rPr>
          <w:lang w:val="en-GB"/>
        </w:rPr>
        <w:t>CPMR in particular</w:t>
      </w:r>
      <w:r w:rsidR="00ED72B2" w:rsidRPr="00145A97">
        <w:rPr>
          <w:lang w:val="en-GB"/>
        </w:rPr>
        <w:t>,</w:t>
      </w:r>
      <w:r w:rsidRPr="00145A97">
        <w:rPr>
          <w:lang w:val="en-GB"/>
        </w:rPr>
        <w:t xml:space="preserve"> </w:t>
      </w:r>
      <w:r w:rsidR="00ED72B2" w:rsidRPr="00145A97">
        <w:rPr>
          <w:lang w:val="en-GB"/>
        </w:rPr>
        <w:t xml:space="preserve">both </w:t>
      </w:r>
      <w:r w:rsidRPr="00145A97">
        <w:rPr>
          <w:lang w:val="en-GB"/>
        </w:rPr>
        <w:t xml:space="preserve">advocate </w:t>
      </w:r>
      <w:r w:rsidR="00ED72B2" w:rsidRPr="00145A97">
        <w:rPr>
          <w:lang w:val="en-GB"/>
        </w:rPr>
        <w:t>through</w:t>
      </w:r>
      <w:r w:rsidRPr="00145A97">
        <w:rPr>
          <w:lang w:val="en-GB"/>
        </w:rPr>
        <w:t xml:space="preserve"> bottom up approach</w:t>
      </w:r>
      <w:r w:rsidR="00ED72B2" w:rsidRPr="00145A97">
        <w:rPr>
          <w:lang w:val="en-GB"/>
        </w:rPr>
        <w:t>es</w:t>
      </w:r>
      <w:r w:rsidRPr="00145A97">
        <w:rPr>
          <w:lang w:val="en-GB"/>
        </w:rPr>
        <w:t xml:space="preserve"> to territorial cohesion policy. </w:t>
      </w:r>
      <w:r w:rsidR="00BC69ED" w:rsidRPr="00145A97">
        <w:rPr>
          <w:lang w:val="en-GB"/>
        </w:rPr>
        <w:t xml:space="preserve">All groups recognise the importance of policy integration and improved vertical and horizontal co-operation. </w:t>
      </w:r>
      <w:proofErr w:type="spellStart"/>
      <w:r w:rsidR="005F6D78" w:rsidRPr="00145A97">
        <w:rPr>
          <w:lang w:val="en-GB"/>
        </w:rPr>
        <w:t>Euroregion</w:t>
      </w:r>
      <w:proofErr w:type="spellEnd"/>
      <w:r w:rsidR="005F6D78" w:rsidRPr="00145A97">
        <w:rPr>
          <w:lang w:val="en-GB"/>
        </w:rPr>
        <w:t xml:space="preserve"> Baltic and NEEBOR specifically promote the use of macro-regional strategies</w:t>
      </w:r>
      <w:r w:rsidR="00ED72B2" w:rsidRPr="00145A97">
        <w:rPr>
          <w:lang w:val="en-GB"/>
        </w:rPr>
        <w:t>,</w:t>
      </w:r>
      <w:r w:rsidR="005F6D78" w:rsidRPr="00145A97">
        <w:rPr>
          <w:lang w:val="en-GB"/>
        </w:rPr>
        <w:t xml:space="preserve"> such as </w:t>
      </w:r>
      <w:r w:rsidR="005F6D78" w:rsidRPr="00145A97">
        <w:rPr>
          <w:lang w:val="en-GB"/>
        </w:rPr>
        <w:lastRenderedPageBreak/>
        <w:t>the EU Strategy for the BSR</w:t>
      </w:r>
      <w:r w:rsidR="0038299E">
        <w:rPr>
          <w:lang w:val="en-GB"/>
        </w:rPr>
        <w:t>,</w:t>
      </w:r>
      <w:r w:rsidR="005F6D78" w:rsidRPr="00145A97">
        <w:rPr>
          <w:lang w:val="en-GB"/>
        </w:rPr>
        <w:t xml:space="preserve"> as a means of improving governance and co-operation. </w:t>
      </w:r>
      <w:r w:rsidR="00BC69ED" w:rsidRPr="00145A97">
        <w:rPr>
          <w:lang w:val="en-GB"/>
        </w:rPr>
        <w:t xml:space="preserve">The responses from </w:t>
      </w:r>
      <w:proofErr w:type="spellStart"/>
      <w:r w:rsidR="00BC69ED" w:rsidRPr="00145A97">
        <w:rPr>
          <w:lang w:val="en-GB"/>
        </w:rPr>
        <w:t>Euroregion</w:t>
      </w:r>
      <w:proofErr w:type="spellEnd"/>
      <w:r w:rsidR="00BC69ED" w:rsidRPr="00145A97">
        <w:rPr>
          <w:lang w:val="en-GB"/>
        </w:rPr>
        <w:t xml:space="preserve"> Baltic and B7 Islands Network share a common equity</w:t>
      </w:r>
      <w:r w:rsidR="00ED72B2" w:rsidRPr="00145A97">
        <w:rPr>
          <w:lang w:val="en-GB"/>
        </w:rPr>
        <w:t>-</w:t>
      </w:r>
      <w:r w:rsidR="00BC69ED" w:rsidRPr="00145A97">
        <w:rPr>
          <w:lang w:val="en-GB"/>
        </w:rPr>
        <w:t>based perspective</w:t>
      </w:r>
      <w:r w:rsidR="00755A79">
        <w:rPr>
          <w:lang w:val="en-GB"/>
        </w:rPr>
        <w:t xml:space="preserve"> and </w:t>
      </w:r>
      <w:r w:rsidR="00ED72B2" w:rsidRPr="00145A97">
        <w:rPr>
          <w:lang w:val="en-GB"/>
        </w:rPr>
        <w:t xml:space="preserve">both </w:t>
      </w:r>
      <w:r w:rsidR="00BC69ED" w:rsidRPr="00145A97">
        <w:rPr>
          <w:lang w:val="en-GB"/>
        </w:rPr>
        <w:t xml:space="preserve">demonstrate familiarity with EU debates and instruments. </w:t>
      </w:r>
      <w:r w:rsidR="00755A79">
        <w:rPr>
          <w:lang w:val="en-GB"/>
        </w:rPr>
        <w:t xml:space="preserve">Both </w:t>
      </w:r>
      <w:r w:rsidR="00BC69ED" w:rsidRPr="00145A97">
        <w:rPr>
          <w:lang w:val="en-GB"/>
        </w:rPr>
        <w:t>support an EU level Territorial Pact to promote more effective territorial governance</w:t>
      </w:r>
      <w:r w:rsidR="0038299E">
        <w:rPr>
          <w:lang w:val="en-GB"/>
        </w:rPr>
        <w:t xml:space="preserve"> and </w:t>
      </w:r>
      <w:r w:rsidR="00BC69ED" w:rsidRPr="00145A97">
        <w:rPr>
          <w:lang w:val="en-GB"/>
        </w:rPr>
        <w:t>also strongly advocate improved co-operation via the European Groupings of Territorial Cooperation (EGTC)</w:t>
      </w:r>
      <w:r w:rsidR="00ED72B2" w:rsidRPr="00145A97">
        <w:rPr>
          <w:lang w:val="en-GB"/>
        </w:rPr>
        <w:t>. They</w:t>
      </w:r>
      <w:r w:rsidR="00BC69ED" w:rsidRPr="00145A97">
        <w:rPr>
          <w:lang w:val="en-GB"/>
        </w:rPr>
        <w:t xml:space="preserve"> complain that a number of member states have not yet integrated the EGTCs into their respective legislative systems, while others have implemented the regulation in such a way as to make it difficult to establish territorial cooperation structures with partners from neighbouring countries. The latter points may be an example where actors are talking the talk but not necessarily walking the walk in relation to EU </w:t>
      </w:r>
      <w:r w:rsidR="007F06DB" w:rsidRPr="00145A97">
        <w:rPr>
          <w:lang w:val="en-GB"/>
        </w:rPr>
        <w:t>policy discourse</w:t>
      </w:r>
      <w:r w:rsidR="00BC69ED" w:rsidRPr="00145A97">
        <w:rPr>
          <w:lang w:val="en-GB"/>
        </w:rPr>
        <w:t xml:space="preserve">. </w:t>
      </w:r>
    </w:p>
    <w:p w:rsidR="00677C5F" w:rsidRPr="00145A97" w:rsidRDefault="00A203A7" w:rsidP="00617F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 </w:t>
      </w:r>
      <w:r w:rsidR="00ED72B2" w:rsidRPr="00145A97">
        <w:rPr>
          <w:lang w:val="en-GB"/>
        </w:rPr>
        <w:t xml:space="preserve">interest group </w:t>
      </w:r>
      <w:r w:rsidRPr="00145A97">
        <w:rPr>
          <w:lang w:val="en-GB"/>
        </w:rPr>
        <w:t xml:space="preserve">responses also demonstrate a high degree of consensus (also </w:t>
      </w:r>
      <w:r w:rsidR="00117591" w:rsidRPr="00145A97">
        <w:rPr>
          <w:lang w:val="en-GB"/>
        </w:rPr>
        <w:t>compared to</w:t>
      </w:r>
      <w:r w:rsidRPr="00145A97">
        <w:rPr>
          <w:lang w:val="en-GB"/>
        </w:rPr>
        <w:t xml:space="preserve"> national responses) in relation to the sectors where it is important to consider the territorial impacts with rural development, transport, energy, environment and culture being the most common. </w:t>
      </w:r>
      <w:r w:rsidR="00755A79">
        <w:rPr>
          <w:lang w:val="en-GB"/>
        </w:rPr>
        <w:t>Individual responses also identify</w:t>
      </w:r>
      <w:r w:rsidRPr="00145A97">
        <w:rPr>
          <w:lang w:val="en-GB"/>
        </w:rPr>
        <w:t xml:space="preserve"> access to services, climate change and maritime policy</w:t>
      </w:r>
      <w:r w:rsidR="005F6D78" w:rsidRPr="00145A97">
        <w:rPr>
          <w:lang w:val="en-GB"/>
        </w:rPr>
        <w:t xml:space="preserve">. The </w:t>
      </w:r>
      <w:r w:rsidR="007F06DB" w:rsidRPr="00145A97">
        <w:rPr>
          <w:lang w:val="en-GB"/>
        </w:rPr>
        <w:t xml:space="preserve">predominantly </w:t>
      </w:r>
      <w:r w:rsidR="005F6D78" w:rsidRPr="00145A97">
        <w:rPr>
          <w:lang w:val="en-GB"/>
        </w:rPr>
        <w:t xml:space="preserve">sub-national partners </w:t>
      </w:r>
      <w:r w:rsidR="007F06DB" w:rsidRPr="00145A97">
        <w:rPr>
          <w:lang w:val="en-GB"/>
        </w:rPr>
        <w:t>forming</w:t>
      </w:r>
      <w:r w:rsidR="005F6D78" w:rsidRPr="00145A97">
        <w:rPr>
          <w:lang w:val="en-GB"/>
        </w:rPr>
        <w:t xml:space="preserve"> these transnational networks do not appear to link territorial cohesion to economic development </w:t>
      </w:r>
      <w:r w:rsidR="00D77270" w:rsidRPr="00145A97">
        <w:rPr>
          <w:lang w:val="en-GB"/>
        </w:rPr>
        <w:t xml:space="preserve">as strongly </w:t>
      </w:r>
      <w:r w:rsidR="005F6D78" w:rsidRPr="00145A97">
        <w:rPr>
          <w:lang w:val="en-GB"/>
        </w:rPr>
        <w:t xml:space="preserve">as the national governments. </w:t>
      </w:r>
    </w:p>
    <w:p w:rsidR="00AA7B25" w:rsidRPr="00145A97" w:rsidRDefault="005F6D78" w:rsidP="00AA7B2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All interest groups identify the importance of increasing our understanding of territorial cohesion and suggest the development of more effective and meaningful goals and indicators. </w:t>
      </w:r>
      <w:r w:rsidR="00AA7B25" w:rsidRPr="00145A97">
        <w:rPr>
          <w:lang w:val="en-GB"/>
        </w:rPr>
        <w:t xml:space="preserve">Qualitative and quantitative indicators focusing on geographical </w:t>
      </w:r>
      <w:proofErr w:type="spellStart"/>
      <w:r w:rsidR="00AA7B25" w:rsidRPr="00145A97">
        <w:rPr>
          <w:lang w:val="en-GB"/>
        </w:rPr>
        <w:t>peripherality</w:t>
      </w:r>
      <w:proofErr w:type="spellEnd"/>
      <w:r w:rsidR="00D77270">
        <w:rPr>
          <w:lang w:val="en-GB"/>
        </w:rPr>
        <w:t>,</w:t>
      </w:r>
      <w:r w:rsidR="00AA7B25" w:rsidRPr="00145A97">
        <w:rPr>
          <w:lang w:val="en-GB"/>
        </w:rPr>
        <w:t xml:space="preserve"> accessibility, access to services, demographic trends, quality of life and quality of the environment are given high priority. </w:t>
      </w:r>
      <w:r w:rsidR="00B3210C" w:rsidRPr="00145A97">
        <w:rPr>
          <w:lang w:val="en-GB"/>
        </w:rPr>
        <w:t xml:space="preserve">The similarities </w:t>
      </w:r>
      <w:r w:rsidR="00AA7B25" w:rsidRPr="00145A97">
        <w:rPr>
          <w:lang w:val="en-GB"/>
        </w:rPr>
        <w:t xml:space="preserve">identified earlier </w:t>
      </w:r>
      <w:r w:rsidR="00B3210C" w:rsidRPr="00145A97">
        <w:rPr>
          <w:lang w:val="en-GB"/>
        </w:rPr>
        <w:t xml:space="preserve">between the responses from </w:t>
      </w:r>
      <w:proofErr w:type="spellStart"/>
      <w:r w:rsidR="00B3210C" w:rsidRPr="00145A97">
        <w:rPr>
          <w:lang w:val="en-GB"/>
        </w:rPr>
        <w:t>Euroregion</w:t>
      </w:r>
      <w:proofErr w:type="spellEnd"/>
      <w:r w:rsidR="00B3210C" w:rsidRPr="00145A97">
        <w:rPr>
          <w:lang w:val="en-GB"/>
        </w:rPr>
        <w:t xml:space="preserve"> Baltic and B7 Islands Network are reflected </w:t>
      </w:r>
      <w:r w:rsidR="00AA7B25" w:rsidRPr="00145A97">
        <w:rPr>
          <w:lang w:val="en-GB"/>
        </w:rPr>
        <w:t xml:space="preserve">in </w:t>
      </w:r>
      <w:r w:rsidR="00B3210C" w:rsidRPr="00145A97">
        <w:rPr>
          <w:lang w:val="en-GB"/>
        </w:rPr>
        <w:t xml:space="preserve">almost identical recommendations for quantitative and qualitative indicators. </w:t>
      </w:r>
      <w:r w:rsidR="00B84612" w:rsidRPr="00145A97">
        <w:rPr>
          <w:lang w:val="en-GB"/>
        </w:rPr>
        <w:t xml:space="preserve">These common understandings may </w:t>
      </w:r>
      <w:r w:rsidR="003F13BF" w:rsidRPr="00145A97">
        <w:rPr>
          <w:lang w:val="en-GB"/>
        </w:rPr>
        <w:t xml:space="preserve">reflect </w:t>
      </w:r>
      <w:r w:rsidR="00B84612" w:rsidRPr="00145A97">
        <w:rPr>
          <w:lang w:val="en-GB"/>
        </w:rPr>
        <w:t>agent interaction within the same or related territorial knowledge communities and arenas (the Danish island of Bornholm is a member of both networks)</w:t>
      </w:r>
      <w:r w:rsidR="003F13BF" w:rsidRPr="00145A97">
        <w:rPr>
          <w:lang w:val="en-GB"/>
        </w:rPr>
        <w:t>.</w:t>
      </w:r>
      <w:r w:rsidR="00B84612" w:rsidRPr="00145A97">
        <w:rPr>
          <w:lang w:val="en-GB"/>
        </w:rPr>
        <w:t xml:space="preserve"> </w:t>
      </w:r>
      <w:r w:rsidR="00AA7B25" w:rsidRPr="00145A97">
        <w:rPr>
          <w:lang w:val="en-GB"/>
        </w:rPr>
        <w:t xml:space="preserve">The CPMR response emphasises the importance of local and flexible solutions and the role of local </w:t>
      </w:r>
      <w:r w:rsidR="00AA7B25" w:rsidRPr="00145A97">
        <w:rPr>
          <w:lang w:val="en-GB"/>
        </w:rPr>
        <w:lastRenderedPageBreak/>
        <w:t xml:space="preserve">knowledge on the one hand while on the other hand advocating the role of ESPON in generating the knowledge resources necessary to facilitate informed decision-making. </w:t>
      </w:r>
    </w:p>
    <w:p w:rsidR="002E57A1" w:rsidRPr="00145A97" w:rsidRDefault="002E57A1" w:rsidP="002E57A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All of the interest groups </w:t>
      </w:r>
      <w:r w:rsidR="003F13BF" w:rsidRPr="00145A97">
        <w:rPr>
          <w:lang w:val="en-GB"/>
        </w:rPr>
        <w:t xml:space="preserve">discussed </w:t>
      </w:r>
      <w:r w:rsidRPr="00145A97">
        <w:rPr>
          <w:lang w:val="en-GB"/>
        </w:rPr>
        <w:t xml:space="preserve">operate as knowledge arenas </w:t>
      </w:r>
      <w:r w:rsidR="008841CA" w:rsidRPr="00145A97">
        <w:rPr>
          <w:lang w:val="en-GB"/>
        </w:rPr>
        <w:t>within which territorial knowledge communities seek to advance, inform or legitimize policy agendas and approaches through the strategic use of knowledge resources.</w:t>
      </w:r>
      <w:r w:rsidRPr="00145A97">
        <w:rPr>
          <w:lang w:val="en-GB"/>
        </w:rPr>
        <w:t xml:space="preserve"> The groups emphasise the importance of local knowledge</w:t>
      </w:r>
      <w:r w:rsidR="00ED72B2" w:rsidRPr="00145A97">
        <w:rPr>
          <w:lang w:val="en-GB"/>
        </w:rPr>
        <w:t>,</w:t>
      </w:r>
      <w:r w:rsidRPr="00145A97">
        <w:rPr>
          <w:lang w:val="en-GB"/>
        </w:rPr>
        <w:t xml:space="preserve"> but in the case of CPMR </w:t>
      </w:r>
      <w:r w:rsidR="00ED72B2" w:rsidRPr="00145A97">
        <w:rPr>
          <w:lang w:val="en-GB"/>
        </w:rPr>
        <w:t xml:space="preserve">they </w:t>
      </w:r>
      <w:r w:rsidRPr="00145A97">
        <w:rPr>
          <w:lang w:val="en-GB"/>
        </w:rPr>
        <w:t xml:space="preserve">recognise the importance of more quantitative scientific knowledge </w:t>
      </w:r>
      <w:r w:rsidR="00ED72B2" w:rsidRPr="00145A97">
        <w:rPr>
          <w:lang w:val="en-GB"/>
        </w:rPr>
        <w:t xml:space="preserve">– </w:t>
      </w:r>
      <w:r w:rsidRPr="00145A97">
        <w:rPr>
          <w:lang w:val="en-GB"/>
        </w:rPr>
        <w:t>thus reflecting</w:t>
      </w:r>
      <w:r w:rsidR="008A1754" w:rsidRPr="00145A97">
        <w:rPr>
          <w:lang w:val="en-GB"/>
        </w:rPr>
        <w:t xml:space="preserve"> the full spectrum of knowledge</w:t>
      </w:r>
      <w:r w:rsidRPr="00145A97">
        <w:rPr>
          <w:lang w:val="en-GB"/>
        </w:rPr>
        <w:t xml:space="preserve"> discussed earlier. These knowledge communities display varying degrees of flexibility in terms of their membership and organisation</w:t>
      </w:r>
      <w:r w:rsidR="0038299E">
        <w:rPr>
          <w:lang w:val="en-GB"/>
        </w:rPr>
        <w:t>, though</w:t>
      </w:r>
      <w:r w:rsidRPr="00145A97">
        <w:rPr>
          <w:lang w:val="en-GB"/>
        </w:rPr>
        <w:t xml:space="preserve"> all are subject to institutional reforms in countries within which they have members. </w:t>
      </w:r>
      <w:r w:rsidR="00ED72B2" w:rsidRPr="00145A97">
        <w:rPr>
          <w:lang w:val="en-GB"/>
        </w:rPr>
        <w:t xml:space="preserve">Recently both </w:t>
      </w:r>
      <w:proofErr w:type="spellStart"/>
      <w:r w:rsidRPr="00145A97">
        <w:rPr>
          <w:lang w:val="en-GB"/>
        </w:rPr>
        <w:t>Euroregion</w:t>
      </w:r>
      <w:proofErr w:type="spellEnd"/>
      <w:r w:rsidRPr="00145A97">
        <w:rPr>
          <w:lang w:val="en-GB"/>
        </w:rPr>
        <w:t xml:space="preserve"> Baltic and CPMR Baltic Sea Commission have lost members due to the dissolution of </w:t>
      </w:r>
      <w:r w:rsidR="0038299E">
        <w:rPr>
          <w:lang w:val="en-GB"/>
        </w:rPr>
        <w:t xml:space="preserve">institutional structures </w:t>
      </w:r>
      <w:r w:rsidRPr="00145A97">
        <w:rPr>
          <w:lang w:val="en-GB"/>
        </w:rPr>
        <w:t>in Lithuania and Latvia</w:t>
      </w:r>
      <w:r w:rsidRPr="00145A97">
        <w:rPr>
          <w:rStyle w:val="Rimandonotaapidipagina"/>
          <w:lang w:val="en-GB"/>
        </w:rPr>
        <w:footnoteReference w:id="13"/>
      </w:r>
      <w:r w:rsidRPr="00145A97">
        <w:rPr>
          <w:lang w:val="en-GB"/>
        </w:rPr>
        <w:t xml:space="preserve"> </w:t>
      </w:r>
      <w:r w:rsidR="0038299E">
        <w:rPr>
          <w:lang w:val="en-GB"/>
        </w:rPr>
        <w:t xml:space="preserve">meaning that these two countries </w:t>
      </w:r>
      <w:r w:rsidRPr="00145A97">
        <w:rPr>
          <w:lang w:val="en-GB"/>
        </w:rPr>
        <w:t xml:space="preserve">are no longer represented in </w:t>
      </w:r>
      <w:r w:rsidR="0038299E">
        <w:rPr>
          <w:lang w:val="en-GB"/>
        </w:rPr>
        <w:t>these</w:t>
      </w:r>
      <w:r w:rsidRPr="00145A97">
        <w:rPr>
          <w:lang w:val="en-GB"/>
        </w:rPr>
        <w:t xml:space="preserve"> influential advocacy coalition</w:t>
      </w:r>
      <w:r w:rsidR="0038299E">
        <w:rPr>
          <w:lang w:val="en-GB"/>
        </w:rPr>
        <w:t>s</w:t>
      </w:r>
      <w:r w:rsidRPr="00145A97">
        <w:rPr>
          <w:lang w:val="en-GB"/>
        </w:rPr>
        <w:t xml:space="preserve">. </w:t>
      </w:r>
    </w:p>
    <w:p w:rsidR="002E57A1" w:rsidRPr="00145A97" w:rsidRDefault="002E57A1" w:rsidP="002E57A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Innovation Circle and NEEBOR represent even more flexible structure</w:t>
      </w:r>
      <w:r w:rsidR="00D77270">
        <w:rPr>
          <w:lang w:val="en-GB"/>
        </w:rPr>
        <w:t>s</w:t>
      </w:r>
      <w:r w:rsidRPr="00145A97">
        <w:rPr>
          <w:lang w:val="en-GB"/>
        </w:rPr>
        <w:t xml:space="preserve"> with some members participating in projects while others are simply members of </w:t>
      </w:r>
      <w:r w:rsidR="00BF5628">
        <w:rPr>
          <w:lang w:val="en-GB"/>
        </w:rPr>
        <w:t>the</w:t>
      </w:r>
      <w:r w:rsidRPr="00145A97">
        <w:rPr>
          <w:lang w:val="en-GB"/>
        </w:rPr>
        <w:t xml:space="preserve"> broader network. The origins of the Innovation Circle Network can be traced back to an </w:t>
      </w:r>
      <w:proofErr w:type="spellStart"/>
      <w:r w:rsidRPr="00145A97">
        <w:rPr>
          <w:lang w:val="en-GB"/>
        </w:rPr>
        <w:t>Interreg</w:t>
      </w:r>
      <w:proofErr w:type="spellEnd"/>
      <w:r w:rsidRPr="00145A97">
        <w:rPr>
          <w:lang w:val="en-GB"/>
        </w:rPr>
        <w:t xml:space="preserve"> IIIB project, PIPE (Participation, Identity, Planning and Entrepreneurship)</w:t>
      </w:r>
      <w:r w:rsidR="005D085D" w:rsidRPr="00145A97">
        <w:rPr>
          <w:lang w:val="en-GB"/>
        </w:rPr>
        <w:t xml:space="preserve">, which has been </w:t>
      </w:r>
      <w:r w:rsidR="000C2508" w:rsidRPr="00145A97">
        <w:rPr>
          <w:lang w:val="en-GB"/>
        </w:rPr>
        <w:t xml:space="preserve">further </w:t>
      </w:r>
      <w:r w:rsidR="005D085D" w:rsidRPr="00145A97">
        <w:rPr>
          <w:lang w:val="en-GB"/>
        </w:rPr>
        <w:t xml:space="preserve">followed </w:t>
      </w:r>
      <w:r w:rsidRPr="00145A97">
        <w:rPr>
          <w:lang w:val="en-GB"/>
        </w:rPr>
        <w:t xml:space="preserve">by </w:t>
      </w:r>
      <w:r w:rsidR="000C2508" w:rsidRPr="00145A97">
        <w:rPr>
          <w:lang w:val="en-GB"/>
        </w:rPr>
        <w:t xml:space="preserve">the </w:t>
      </w:r>
      <w:r w:rsidRPr="00145A97">
        <w:rPr>
          <w:lang w:val="en-GB"/>
        </w:rPr>
        <w:t xml:space="preserve">projects </w:t>
      </w:r>
      <w:r w:rsidR="000C2508" w:rsidRPr="00145A97">
        <w:rPr>
          <w:lang w:val="en-GB"/>
        </w:rPr>
        <w:t>‘</w:t>
      </w:r>
      <w:r w:rsidRPr="00145A97">
        <w:rPr>
          <w:lang w:val="en-GB"/>
        </w:rPr>
        <w:t>Innovation Circle</w:t>
      </w:r>
      <w:r w:rsidR="000C2508" w:rsidRPr="00145A97">
        <w:rPr>
          <w:lang w:val="en-GB"/>
        </w:rPr>
        <w:t>’</w:t>
      </w:r>
      <w:r w:rsidRPr="00145A97">
        <w:rPr>
          <w:lang w:val="en-GB"/>
        </w:rPr>
        <w:t xml:space="preserve"> and </w:t>
      </w:r>
      <w:r w:rsidR="000C2508" w:rsidRPr="00145A97">
        <w:rPr>
          <w:lang w:val="en-GB"/>
        </w:rPr>
        <w:t>‘</w:t>
      </w:r>
      <w:r w:rsidRPr="00145A97">
        <w:rPr>
          <w:lang w:val="en-GB"/>
        </w:rPr>
        <w:t>Trans-in-form</w:t>
      </w:r>
      <w:r w:rsidR="000C2508" w:rsidRPr="00145A97">
        <w:rPr>
          <w:lang w:val="en-GB"/>
        </w:rPr>
        <w:t>’</w:t>
      </w:r>
      <w:r w:rsidRPr="00145A97">
        <w:rPr>
          <w:lang w:val="en-GB"/>
        </w:rPr>
        <w:t>. The fluidity of the partnership also reflects institutional reforms and changing priorities in different countries and the emergence or disappearance of particular personalities within the partner organisations. The wider network currently has approximately thirty partners in eight countries</w:t>
      </w:r>
      <w:r w:rsidR="000C2508" w:rsidRPr="00145A97">
        <w:rPr>
          <w:lang w:val="en-GB"/>
        </w:rPr>
        <w:t>:</w:t>
      </w:r>
      <w:r w:rsidRPr="00145A97">
        <w:rPr>
          <w:lang w:val="en-GB"/>
        </w:rPr>
        <w:t xml:space="preserve"> the three Baltic States plus Norway, Poland, Sweden, Finland and Russia. NEEBOR is similar to the Innovation Circle Network in that some members co-operate </w:t>
      </w:r>
      <w:r w:rsidR="00D77270">
        <w:rPr>
          <w:lang w:val="en-GB"/>
        </w:rPr>
        <w:t>in</w:t>
      </w:r>
      <w:r w:rsidR="000C2508" w:rsidRPr="00145A97">
        <w:rPr>
          <w:lang w:val="en-GB"/>
        </w:rPr>
        <w:t xml:space="preserve"> </w:t>
      </w:r>
      <w:r w:rsidRPr="00145A97">
        <w:rPr>
          <w:lang w:val="en-GB"/>
        </w:rPr>
        <w:t xml:space="preserve">projects including an </w:t>
      </w:r>
      <w:proofErr w:type="spellStart"/>
      <w:r w:rsidRPr="00145A97">
        <w:rPr>
          <w:lang w:val="en-GB"/>
        </w:rPr>
        <w:t>ongoing</w:t>
      </w:r>
      <w:proofErr w:type="spellEnd"/>
      <w:r w:rsidRPr="00145A97">
        <w:rPr>
          <w:lang w:val="en-GB"/>
        </w:rPr>
        <w:t xml:space="preserve"> </w:t>
      </w:r>
      <w:proofErr w:type="spellStart"/>
      <w:r w:rsidRPr="00145A97">
        <w:rPr>
          <w:lang w:val="en-GB"/>
        </w:rPr>
        <w:t>Interreg</w:t>
      </w:r>
      <w:proofErr w:type="spellEnd"/>
      <w:r w:rsidRPr="00145A97">
        <w:rPr>
          <w:lang w:val="en-GB"/>
        </w:rPr>
        <w:t xml:space="preserve"> IVC project </w:t>
      </w:r>
      <w:r w:rsidR="00D77270">
        <w:rPr>
          <w:lang w:val="en-GB"/>
        </w:rPr>
        <w:t>focusing on</w:t>
      </w:r>
      <w:r w:rsidRPr="00145A97">
        <w:rPr>
          <w:lang w:val="en-GB"/>
        </w:rPr>
        <w:t xml:space="preserve"> SME development and innovation policies in external border areas. The fluidity of these arrangements and networks creates conditions conducive to the types of internationalisation of knowledge and policy mobility discussed earlier in the paper.</w:t>
      </w:r>
    </w:p>
    <w:p w:rsidR="00B84612" w:rsidRPr="00145A97" w:rsidRDefault="00D166EF" w:rsidP="00540BCE">
      <w:pPr>
        <w:spacing w:line="480" w:lineRule="auto"/>
        <w:outlineLvl w:val="0"/>
        <w:rPr>
          <w:lang w:val="en-GB"/>
        </w:rPr>
      </w:pPr>
      <w:r w:rsidRPr="00145A97">
        <w:rPr>
          <w:b/>
          <w:lang w:val="en-GB"/>
        </w:rPr>
        <w:lastRenderedPageBreak/>
        <w:t>Conclusion</w:t>
      </w:r>
      <w:r w:rsidR="00494C7A" w:rsidRPr="00145A97">
        <w:rPr>
          <w:b/>
          <w:lang w:val="en-GB"/>
        </w:rPr>
        <w:t>s</w:t>
      </w:r>
    </w:p>
    <w:p w:rsidR="0057152F" w:rsidRPr="00145A97" w:rsidRDefault="0057152F" w:rsidP="004B2163">
      <w:pPr>
        <w:spacing w:line="480" w:lineRule="auto"/>
        <w:jc w:val="both"/>
        <w:rPr>
          <w:lang w:val="en-GB"/>
        </w:rPr>
      </w:pPr>
      <w:r w:rsidRPr="00145A97">
        <w:rPr>
          <w:lang w:val="en-GB"/>
        </w:rPr>
        <w:t xml:space="preserve">This paper has sought to explore the evolution of </w:t>
      </w:r>
      <w:r w:rsidR="004B2163" w:rsidRPr="00145A97">
        <w:rPr>
          <w:lang w:val="en-GB"/>
        </w:rPr>
        <w:t>the institutional landscape for planning practice and knowledge</w:t>
      </w:r>
      <w:r w:rsidR="004B2163">
        <w:rPr>
          <w:lang w:val="en-GB"/>
        </w:rPr>
        <w:t xml:space="preserve"> </w:t>
      </w:r>
      <w:r w:rsidRPr="00145A97">
        <w:rPr>
          <w:lang w:val="en-GB"/>
        </w:rPr>
        <w:t xml:space="preserve">in the Baltic States. It examines the extent and nature of </w:t>
      </w:r>
      <w:r w:rsidR="00D06AB4" w:rsidRPr="00145A97">
        <w:rPr>
          <w:lang w:val="en-GB"/>
        </w:rPr>
        <w:t>engagement</w:t>
      </w:r>
      <w:r w:rsidR="00D06AB4">
        <w:rPr>
          <w:lang w:val="en-GB"/>
        </w:rPr>
        <w:t xml:space="preserve"> of</w:t>
      </w:r>
      <w:r w:rsidR="00D06AB4" w:rsidRPr="00145A97">
        <w:rPr>
          <w:lang w:val="en-GB"/>
        </w:rPr>
        <w:t xml:space="preserve"> </w:t>
      </w:r>
      <w:r w:rsidRPr="00145A97">
        <w:rPr>
          <w:lang w:val="en-GB"/>
        </w:rPr>
        <w:t xml:space="preserve">territorial knowledge communities with </w:t>
      </w:r>
      <w:r w:rsidR="00D06AB4">
        <w:rPr>
          <w:lang w:val="en-GB"/>
        </w:rPr>
        <w:t>key</w:t>
      </w:r>
      <w:r w:rsidRPr="00145A97">
        <w:rPr>
          <w:lang w:val="en-GB"/>
        </w:rPr>
        <w:t xml:space="preserve"> knowledge arenas of E</w:t>
      </w:r>
      <w:r w:rsidR="00D06AB4">
        <w:rPr>
          <w:lang w:val="en-GB"/>
        </w:rPr>
        <w:t>SP</w:t>
      </w:r>
      <w:r w:rsidR="004B2163">
        <w:rPr>
          <w:lang w:val="en-GB"/>
        </w:rPr>
        <w:t xml:space="preserve"> and </w:t>
      </w:r>
      <w:r w:rsidRPr="00145A97">
        <w:rPr>
          <w:lang w:val="en-GB"/>
        </w:rPr>
        <w:t xml:space="preserve">identifies the drivers of institutional change following a neoliberal reassertion of economic priorities, State funding cuts, </w:t>
      </w:r>
      <w:r w:rsidR="00E120BE" w:rsidRPr="00145A97">
        <w:rPr>
          <w:lang w:val="en-GB"/>
        </w:rPr>
        <w:t>the</w:t>
      </w:r>
      <w:r w:rsidRPr="00145A97">
        <w:rPr>
          <w:lang w:val="en-GB"/>
        </w:rPr>
        <w:t xml:space="preserve"> dissolution of territorial governance</w:t>
      </w:r>
      <w:r w:rsidR="00DD5EBE">
        <w:rPr>
          <w:lang w:val="en-GB"/>
        </w:rPr>
        <w:t xml:space="preserve"> structures</w:t>
      </w:r>
      <w:r w:rsidRPr="00145A97">
        <w:rPr>
          <w:lang w:val="en-GB"/>
        </w:rPr>
        <w:t xml:space="preserve"> and the dismantling of State research institutions or knowledge networks. </w:t>
      </w:r>
      <w:r w:rsidR="004B2163">
        <w:rPr>
          <w:lang w:val="en-GB"/>
        </w:rPr>
        <w:t xml:space="preserve">These </w:t>
      </w:r>
      <w:r w:rsidRPr="00145A97">
        <w:rPr>
          <w:lang w:val="en-GB"/>
        </w:rPr>
        <w:t xml:space="preserve">factors may </w:t>
      </w:r>
      <w:r w:rsidR="004B2163">
        <w:rPr>
          <w:lang w:val="en-GB"/>
        </w:rPr>
        <w:t xml:space="preserve">potentially </w:t>
      </w:r>
      <w:r w:rsidR="00E120BE" w:rsidRPr="00145A97">
        <w:rPr>
          <w:lang w:val="en-GB"/>
        </w:rPr>
        <w:t>a</w:t>
      </w:r>
      <w:r w:rsidRPr="00145A97">
        <w:rPr>
          <w:lang w:val="en-GB"/>
        </w:rPr>
        <w:t xml:space="preserve">ffect future policy coordination across a broader spectrum of diverse actors at sub-national levels, which </w:t>
      </w:r>
      <w:r w:rsidR="00BA3EC8" w:rsidRPr="00145A97">
        <w:rPr>
          <w:lang w:val="en-GB"/>
        </w:rPr>
        <w:t xml:space="preserve">are </w:t>
      </w:r>
      <w:r w:rsidRPr="00145A97">
        <w:rPr>
          <w:lang w:val="en-GB"/>
        </w:rPr>
        <w:t>already marked by the institutionally weak and fragmented nature of professional communities of practice, fragmented local government structures and the marginalisation of advocacy coalitions.</w:t>
      </w:r>
    </w:p>
    <w:p w:rsidR="0057152F" w:rsidRPr="00145A97" w:rsidRDefault="00DD5EBE" w:rsidP="005715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Pr>
          <w:lang w:val="en-GB"/>
        </w:rPr>
        <w:t>T</w:t>
      </w:r>
      <w:r w:rsidR="00BA3EC8">
        <w:rPr>
          <w:lang w:val="en-GB"/>
        </w:rPr>
        <w:t xml:space="preserve">erritorial </w:t>
      </w:r>
      <w:r w:rsidR="0057152F" w:rsidRPr="00145A97">
        <w:rPr>
          <w:lang w:val="en-GB"/>
        </w:rPr>
        <w:t xml:space="preserve">knowledge communities in the Baltic States </w:t>
      </w:r>
      <w:r w:rsidR="00BA3EC8">
        <w:rPr>
          <w:lang w:val="en-GB"/>
        </w:rPr>
        <w:t xml:space="preserve">far exceed </w:t>
      </w:r>
      <w:r w:rsidR="0057152F" w:rsidRPr="00145A97">
        <w:rPr>
          <w:lang w:val="en-GB"/>
        </w:rPr>
        <w:t>the membership of planning associations</w:t>
      </w:r>
      <w:r>
        <w:rPr>
          <w:lang w:val="en-GB"/>
        </w:rPr>
        <w:t xml:space="preserve"> and </w:t>
      </w:r>
      <w:r w:rsidR="0057152F" w:rsidRPr="00145A97">
        <w:rPr>
          <w:lang w:val="en-GB"/>
        </w:rPr>
        <w:t xml:space="preserve">include politicians, academics and researchers operating within different networks at different spatial scales within diverse institutions. However, these communities are weak and fragmented in character. The strong pro-development lobby in many CEE countries, including the Baltic States, exacerbates this fragmentation as different interests pursue their own agendas ‘to catch up the West both economically and conceptually’ (Maier 2011: 267). </w:t>
      </w:r>
      <w:r>
        <w:rPr>
          <w:lang w:val="en-GB"/>
        </w:rPr>
        <w:t>I</w:t>
      </w:r>
      <w:r w:rsidR="0057152F" w:rsidRPr="00145A97">
        <w:rPr>
          <w:lang w:val="en-GB"/>
        </w:rPr>
        <w:t>nstitutional reforms across the Baltic States</w:t>
      </w:r>
      <w:r>
        <w:rPr>
          <w:lang w:val="en-GB"/>
        </w:rPr>
        <w:t xml:space="preserve"> and</w:t>
      </w:r>
      <w:r w:rsidR="0057152F" w:rsidRPr="00145A97">
        <w:rPr>
          <w:lang w:val="en-GB"/>
        </w:rPr>
        <w:t xml:space="preserve"> the dismantling and dissolution of knowledge networks </w:t>
      </w:r>
      <w:r w:rsidR="004B2163">
        <w:rPr>
          <w:lang w:val="en-GB"/>
        </w:rPr>
        <w:t>have hampered</w:t>
      </w:r>
      <w:r w:rsidR="0057152F" w:rsidRPr="00145A97">
        <w:rPr>
          <w:lang w:val="en-GB"/>
        </w:rPr>
        <w:t xml:space="preserve"> the evolution </w:t>
      </w:r>
      <w:r w:rsidR="004B2163" w:rsidRPr="00145A97">
        <w:rPr>
          <w:lang w:val="en-GB"/>
        </w:rPr>
        <w:t xml:space="preserve">and consolidation </w:t>
      </w:r>
      <w:r w:rsidR="0057152F" w:rsidRPr="00145A97">
        <w:rPr>
          <w:lang w:val="en-GB"/>
        </w:rPr>
        <w:t>of knowledge among policy communities. The abolition or weakening of regional tiers of territorial governance has compounded the effects of State funding cuts and left a planning practice vacuum</w:t>
      </w:r>
      <w:r w:rsidR="00BA3EC8">
        <w:rPr>
          <w:lang w:val="en-GB"/>
        </w:rPr>
        <w:t xml:space="preserve"> and inhibited </w:t>
      </w:r>
      <w:r w:rsidR="0057152F" w:rsidRPr="00145A97">
        <w:rPr>
          <w:lang w:val="en-GB"/>
        </w:rPr>
        <w:t xml:space="preserve">the potential </w:t>
      </w:r>
      <w:r w:rsidR="00BA3EC8">
        <w:rPr>
          <w:lang w:val="en-GB"/>
        </w:rPr>
        <w:t xml:space="preserve">to reinforce </w:t>
      </w:r>
      <w:r w:rsidR="0057152F" w:rsidRPr="00145A97">
        <w:rPr>
          <w:lang w:val="en-GB"/>
        </w:rPr>
        <w:t xml:space="preserve">the weak and fragmented state of professional communities of practice. These communities have been restricted at a time when their capacity to package funds together with the evidence of good practice may have offered a resurgence of new ‘cultures of practice’ (Stead </w:t>
      </w:r>
      <w:r w:rsidR="008A1754" w:rsidRPr="00145A97">
        <w:rPr>
          <w:lang w:val="en-GB"/>
        </w:rPr>
        <w:t>and</w:t>
      </w:r>
      <w:r w:rsidR="0057152F" w:rsidRPr="00145A97">
        <w:rPr>
          <w:lang w:val="en-GB"/>
        </w:rPr>
        <w:t xml:space="preserve"> </w:t>
      </w:r>
      <w:proofErr w:type="spellStart"/>
      <w:r w:rsidR="0057152F" w:rsidRPr="00145A97">
        <w:rPr>
          <w:lang w:val="en-GB"/>
        </w:rPr>
        <w:t>Meijers</w:t>
      </w:r>
      <w:proofErr w:type="spellEnd"/>
      <w:r w:rsidR="0057152F" w:rsidRPr="00145A97">
        <w:rPr>
          <w:lang w:val="en-GB"/>
        </w:rPr>
        <w:t xml:space="preserve"> 2009). Within this scenario, territorial knowledge communities battle for identity and legitimacy</w:t>
      </w:r>
      <w:r w:rsidR="004B2163">
        <w:rPr>
          <w:lang w:val="en-GB"/>
        </w:rPr>
        <w:t xml:space="preserve"> in a</w:t>
      </w:r>
      <w:r w:rsidR="0057152F" w:rsidRPr="00145A97">
        <w:rPr>
          <w:lang w:val="en-GB"/>
        </w:rPr>
        <w:t xml:space="preserve"> context exacerbated by the fluid </w:t>
      </w:r>
      <w:r w:rsidR="004B2163">
        <w:rPr>
          <w:lang w:val="en-GB"/>
        </w:rPr>
        <w:t xml:space="preserve">and uncertain </w:t>
      </w:r>
      <w:r w:rsidR="0057152F" w:rsidRPr="00145A97">
        <w:rPr>
          <w:lang w:val="en-GB"/>
        </w:rPr>
        <w:t xml:space="preserve">nature </w:t>
      </w:r>
      <w:r>
        <w:rPr>
          <w:lang w:val="en-GB"/>
        </w:rPr>
        <w:t xml:space="preserve">of </w:t>
      </w:r>
      <w:r w:rsidR="0057152F" w:rsidRPr="00145A97">
        <w:rPr>
          <w:lang w:val="en-GB"/>
        </w:rPr>
        <w:t>territorial knowledge channels</w:t>
      </w:r>
      <w:r>
        <w:rPr>
          <w:lang w:val="en-GB"/>
        </w:rPr>
        <w:t xml:space="preserve"> making the</w:t>
      </w:r>
      <w:r w:rsidR="0057152F" w:rsidRPr="00145A97">
        <w:rPr>
          <w:lang w:val="en-GB"/>
        </w:rPr>
        <w:t xml:space="preserve"> consolidation of </w:t>
      </w:r>
      <w:r>
        <w:rPr>
          <w:lang w:val="en-GB"/>
        </w:rPr>
        <w:t>these</w:t>
      </w:r>
      <w:r w:rsidR="0057152F" w:rsidRPr="00145A97">
        <w:rPr>
          <w:lang w:val="en-GB"/>
        </w:rPr>
        <w:t xml:space="preserve"> communities extremely difficult. Analysis of the nation-state and trans-</w:t>
      </w:r>
      <w:r w:rsidR="0057152F" w:rsidRPr="00145A97">
        <w:rPr>
          <w:lang w:val="en-GB"/>
        </w:rPr>
        <w:lastRenderedPageBreak/>
        <w:t>national interest group responses to the Green Paper on Territorial Cohesion</w:t>
      </w:r>
      <w:r w:rsidR="004B2163">
        <w:rPr>
          <w:lang w:val="en-GB"/>
        </w:rPr>
        <w:t xml:space="preserve"> and the stakeholder </w:t>
      </w:r>
      <w:r w:rsidR="0057152F" w:rsidRPr="00145A97">
        <w:rPr>
          <w:lang w:val="en-GB"/>
        </w:rPr>
        <w:t xml:space="preserve">interviews suggest that </w:t>
      </w:r>
      <w:r w:rsidR="004B2163" w:rsidRPr="00145A97">
        <w:rPr>
          <w:lang w:val="en-GB"/>
        </w:rPr>
        <w:t>engagement</w:t>
      </w:r>
      <w:r w:rsidR="004B2163">
        <w:rPr>
          <w:lang w:val="en-GB"/>
        </w:rPr>
        <w:t xml:space="preserve"> of these </w:t>
      </w:r>
      <w:r w:rsidR="0057152F" w:rsidRPr="00145A97">
        <w:rPr>
          <w:lang w:val="en-GB"/>
        </w:rPr>
        <w:t>territorial knowledge communities</w:t>
      </w:r>
      <w:r w:rsidR="004B2163">
        <w:rPr>
          <w:lang w:val="en-GB"/>
        </w:rPr>
        <w:t xml:space="preserve"> with ESP is</w:t>
      </w:r>
      <w:r w:rsidR="0057152F" w:rsidRPr="00145A97">
        <w:rPr>
          <w:lang w:val="en-GB"/>
        </w:rPr>
        <w:t xml:space="preserve"> concentrated among epistemic communities at State and trans-national level.</w:t>
      </w:r>
    </w:p>
    <w:p w:rsidR="0057152F" w:rsidRPr="00145A97" w:rsidRDefault="0057152F" w:rsidP="005715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lang w:val="en-GB"/>
        </w:rPr>
      </w:pPr>
      <w:r w:rsidRPr="00145A97">
        <w:rPr>
          <w:lang w:val="en-GB"/>
        </w:rPr>
        <w:t xml:space="preserve">The Green Paper has succeeded in extending the territorial cohesion debate </w:t>
      </w:r>
      <w:r w:rsidR="004B2163">
        <w:rPr>
          <w:lang w:val="en-GB"/>
        </w:rPr>
        <w:t xml:space="preserve">to a broader coalition of groups </w:t>
      </w:r>
      <w:r w:rsidRPr="00145A97">
        <w:rPr>
          <w:lang w:val="en-GB"/>
        </w:rPr>
        <w:t>that compete for inf</w:t>
      </w:r>
      <w:r w:rsidR="004B2163">
        <w:rPr>
          <w:lang w:val="en-GB"/>
        </w:rPr>
        <w:t>luence over policy development</w:t>
      </w:r>
      <w:r w:rsidR="00DD5EBE">
        <w:rPr>
          <w:lang w:val="en-GB"/>
        </w:rPr>
        <w:t>,</w:t>
      </w:r>
      <w:r w:rsidR="004B2163">
        <w:rPr>
          <w:lang w:val="en-GB"/>
        </w:rPr>
        <w:t xml:space="preserve"> though</w:t>
      </w:r>
      <w:r w:rsidRPr="00145A97">
        <w:rPr>
          <w:lang w:val="en-GB"/>
        </w:rPr>
        <w:t xml:space="preserve"> there is an evident possibility of territorial governance gaps or epistemic distance between the EU and member states and sub-national territorial governance activity. In other words, there is a danger that broader common interests in territorial development will be forgotten because of the increased pressures from these competing agendas within knowledge arenas such as VASAB and </w:t>
      </w:r>
      <w:proofErr w:type="spellStart"/>
      <w:r w:rsidRPr="00145A97">
        <w:rPr>
          <w:lang w:val="en-GB"/>
        </w:rPr>
        <w:t>Interreg</w:t>
      </w:r>
      <w:proofErr w:type="spellEnd"/>
      <w:r w:rsidRPr="00145A97">
        <w:rPr>
          <w:lang w:val="en-GB"/>
        </w:rPr>
        <w:t xml:space="preserve">. Even so, there </w:t>
      </w:r>
      <w:r w:rsidR="00067786" w:rsidRPr="00145A97">
        <w:rPr>
          <w:lang w:val="en-GB"/>
        </w:rPr>
        <w:t>are</w:t>
      </w:r>
      <w:r w:rsidRPr="00145A97">
        <w:rPr>
          <w:lang w:val="en-GB"/>
        </w:rPr>
        <w:t xml:space="preserve"> sufficient grounds for examining the potential for co-ordination and common understanding among these knowledge communities. Indeed, all national and selected interest group responses to the Green Paper identified the EU BSR Strategy as a good example of co-operation, co-ordination and territorial governance, implying that macro-regions have potential in future policy development. Nevertheless, these stakeholder contributions constitute a growing supranational concentration of epistemic communities. They are increasingly directed by the policy pragmatism and political expedience that has become evident in a reassertion of economic priorities and a much stronger engagement with actors of international economic development networks (</w:t>
      </w:r>
      <w:proofErr w:type="spellStart"/>
      <w:r w:rsidRPr="00145A97">
        <w:rPr>
          <w:lang w:val="en-GB"/>
        </w:rPr>
        <w:t>Capik</w:t>
      </w:r>
      <w:proofErr w:type="spellEnd"/>
      <w:r w:rsidRPr="00145A97">
        <w:rPr>
          <w:lang w:val="en-GB"/>
        </w:rPr>
        <w:t xml:space="preserve"> 2011). Furthermore, the emergence of new multilevel cross-scalar arrangements is limited. Rather, it appears that varied policy responses have placed an emphasis on existing co-operation mechanisms and arrangements.</w:t>
      </w:r>
      <w:r w:rsidR="00F40E55">
        <w:rPr>
          <w:lang w:val="en-GB"/>
        </w:rPr>
        <w:t xml:space="preserve"> </w:t>
      </w:r>
    </w:p>
    <w:p w:rsidR="0057152F" w:rsidRPr="00145A97" w:rsidRDefault="0057152F" w:rsidP="005715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rPr>
          <w:rFonts w:eastAsia="Times New Roman"/>
          <w:color w:val="auto"/>
          <w:lang w:val="en-GB"/>
        </w:rPr>
      </w:pPr>
      <w:r w:rsidRPr="00145A97">
        <w:rPr>
          <w:lang w:val="en-GB"/>
        </w:rPr>
        <w:t xml:space="preserve">Despite the Green Paper’s achievement in engaging a broad </w:t>
      </w:r>
      <w:r w:rsidR="00BA3EC8">
        <w:rPr>
          <w:lang w:val="en-GB"/>
        </w:rPr>
        <w:t xml:space="preserve">range </w:t>
      </w:r>
      <w:r w:rsidRPr="00145A97">
        <w:rPr>
          <w:lang w:val="en-GB"/>
        </w:rPr>
        <w:t xml:space="preserve">of actors in </w:t>
      </w:r>
      <w:r w:rsidR="00BA3EC8">
        <w:rPr>
          <w:lang w:val="en-GB"/>
        </w:rPr>
        <w:t xml:space="preserve">the </w:t>
      </w:r>
      <w:r w:rsidRPr="00145A97">
        <w:rPr>
          <w:lang w:val="en-GB"/>
        </w:rPr>
        <w:t>debate over territorial cohesion,</w:t>
      </w:r>
      <w:r w:rsidR="00BA3EC8">
        <w:rPr>
          <w:lang w:val="en-GB"/>
        </w:rPr>
        <w:t xml:space="preserve"> wider </w:t>
      </w:r>
      <w:r w:rsidRPr="00145A97">
        <w:rPr>
          <w:lang w:val="en-GB"/>
        </w:rPr>
        <w:t xml:space="preserve">interests appear to be losing out to competing agendas from epistemic communities of extra-regional/trans-national influence. The </w:t>
      </w:r>
      <w:r w:rsidR="00BA3EC8" w:rsidRPr="00145A97">
        <w:rPr>
          <w:lang w:val="en-GB"/>
        </w:rPr>
        <w:t xml:space="preserve">ESPON </w:t>
      </w:r>
      <w:r w:rsidRPr="00145A97">
        <w:rPr>
          <w:lang w:val="en-GB"/>
        </w:rPr>
        <w:t xml:space="preserve">knowledge arena is associated </w:t>
      </w:r>
      <w:r w:rsidR="00BA3EC8">
        <w:rPr>
          <w:lang w:val="en-GB"/>
        </w:rPr>
        <w:t xml:space="preserve">primarily </w:t>
      </w:r>
      <w:r w:rsidRPr="00145A97">
        <w:rPr>
          <w:lang w:val="en-GB"/>
        </w:rPr>
        <w:t xml:space="preserve">with </w:t>
      </w:r>
      <w:r w:rsidR="00BA3EC8" w:rsidRPr="00145A97">
        <w:rPr>
          <w:lang w:val="en-GB"/>
        </w:rPr>
        <w:t xml:space="preserve">high-level </w:t>
      </w:r>
      <w:r w:rsidRPr="00145A97">
        <w:rPr>
          <w:lang w:val="en-GB"/>
        </w:rPr>
        <w:t xml:space="preserve">epistemic communities and aggregated data at national and regional scales, which in turn restricts sub-national contributions from local knowledge communities. Thus it remains to be seen whether planners are simply ‘talking the talk’ rather than ‘walking the walk’ </w:t>
      </w:r>
      <w:r w:rsidRPr="00145A97">
        <w:rPr>
          <w:lang w:val="en-GB"/>
        </w:rPr>
        <w:lastRenderedPageBreak/>
        <w:t xml:space="preserve">when bringing together evidence-informed arguments to advance policy interests for a broader </w:t>
      </w:r>
      <w:r w:rsidR="00BA3EC8">
        <w:rPr>
          <w:lang w:val="en-GB"/>
        </w:rPr>
        <w:t>coalition</w:t>
      </w:r>
      <w:r w:rsidRPr="00145A97">
        <w:rPr>
          <w:lang w:val="en-GB"/>
        </w:rPr>
        <w:t xml:space="preserve"> of actors.</w:t>
      </w:r>
      <w:r w:rsidR="00D60631">
        <w:rPr>
          <w:lang w:val="en-GB"/>
        </w:rPr>
        <w:t xml:space="preserve"> T</w:t>
      </w:r>
      <w:r w:rsidRPr="00145A97">
        <w:rPr>
          <w:lang w:val="en-GB"/>
        </w:rPr>
        <w:t xml:space="preserve">here </w:t>
      </w:r>
      <w:r w:rsidR="00D60631">
        <w:rPr>
          <w:lang w:val="en-GB"/>
        </w:rPr>
        <w:t>thus r</w:t>
      </w:r>
      <w:r w:rsidRPr="00145A97">
        <w:rPr>
          <w:lang w:val="en-GB"/>
        </w:rPr>
        <w:t>emains a need to closely examine the ability of sub-national actors to access and articulate an appropriate spectrum of knowledge</w:t>
      </w:r>
      <w:r w:rsidR="00D60631">
        <w:rPr>
          <w:lang w:val="en-GB"/>
        </w:rPr>
        <w:t xml:space="preserve"> and t</w:t>
      </w:r>
      <w:r w:rsidRPr="00145A97">
        <w:rPr>
          <w:lang w:val="en-GB"/>
        </w:rPr>
        <w:t xml:space="preserve">his consideration would need to examine the State financing of participation in collaborative projects (cf., </w:t>
      </w:r>
      <w:proofErr w:type="spellStart"/>
      <w:r w:rsidRPr="00145A97">
        <w:rPr>
          <w:lang w:val="en-GB"/>
        </w:rPr>
        <w:t>Razumeyko</w:t>
      </w:r>
      <w:proofErr w:type="spellEnd"/>
      <w:r w:rsidRPr="00145A97">
        <w:rPr>
          <w:lang w:val="en-GB"/>
        </w:rPr>
        <w:t xml:space="preserve"> 2011), as well as the effects of State cuts in education and research funding. The importance of continued investigation in this regard remains pertinent to studies of the powers that shape or ‘frame’ new strategic visions and policy alternatives. Further investigations of the interplay of knowledge and policy development will be </w:t>
      </w:r>
      <w:r w:rsidR="000C2508" w:rsidRPr="00145A97">
        <w:rPr>
          <w:lang w:val="en-GB"/>
        </w:rPr>
        <w:t xml:space="preserve">especially </w:t>
      </w:r>
      <w:r w:rsidRPr="00145A97">
        <w:rPr>
          <w:lang w:val="en-GB"/>
        </w:rPr>
        <w:t>relevant to this future research. Lastly, there is a need to separate the rhetoric of EU spatial development concepts and precepts like territorial cohesion from the reality of territorial development impacts on local communities.</w:t>
      </w:r>
      <w:r w:rsidR="00D60631">
        <w:rPr>
          <w:lang w:val="en-GB"/>
        </w:rPr>
        <w:t xml:space="preserve"> E</w:t>
      </w:r>
      <w:r w:rsidR="000C2508" w:rsidRPr="00145A97">
        <w:rPr>
          <w:lang w:val="en-GB"/>
        </w:rPr>
        <w:t>fforts to reconcile</w:t>
      </w:r>
      <w:r w:rsidRPr="00145A97">
        <w:rPr>
          <w:lang w:val="en-GB"/>
        </w:rPr>
        <w:t xml:space="preserve"> </w:t>
      </w:r>
      <w:r w:rsidR="000C2508" w:rsidRPr="00145A97">
        <w:rPr>
          <w:lang w:val="en-GB"/>
        </w:rPr>
        <w:t>‘</w:t>
      </w:r>
      <w:r w:rsidRPr="00145A97">
        <w:rPr>
          <w:lang w:val="en-GB"/>
        </w:rPr>
        <w:t>competitiveness with local authority, sustainability with growth, market forces with quality of life – may take place only in the field of abstract rhetoric’ (</w:t>
      </w:r>
      <w:proofErr w:type="spellStart"/>
      <w:r w:rsidRPr="00145A97">
        <w:rPr>
          <w:lang w:val="en-GB"/>
        </w:rPr>
        <w:t>Vanolo</w:t>
      </w:r>
      <w:proofErr w:type="spellEnd"/>
      <w:r w:rsidRPr="00145A97">
        <w:rPr>
          <w:lang w:val="en-GB"/>
        </w:rPr>
        <w:t xml:space="preserve"> 2010).</w:t>
      </w:r>
      <w:r w:rsidR="000C2508" w:rsidRPr="00145A97">
        <w:rPr>
          <w:lang w:val="en-GB"/>
        </w:rPr>
        <w:t xml:space="preserve"> The challenge for expert communities </w:t>
      </w:r>
      <w:r w:rsidR="003D520A" w:rsidRPr="00145A97">
        <w:rPr>
          <w:lang w:val="en-GB"/>
        </w:rPr>
        <w:t>operating particularly at national and trans-national levels, is to translate the abstract notion of territorial cohesion into forms that are meaningful and relevant to sub-national actors</w:t>
      </w:r>
      <w:r w:rsidR="00EA014C">
        <w:rPr>
          <w:lang w:val="en-GB"/>
        </w:rPr>
        <w:t xml:space="preserve"> and </w:t>
      </w:r>
      <w:r w:rsidR="003D520A" w:rsidRPr="00145A97">
        <w:rPr>
          <w:lang w:val="en-GB"/>
        </w:rPr>
        <w:t>facilitate the development of effective knowledge channels to strengthen vertical cooperation.</w:t>
      </w:r>
      <w:r w:rsidR="00EA014C">
        <w:rPr>
          <w:lang w:val="en-GB"/>
        </w:rPr>
        <w:t xml:space="preserve"> </w:t>
      </w:r>
    </w:p>
    <w:p w:rsidR="00CB673D" w:rsidRDefault="00CB673D" w:rsidP="006022F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284" w:hanging="284"/>
        <w:jc w:val="both"/>
        <w:outlineLvl w:val="0"/>
        <w:rPr>
          <w:b/>
          <w:lang w:val="en-GB"/>
        </w:rPr>
      </w:pPr>
    </w:p>
    <w:p w:rsidR="00747CF2" w:rsidRPr="00145A97" w:rsidRDefault="00747CF2" w:rsidP="006022F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284" w:hanging="284"/>
        <w:jc w:val="both"/>
        <w:outlineLvl w:val="0"/>
        <w:rPr>
          <w:b/>
          <w:lang w:val="en-GB"/>
        </w:rPr>
      </w:pPr>
      <w:r w:rsidRPr="00145A97">
        <w:rPr>
          <w:b/>
          <w:lang w:val="en-GB"/>
        </w:rPr>
        <w:t>Acknowledgment</w:t>
      </w:r>
      <w:r w:rsidR="00D65D07" w:rsidRPr="00145A97">
        <w:rPr>
          <w:b/>
          <w:lang w:val="en-GB"/>
        </w:rPr>
        <w:t>s</w:t>
      </w:r>
    </w:p>
    <w:p w:rsidR="00747CF2" w:rsidRPr="00145A97" w:rsidRDefault="00747CF2" w:rsidP="00CD73D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outlineLvl w:val="0"/>
      </w:pPr>
      <w:r w:rsidRPr="00145A97">
        <w:rPr>
          <w:lang w:val="en-GB"/>
        </w:rPr>
        <w:t>Giancarlo</w:t>
      </w:r>
      <w:r w:rsidR="00854398" w:rsidRPr="00145A97">
        <w:rPr>
          <w:lang w:val="en-GB"/>
        </w:rPr>
        <w:t xml:space="preserve"> </w:t>
      </w:r>
      <w:proofErr w:type="spellStart"/>
      <w:r w:rsidR="00854398" w:rsidRPr="00145A97">
        <w:rPr>
          <w:lang w:val="en-GB"/>
        </w:rPr>
        <w:t>Cotella</w:t>
      </w:r>
      <w:proofErr w:type="spellEnd"/>
      <w:r w:rsidR="00854398" w:rsidRPr="00145A97">
        <w:rPr>
          <w:lang w:val="en-GB"/>
        </w:rPr>
        <w:t xml:space="preserve"> would like to thank the Alexander von Humboldt foundation </w:t>
      </w:r>
      <w:r w:rsidR="00C04114" w:rsidRPr="00145A97">
        <w:rPr>
          <w:lang w:val="en-GB"/>
        </w:rPr>
        <w:t>(</w:t>
      </w:r>
      <w:hyperlink r:id="rId11" w:history="1">
        <w:r w:rsidR="00112DBB" w:rsidRPr="00145A97">
          <w:rPr>
            <w:rStyle w:val="Collegamentoipertestuale"/>
            <w:lang w:val="en-GB"/>
          </w:rPr>
          <w:t>http://www.humboldt-foundation.de</w:t>
        </w:r>
      </w:hyperlink>
      <w:r w:rsidR="00C04114" w:rsidRPr="00145A97">
        <w:rPr>
          <w:lang w:val="en-GB"/>
        </w:rPr>
        <w:t xml:space="preserve">) </w:t>
      </w:r>
      <w:r w:rsidR="00854398" w:rsidRPr="00145A97">
        <w:rPr>
          <w:lang w:val="en-GB"/>
        </w:rPr>
        <w:t>for the financial s</w:t>
      </w:r>
      <w:r w:rsidR="007E2A9F" w:rsidRPr="00145A97">
        <w:rPr>
          <w:lang w:val="en-GB"/>
        </w:rPr>
        <w:t xml:space="preserve">upport </w:t>
      </w:r>
      <w:r w:rsidR="00CD73D0" w:rsidRPr="00145A97">
        <w:rPr>
          <w:lang w:val="en-GB"/>
        </w:rPr>
        <w:t xml:space="preserve">of </w:t>
      </w:r>
      <w:r w:rsidR="00854398" w:rsidRPr="00145A97">
        <w:rPr>
          <w:lang w:val="en-GB"/>
        </w:rPr>
        <w:t>his research activity.</w:t>
      </w:r>
      <w:r w:rsidR="00CD73D0" w:rsidRPr="00145A97">
        <w:rPr>
          <w:lang w:val="en-GB"/>
        </w:rPr>
        <w:t xml:space="preserve"> The authors also would like to thank the </w:t>
      </w:r>
      <w:r w:rsidR="00CD73D0" w:rsidRPr="00145A97">
        <w:t>anonymous reviewers for providing us with constructive comments and suggestions.</w:t>
      </w:r>
    </w:p>
    <w:p w:rsidR="00CB673D" w:rsidRDefault="00CB673D" w:rsidP="00674C8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ind w:left="284" w:hanging="284"/>
        <w:jc w:val="both"/>
        <w:outlineLvl w:val="0"/>
        <w:rPr>
          <w:b/>
          <w:lang w:val="en-GB"/>
        </w:rPr>
      </w:pPr>
    </w:p>
    <w:p w:rsidR="00B84612" w:rsidRPr="00145A97" w:rsidRDefault="00B84612" w:rsidP="00674C8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ind w:left="284" w:hanging="284"/>
        <w:jc w:val="both"/>
        <w:outlineLvl w:val="0"/>
        <w:rPr>
          <w:b/>
          <w:lang w:val="en-GB"/>
        </w:rPr>
      </w:pPr>
      <w:r w:rsidRPr="00145A97">
        <w:rPr>
          <w:b/>
          <w:lang w:val="en-GB"/>
        </w:rPr>
        <w:t>References</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Adams, N.</w:t>
      </w:r>
      <w:r w:rsidRPr="00145A97">
        <w:rPr>
          <w:lang w:val="en-GB"/>
        </w:rPr>
        <w:t xml:space="preserve"> (2006) National Spatial Strategies in the Baltic States, in </w:t>
      </w:r>
      <w:r w:rsidR="004053B2" w:rsidRPr="00145A97">
        <w:rPr>
          <w:lang w:val="en-GB"/>
        </w:rPr>
        <w:t>ADAMS, N. ALDEN, J. and HARRIS</w:t>
      </w:r>
      <w:r w:rsidRPr="00145A97">
        <w:rPr>
          <w:lang w:val="en-GB"/>
        </w:rPr>
        <w:t>, N. (</w:t>
      </w:r>
      <w:proofErr w:type="spellStart"/>
      <w:r w:rsidRPr="00145A97">
        <w:rPr>
          <w:lang w:val="en-GB"/>
        </w:rPr>
        <w:t>Eds</w:t>
      </w:r>
      <w:proofErr w:type="spellEnd"/>
      <w:r w:rsidRPr="00145A97">
        <w:rPr>
          <w:lang w:val="en-GB"/>
        </w:rPr>
        <w:t xml:space="preserve">) </w:t>
      </w:r>
      <w:r w:rsidRPr="00145A97">
        <w:rPr>
          <w:b/>
          <w:lang w:val="en-GB"/>
        </w:rPr>
        <w:t>Regional Development and Spatial Planning in an Enlarged EU</w:t>
      </w:r>
      <w:r w:rsidR="0014411B" w:rsidRPr="00145A97">
        <w:rPr>
          <w:lang w:val="en-GB"/>
        </w:rPr>
        <w:t>,</w:t>
      </w:r>
      <w:r w:rsidRPr="00145A97">
        <w:rPr>
          <w:lang w:val="en-GB"/>
        </w:rPr>
        <w:t xml:space="preserve"> </w:t>
      </w:r>
      <w:r w:rsidR="004053B2" w:rsidRPr="00145A97">
        <w:rPr>
          <w:lang w:val="en-GB"/>
        </w:rPr>
        <w:t xml:space="preserve">pp. 155-181. </w:t>
      </w:r>
      <w:r w:rsidRPr="00145A97">
        <w:rPr>
          <w:lang w:val="en-GB"/>
        </w:rPr>
        <w:t xml:space="preserve">Aldershot: </w:t>
      </w:r>
      <w:proofErr w:type="spellStart"/>
      <w:r w:rsidRPr="00145A97">
        <w:rPr>
          <w:lang w:val="en-GB"/>
        </w:rPr>
        <w:t>Ashgate</w:t>
      </w:r>
      <w:proofErr w:type="spellEnd"/>
      <w:r w:rsidR="0014411B"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lastRenderedPageBreak/>
        <w:t xml:space="preserve">ADAMS, N. (2008) Convergence and policy transfer: an examination of the extent to which approaches to spatial planning have converged within the context of an enlarged EU, </w:t>
      </w:r>
      <w:r w:rsidRPr="00145A97">
        <w:rPr>
          <w:b/>
          <w:lang w:val="en-GB"/>
        </w:rPr>
        <w:t>International Planning Studies</w:t>
      </w:r>
      <w:r w:rsidRPr="00145A97">
        <w:rPr>
          <w:lang w:val="en-GB"/>
        </w:rPr>
        <w:t>, 13(1), pp. 31–50.</w:t>
      </w:r>
    </w:p>
    <w:p w:rsidR="00D60631" w:rsidRPr="00145A97" w:rsidRDefault="00D60631"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Adams, N </w:t>
      </w:r>
      <w:r w:rsidRPr="00145A97">
        <w:rPr>
          <w:lang w:val="en-GB"/>
        </w:rPr>
        <w:t>and</w:t>
      </w:r>
      <w:r w:rsidRPr="00145A97">
        <w:rPr>
          <w:caps/>
          <w:lang w:val="en-GB"/>
        </w:rPr>
        <w:t xml:space="preserve"> Harris, N.</w:t>
      </w:r>
      <w:r w:rsidRPr="00145A97">
        <w:rPr>
          <w:lang w:val="en-GB"/>
        </w:rPr>
        <w:t xml:space="preserve"> (2005) </w:t>
      </w:r>
      <w:r w:rsidRPr="00145A97">
        <w:rPr>
          <w:b/>
          <w:lang w:val="en-GB"/>
        </w:rPr>
        <w:t>Best Practice Guidelines for Regional Development Strategies</w:t>
      </w:r>
      <w:r w:rsidRPr="00145A97">
        <w:rPr>
          <w:lang w:val="en-GB"/>
        </w:rPr>
        <w:t>. Cardiff University Press.</w:t>
      </w:r>
    </w:p>
    <w:p w:rsidR="00B84612" w:rsidRPr="00145A97" w:rsidRDefault="004053B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Adams, N., Alden, J. </w:t>
      </w:r>
      <w:r w:rsidRPr="00145A97">
        <w:rPr>
          <w:lang w:val="en-GB"/>
        </w:rPr>
        <w:t>and</w:t>
      </w:r>
      <w:r w:rsidR="00B84612" w:rsidRPr="00145A97">
        <w:rPr>
          <w:caps/>
          <w:lang w:val="en-GB"/>
        </w:rPr>
        <w:t xml:space="preserve"> Harris, N. </w:t>
      </w:r>
      <w:r w:rsidR="00B84612" w:rsidRPr="00145A97">
        <w:rPr>
          <w:lang w:val="en-GB"/>
        </w:rPr>
        <w:t xml:space="preserve">(2006) </w:t>
      </w:r>
      <w:r w:rsidR="00B84612" w:rsidRPr="00145A97">
        <w:rPr>
          <w:b/>
          <w:lang w:val="en-GB"/>
        </w:rPr>
        <w:t>Regional Development and Spatial Planning in an Enlarged EU</w:t>
      </w:r>
      <w:r w:rsidR="00B84612" w:rsidRPr="00145A97">
        <w:rPr>
          <w:lang w:val="en-GB"/>
        </w:rPr>
        <w:t xml:space="preserve">. Aldershot: </w:t>
      </w:r>
      <w:proofErr w:type="spellStart"/>
      <w:r w:rsidR="00B84612" w:rsidRPr="00145A97">
        <w:rPr>
          <w:lang w:val="en-GB"/>
        </w:rPr>
        <w:t>Ashgate</w:t>
      </w:r>
      <w:proofErr w:type="spellEnd"/>
      <w:r w:rsidR="007B192A" w:rsidRPr="00145A97">
        <w:rPr>
          <w:lang w:val="en-GB"/>
        </w:rPr>
        <w:t>.</w:t>
      </w:r>
    </w:p>
    <w:p w:rsidR="00603486"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ADAMS, N., COTELLA, G. AND NUNES, R. (2011) </w:t>
      </w:r>
      <w:r w:rsidR="00603486" w:rsidRPr="00145A97">
        <w:rPr>
          <w:b/>
          <w:lang w:val="en-GB"/>
        </w:rPr>
        <w:t>Territorial Development, Cohesion and Spatial Planning: knowledge and policy development in an enlarged EU</w:t>
      </w:r>
      <w:r w:rsidR="00603486" w:rsidRPr="00145A97">
        <w:rPr>
          <w:lang w:val="en-GB"/>
        </w:rPr>
        <w:t xml:space="preserve"> London: </w:t>
      </w:r>
      <w:proofErr w:type="spellStart"/>
      <w:r w:rsidR="00603486" w:rsidRPr="00145A97">
        <w:rPr>
          <w:lang w:val="en-GB"/>
        </w:rPr>
        <w:t>Routledge</w:t>
      </w:r>
      <w:proofErr w:type="spellEnd"/>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Allmendinger, P. </w:t>
      </w:r>
      <w:r w:rsidR="00AD05E4">
        <w:rPr>
          <w:lang w:val="en-GB"/>
        </w:rPr>
        <w:t>and</w:t>
      </w:r>
      <w:r w:rsidRPr="00145A97">
        <w:rPr>
          <w:caps/>
          <w:lang w:val="en-GB"/>
        </w:rPr>
        <w:t xml:space="preserve"> Tewdwr-Jones, M.</w:t>
      </w:r>
      <w:r w:rsidRPr="00145A97">
        <w:rPr>
          <w:lang w:val="en-GB"/>
        </w:rPr>
        <w:t xml:space="preserve"> (2000) Spatial dimensions and institutional uncertainties of planning and the new regionalism, </w:t>
      </w:r>
      <w:r w:rsidRPr="00145A97">
        <w:rPr>
          <w:b/>
          <w:lang w:val="en-GB"/>
        </w:rPr>
        <w:t>Environment and Planning C</w:t>
      </w:r>
      <w:r w:rsidR="007B192A" w:rsidRPr="00145A97">
        <w:rPr>
          <w:lang w:val="en-GB"/>
        </w:rPr>
        <w:t>, 18, pp.711-</w:t>
      </w:r>
      <w:r w:rsidRPr="00145A97">
        <w:rPr>
          <w:lang w:val="en-GB"/>
        </w:rPr>
        <w:t>726</w:t>
      </w:r>
      <w:r w:rsidR="007B192A" w:rsidRPr="00145A97">
        <w:rPr>
          <w:lang w:val="en-GB"/>
        </w:rPr>
        <w:t>.</w:t>
      </w:r>
    </w:p>
    <w:p w:rsidR="00B84612" w:rsidRPr="00145A97" w:rsidRDefault="004053B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Baumgartner, F. R. </w:t>
      </w:r>
      <w:r w:rsidR="007B192A" w:rsidRPr="00145A97">
        <w:rPr>
          <w:lang w:val="en-GB"/>
        </w:rPr>
        <w:t>and</w:t>
      </w:r>
      <w:r w:rsidRPr="00145A97">
        <w:rPr>
          <w:caps/>
          <w:lang w:val="en-GB"/>
        </w:rPr>
        <w:t xml:space="preserve"> Jones, B. D.</w:t>
      </w:r>
      <w:r w:rsidRPr="00145A97">
        <w:rPr>
          <w:lang w:val="en-GB"/>
        </w:rPr>
        <w:t xml:space="preserve"> </w:t>
      </w:r>
      <w:r w:rsidR="00B84612" w:rsidRPr="00145A97">
        <w:rPr>
          <w:lang w:val="en-GB"/>
        </w:rPr>
        <w:t xml:space="preserve"> (</w:t>
      </w:r>
      <w:proofErr w:type="spellStart"/>
      <w:r w:rsidR="00B84612" w:rsidRPr="00145A97">
        <w:rPr>
          <w:lang w:val="en-GB"/>
        </w:rPr>
        <w:t>Eds</w:t>
      </w:r>
      <w:proofErr w:type="spellEnd"/>
      <w:r w:rsidR="00B84612" w:rsidRPr="00145A97">
        <w:rPr>
          <w:lang w:val="en-GB"/>
        </w:rPr>
        <w:t xml:space="preserve">) (2002) </w:t>
      </w:r>
      <w:r w:rsidR="00B84612" w:rsidRPr="00145A97">
        <w:rPr>
          <w:b/>
          <w:lang w:val="en-GB"/>
        </w:rPr>
        <w:t>Policy Dynamics</w:t>
      </w:r>
      <w:r w:rsidR="00B84612" w:rsidRPr="00145A97">
        <w:rPr>
          <w:lang w:val="en-GB"/>
        </w:rPr>
        <w:t>. Chicago: University of Chicago Press.</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BENZ, A. (2000) Two types of multi-level governance: Inter-governmental relations in Germany and European regional policy, </w:t>
      </w:r>
      <w:r w:rsidRPr="00145A97">
        <w:rPr>
          <w:b/>
          <w:lang w:val="en-GB"/>
        </w:rPr>
        <w:t>Regional and Federal Studies</w:t>
      </w:r>
      <w:r w:rsidR="007B192A" w:rsidRPr="00145A97">
        <w:rPr>
          <w:lang w:val="en-GB"/>
        </w:rPr>
        <w:t>, 10(3), pp. 21-</w:t>
      </w:r>
      <w:r w:rsidRPr="00145A97">
        <w:rPr>
          <w:lang w:val="en-GB"/>
        </w:rPr>
        <w:t>44</w:t>
      </w:r>
      <w:r w:rsidR="007B192A" w:rsidRPr="00145A97">
        <w:rPr>
          <w:lang w:val="en-GB"/>
        </w:rPr>
        <w:t>.</w:t>
      </w:r>
    </w:p>
    <w:p w:rsidR="001A01D9" w:rsidRPr="00145A97" w:rsidRDefault="001A01D9"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B</w:t>
      </w:r>
      <w:r w:rsidRPr="00145A97">
        <w:rPr>
          <w:caps/>
          <w:lang w:val="en-GB"/>
        </w:rPr>
        <w:t>ö</w:t>
      </w:r>
      <w:r w:rsidRPr="00145A97">
        <w:rPr>
          <w:lang w:val="en-GB"/>
        </w:rPr>
        <w:t>HME, K., DOUCET, P., KOMORNICKI, T., ZAUCHA, J. and SWIATEK, D. (2011)</w:t>
      </w:r>
      <w:r w:rsidR="00416A04" w:rsidRPr="00145A97">
        <w:rPr>
          <w:lang w:val="en-GB"/>
        </w:rPr>
        <w:t xml:space="preserve"> </w:t>
      </w:r>
      <w:r w:rsidR="00416A04" w:rsidRPr="00145A97">
        <w:rPr>
          <w:b/>
          <w:lang w:val="en-GB"/>
        </w:rPr>
        <w:t xml:space="preserve">How to strengthen the territorial </w:t>
      </w:r>
      <w:proofErr w:type="spellStart"/>
      <w:r w:rsidR="00416A04" w:rsidRPr="00145A97">
        <w:rPr>
          <w:b/>
          <w:lang w:val="en-GB"/>
        </w:rPr>
        <w:t>domension</w:t>
      </w:r>
      <w:proofErr w:type="spellEnd"/>
      <w:r w:rsidR="00416A04" w:rsidRPr="00145A97">
        <w:rPr>
          <w:b/>
          <w:lang w:val="en-GB"/>
        </w:rPr>
        <w:t xml:space="preserve"> of ‘</w:t>
      </w:r>
      <w:proofErr w:type="spellStart"/>
      <w:r w:rsidR="00416A04" w:rsidRPr="00145A97">
        <w:rPr>
          <w:b/>
          <w:lang w:val="en-GB"/>
        </w:rPr>
        <w:t>Euroe</w:t>
      </w:r>
      <w:proofErr w:type="spellEnd"/>
      <w:r w:rsidR="00416A04" w:rsidRPr="00145A97">
        <w:rPr>
          <w:b/>
          <w:lang w:val="en-GB"/>
        </w:rPr>
        <w:t xml:space="preserve"> 2020’ and EU Cohesion Policy. REPORT based on the Territorial Agenda 2020</w:t>
      </w:r>
      <w:r w:rsidR="00416A04" w:rsidRPr="00145A97">
        <w:rPr>
          <w:i/>
          <w:lang w:val="en-GB"/>
        </w:rPr>
        <w:t>. Warsaw</w:t>
      </w:r>
      <w:r w:rsidR="00EE43E1" w:rsidRPr="00145A97">
        <w:rPr>
          <w:lang w:val="en-GB"/>
        </w:rPr>
        <w:t>.</w:t>
      </w:r>
    </w:p>
    <w:p w:rsidR="00294813" w:rsidRPr="00145A97" w:rsidRDefault="00294813"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Brown</w:t>
      </w:r>
      <w:r w:rsidRPr="00145A97">
        <w:rPr>
          <w:lang w:val="en-GB"/>
        </w:rPr>
        <w:t xml:space="preserve">, J. S. and </w:t>
      </w:r>
      <w:r w:rsidRPr="00145A97">
        <w:rPr>
          <w:caps/>
          <w:lang w:val="en-GB"/>
        </w:rPr>
        <w:t>Duguid</w:t>
      </w:r>
      <w:r w:rsidRPr="00145A97">
        <w:rPr>
          <w:lang w:val="en-GB"/>
        </w:rPr>
        <w:t xml:space="preserve">, P. (2001) ‘Knowledge and organization: a social-practice perspective’, </w:t>
      </w:r>
      <w:r w:rsidRPr="00145A97">
        <w:rPr>
          <w:b/>
          <w:lang w:val="en-GB"/>
        </w:rPr>
        <w:t>Organization Science</w:t>
      </w:r>
      <w:r w:rsidRPr="00145A97">
        <w:rPr>
          <w:lang w:val="en-GB"/>
        </w:rPr>
        <w:t>, 12(2): 198–213</w:t>
      </w:r>
      <w:r w:rsidR="00EE43E1"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Brunet, R.</w:t>
      </w:r>
      <w:r w:rsidRPr="00145A97">
        <w:rPr>
          <w:lang w:val="en-GB"/>
        </w:rPr>
        <w:t xml:space="preserve"> (1989) </w:t>
      </w:r>
      <w:r w:rsidRPr="00145A97">
        <w:rPr>
          <w:b/>
          <w:lang w:val="en-GB"/>
        </w:rPr>
        <w:t xml:space="preserve">Les </w:t>
      </w:r>
      <w:proofErr w:type="spellStart"/>
      <w:r w:rsidRPr="00145A97">
        <w:rPr>
          <w:b/>
          <w:lang w:val="en-GB"/>
        </w:rPr>
        <w:t>Villes</w:t>
      </w:r>
      <w:proofErr w:type="spellEnd"/>
      <w:r w:rsidRPr="00145A97">
        <w:rPr>
          <w:b/>
          <w:lang w:val="en-GB"/>
        </w:rPr>
        <w:t xml:space="preserve"> "</w:t>
      </w:r>
      <w:proofErr w:type="spellStart"/>
      <w:r w:rsidRPr="00145A97">
        <w:rPr>
          <w:b/>
          <w:lang w:val="en-GB"/>
        </w:rPr>
        <w:t>Européennes</w:t>
      </w:r>
      <w:proofErr w:type="spellEnd"/>
      <w:r w:rsidRPr="00145A97">
        <w:rPr>
          <w:b/>
          <w:lang w:val="en-GB"/>
        </w:rPr>
        <w:t>"</w:t>
      </w:r>
      <w:r w:rsidRPr="00145A97">
        <w:rPr>
          <w:lang w:val="en-GB"/>
        </w:rPr>
        <w:t>.</w:t>
      </w:r>
      <w:r w:rsidR="00EB2124" w:rsidRPr="00145A97">
        <w:rPr>
          <w:lang w:val="en-GB"/>
        </w:rPr>
        <w:t xml:space="preserve"> Rapport pour la DATAR, Paris : RECLUS/DATAR</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CAPIK, P. (2011) Regional promotion and competition: An examination of approaches to FDI attraction in the Czech Republic, Poland and Slovakia, in </w:t>
      </w:r>
      <w:r w:rsidR="007B192A" w:rsidRPr="00145A97">
        <w:rPr>
          <w:lang w:val="en-GB"/>
        </w:rPr>
        <w:t>ADAMS, N., COTELLA, G</w:t>
      </w:r>
      <w:r w:rsidRPr="00145A97">
        <w:rPr>
          <w:lang w:val="en-GB"/>
        </w:rPr>
        <w:t xml:space="preserve">. and </w:t>
      </w:r>
      <w:r w:rsidR="007B192A" w:rsidRPr="00145A97">
        <w:rPr>
          <w:lang w:val="en-GB"/>
        </w:rPr>
        <w:t>NUNES</w:t>
      </w:r>
      <w:r w:rsidRPr="00145A97">
        <w:rPr>
          <w:lang w:val="en-GB"/>
        </w:rPr>
        <w:t>, R. (</w:t>
      </w:r>
      <w:proofErr w:type="spellStart"/>
      <w:r w:rsidRPr="00145A97">
        <w:rPr>
          <w:lang w:val="en-GB"/>
        </w:rPr>
        <w:t>Eds</w:t>
      </w:r>
      <w:proofErr w:type="spellEnd"/>
      <w:r w:rsidRPr="00145A97">
        <w:rPr>
          <w:lang w:val="en-GB"/>
        </w:rPr>
        <w:t xml:space="preserve">), </w:t>
      </w:r>
      <w:r w:rsidRPr="00145A97">
        <w:rPr>
          <w:b/>
          <w:lang w:val="en-GB"/>
        </w:rPr>
        <w:t>Territorial Development, Cohesion and Spatial Planning: knowledge and policy development in an enlarged EU</w:t>
      </w:r>
      <w:r w:rsidRPr="00145A97">
        <w:rPr>
          <w:lang w:val="en-GB"/>
        </w:rPr>
        <w:t xml:space="preserve">, pp. 320-44. London: </w:t>
      </w:r>
      <w:proofErr w:type="spellStart"/>
      <w:r w:rsidRPr="00145A97">
        <w:rPr>
          <w:lang w:val="en-GB"/>
        </w:rPr>
        <w:t>Routledge</w:t>
      </w:r>
      <w:proofErr w:type="spellEnd"/>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Castells, M.</w:t>
      </w:r>
      <w:r w:rsidRPr="00145A97">
        <w:rPr>
          <w:lang w:val="en-GB"/>
        </w:rPr>
        <w:t xml:space="preserve"> (2002) Local and global: Cities in the Network Society, </w:t>
      </w:r>
      <w:proofErr w:type="spellStart"/>
      <w:r w:rsidRPr="00145A97">
        <w:rPr>
          <w:b/>
          <w:lang w:val="en-GB"/>
        </w:rPr>
        <w:t>Tijdschrift</w:t>
      </w:r>
      <w:proofErr w:type="spellEnd"/>
      <w:r w:rsidRPr="00145A97">
        <w:rPr>
          <w:b/>
          <w:lang w:val="en-GB"/>
        </w:rPr>
        <w:t xml:space="preserve"> </w:t>
      </w:r>
      <w:proofErr w:type="spellStart"/>
      <w:r w:rsidRPr="00145A97">
        <w:rPr>
          <w:b/>
          <w:lang w:val="en-GB"/>
        </w:rPr>
        <w:t>voor</w:t>
      </w:r>
      <w:proofErr w:type="spellEnd"/>
      <w:r w:rsidRPr="00145A97">
        <w:rPr>
          <w:b/>
          <w:lang w:val="en-GB"/>
        </w:rPr>
        <w:t xml:space="preserve"> </w:t>
      </w:r>
      <w:proofErr w:type="spellStart"/>
      <w:r w:rsidRPr="00145A97">
        <w:rPr>
          <w:b/>
          <w:lang w:val="en-GB"/>
        </w:rPr>
        <w:t>Economische</w:t>
      </w:r>
      <w:proofErr w:type="spellEnd"/>
      <w:r w:rsidRPr="00145A97">
        <w:rPr>
          <w:b/>
          <w:lang w:val="en-GB"/>
        </w:rPr>
        <w:t xml:space="preserve"> en </w:t>
      </w:r>
      <w:proofErr w:type="spellStart"/>
      <w:r w:rsidRPr="00145A97">
        <w:rPr>
          <w:b/>
          <w:lang w:val="en-GB"/>
        </w:rPr>
        <w:t>Sociale</w:t>
      </w:r>
      <w:proofErr w:type="spellEnd"/>
      <w:r w:rsidRPr="00145A97">
        <w:rPr>
          <w:b/>
          <w:lang w:val="en-GB"/>
        </w:rPr>
        <w:t xml:space="preserve"> </w:t>
      </w:r>
      <w:proofErr w:type="spellStart"/>
      <w:r w:rsidRPr="00145A97">
        <w:rPr>
          <w:b/>
          <w:lang w:val="en-GB"/>
        </w:rPr>
        <w:t>Geografie</w:t>
      </w:r>
      <w:proofErr w:type="spellEnd"/>
      <w:r w:rsidRPr="00145A97">
        <w:rPr>
          <w:lang w:val="en-GB"/>
        </w:rPr>
        <w:t>, 93, pp. 548-558</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lastRenderedPageBreak/>
        <w:t xml:space="preserve">CEC (1999) </w:t>
      </w:r>
      <w:r w:rsidRPr="00145A97">
        <w:rPr>
          <w:b/>
          <w:lang w:val="en-GB"/>
        </w:rPr>
        <w:t xml:space="preserve">European </w:t>
      </w:r>
      <w:r w:rsidR="007B192A" w:rsidRPr="00145A97">
        <w:rPr>
          <w:b/>
          <w:lang w:val="en-GB"/>
        </w:rPr>
        <w:t>Spatial Development Perspective</w:t>
      </w:r>
      <w:r w:rsidRPr="00145A97">
        <w:rPr>
          <w:lang w:val="en-GB"/>
        </w:rPr>
        <w:t>. Luxembourg: Office for Official Publications of the European Communities</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CEC (2008) </w:t>
      </w:r>
      <w:r w:rsidRPr="00145A97">
        <w:rPr>
          <w:b/>
          <w:lang w:val="en-GB"/>
        </w:rPr>
        <w:t>Green paper on territorial cohesion - Turning territorial diversity into strength</w:t>
      </w:r>
      <w:r w:rsidRPr="00145A97">
        <w:rPr>
          <w:lang w:val="en-GB"/>
        </w:rPr>
        <w:t>. Brussels: Commission of the European Communities</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CEC (</w:t>
      </w:r>
      <w:r w:rsidR="00695AF2" w:rsidRPr="00145A97">
        <w:rPr>
          <w:lang w:val="en-GB"/>
        </w:rPr>
        <w:t>2011</w:t>
      </w:r>
      <w:r w:rsidRPr="00145A97">
        <w:rPr>
          <w:lang w:val="en-GB"/>
        </w:rPr>
        <w:t>)</w:t>
      </w:r>
      <w:r w:rsidRPr="00145A97">
        <w:rPr>
          <w:b/>
          <w:lang w:val="en-GB"/>
        </w:rPr>
        <w:t xml:space="preserve"> Fifth Report on Economic, Social and Territorial Cohesion: investing in Europe’s future</w:t>
      </w:r>
      <w:r w:rsidRPr="00145A97">
        <w:rPr>
          <w:lang w:val="en-GB"/>
        </w:rPr>
        <w:t>. Luxembourg: Office for Official Publications of the European Communities</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Clarence, E.</w:t>
      </w:r>
      <w:r w:rsidRPr="00145A97">
        <w:rPr>
          <w:lang w:val="en-GB"/>
        </w:rPr>
        <w:t xml:space="preserve"> (2002) Technocracy reinvented: the new evidence based policy movement, </w:t>
      </w:r>
      <w:r w:rsidRPr="00145A97">
        <w:rPr>
          <w:b/>
          <w:lang w:val="en-GB"/>
        </w:rPr>
        <w:t>Public Policy and Administration</w:t>
      </w:r>
      <w:r w:rsidRPr="00145A97">
        <w:rPr>
          <w:lang w:val="en-GB"/>
        </w:rPr>
        <w:t>, 17(1), pp. 1-11</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COMMIN (undated) </w:t>
      </w:r>
      <w:r w:rsidRPr="00145A97">
        <w:rPr>
          <w:b/>
          <w:lang w:val="en-GB"/>
        </w:rPr>
        <w:t xml:space="preserve">Baltic Sea </w:t>
      </w:r>
      <w:proofErr w:type="spellStart"/>
      <w:r w:rsidRPr="00145A97">
        <w:rPr>
          <w:b/>
          <w:lang w:val="en-GB"/>
        </w:rPr>
        <w:t>Conceptshare</w:t>
      </w:r>
      <w:proofErr w:type="spellEnd"/>
      <w:r w:rsidRPr="00145A97">
        <w:rPr>
          <w:b/>
          <w:lang w:val="en-GB"/>
        </w:rPr>
        <w:t xml:space="preserve"> National Spatial Planning Systems</w:t>
      </w:r>
      <w:r w:rsidRPr="00145A97">
        <w:rPr>
          <w:lang w:val="en-GB"/>
        </w:rPr>
        <w:t xml:space="preserve">. Available at </w:t>
      </w:r>
      <w:hyperlink r:id="rId12" w:history="1">
        <w:r w:rsidRPr="00145A97">
          <w:rPr>
            <w:rStyle w:val="Hyperlink1"/>
            <w:sz w:val="24"/>
            <w:lang w:val="en-GB"/>
          </w:rPr>
          <w:t>http://commin.org/en/planning-systems/national-planning-systems/nations.html</w:t>
        </w:r>
      </w:hyperlink>
      <w:r w:rsidRPr="00145A97">
        <w:rPr>
          <w:lang w:val="en-GB"/>
        </w:rPr>
        <w:t xml:space="preserve"> (accessed March 2011)</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b/>
          <w:lang w:val="it-IT"/>
        </w:rPr>
      </w:pPr>
      <w:r w:rsidRPr="00145A97">
        <w:rPr>
          <w:lang w:val="it-IT"/>
        </w:rPr>
        <w:t xml:space="preserve">COTELLA, G. (2009) </w:t>
      </w:r>
      <w:r w:rsidRPr="00145A97">
        <w:rPr>
          <w:b/>
          <w:lang w:val="it-IT"/>
        </w:rPr>
        <w:t>Governance territoriale comunitaria e sistemi di pianificazione: Riflessioni sull’allargamento ad est dell’Unione europea</w:t>
      </w:r>
      <w:r w:rsidRPr="00145A97">
        <w:rPr>
          <w:lang w:val="it-IT"/>
        </w:rPr>
        <w:t>, PhD dissertation, Inter-university</w:t>
      </w:r>
      <w:r w:rsidRPr="00145A97">
        <w:rPr>
          <w:b/>
          <w:lang w:val="it-IT"/>
        </w:rPr>
        <w:t xml:space="preserve"> </w:t>
      </w:r>
      <w:r w:rsidRPr="00145A97">
        <w:rPr>
          <w:lang w:val="it-IT"/>
        </w:rPr>
        <w:t>department of territorial studies and planning, Politecnico di Torino, Torino, Italy.</w:t>
      </w:r>
    </w:p>
    <w:p w:rsidR="007732D9"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pPr>
      <w:r w:rsidRPr="00145A97">
        <w:rPr>
          <w:caps/>
          <w:lang w:val="en-GB"/>
        </w:rPr>
        <w:t xml:space="preserve">Cotella, G., Adams, N. </w:t>
      </w:r>
      <w:r w:rsidR="00AA4DA0" w:rsidRPr="00145A97">
        <w:rPr>
          <w:lang w:val="en-GB"/>
        </w:rPr>
        <w:t>and</w:t>
      </w:r>
      <w:r w:rsidR="00AA4DA0" w:rsidRPr="00145A97">
        <w:rPr>
          <w:caps/>
          <w:lang w:val="en-GB"/>
        </w:rPr>
        <w:t xml:space="preserve"> </w:t>
      </w:r>
      <w:r w:rsidRPr="00145A97">
        <w:rPr>
          <w:caps/>
          <w:lang w:val="en-GB"/>
        </w:rPr>
        <w:t>Nunes, R.</w:t>
      </w:r>
      <w:r w:rsidRPr="00145A97">
        <w:rPr>
          <w:lang w:val="en-GB"/>
        </w:rPr>
        <w:t xml:space="preserve"> (201</w:t>
      </w:r>
      <w:r w:rsidR="00926F5A">
        <w:rPr>
          <w:lang w:val="en-GB"/>
        </w:rPr>
        <w:t>2</w:t>
      </w:r>
      <w:r w:rsidRPr="00145A97">
        <w:rPr>
          <w:lang w:val="en-GB"/>
        </w:rPr>
        <w:t xml:space="preserve">) </w:t>
      </w:r>
      <w:r w:rsidR="00926F5A" w:rsidRPr="00926F5A">
        <w:rPr>
          <w:lang w:val="en-GB"/>
        </w:rPr>
        <w:t>Engaging in European Spatial Planning: a Central and Eastern European Perspective on the Territorial Cohesion Debate</w:t>
      </w:r>
      <w:r w:rsidR="00926F5A">
        <w:rPr>
          <w:b/>
          <w:lang w:val="en-GB"/>
        </w:rPr>
        <w:t xml:space="preserve">, </w:t>
      </w:r>
      <w:r w:rsidR="007732D9">
        <w:rPr>
          <w:b/>
          <w:lang w:val="en-GB"/>
        </w:rPr>
        <w:t xml:space="preserve">European Planning Studies 20(7), </w:t>
      </w:r>
      <w:r w:rsidR="007732D9">
        <w:rPr>
          <w:lang w:val="en-GB"/>
        </w:rPr>
        <w:t xml:space="preserve">pp </w:t>
      </w:r>
      <w:r w:rsidR="007732D9">
        <w:t xml:space="preserve">1197-1220 </w:t>
      </w:r>
    </w:p>
    <w:p w:rsidR="00AA4DA0" w:rsidRPr="00145A97" w:rsidRDefault="00AA4DA0"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COTELLA, G. and JANIN RIVOLIN, U.</w:t>
      </w:r>
      <w:r w:rsidR="001200C4" w:rsidRPr="00145A97">
        <w:rPr>
          <w:lang w:val="en-GB"/>
        </w:rPr>
        <w:t xml:space="preserve"> (2010) </w:t>
      </w:r>
      <w:r w:rsidR="001200C4" w:rsidRPr="00145A97">
        <w:rPr>
          <w:b/>
          <w:lang w:val="en-GB"/>
        </w:rPr>
        <w:t xml:space="preserve">Institutions, Discourse and Practices: Towards a Multi-dimensional Understanding of EU Territorial Governance, </w:t>
      </w:r>
      <w:r w:rsidR="001200C4" w:rsidRPr="00145A97">
        <w:rPr>
          <w:lang w:val="en-GB"/>
        </w:rPr>
        <w:t>Paper Presented at the 24th AESOP Congress, Helsinki (Finland), 7-10 July 2010.</w:t>
      </w:r>
    </w:p>
    <w:p w:rsidR="001200C4" w:rsidRPr="00145A97" w:rsidRDefault="001200C4"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COTELLA, G., </w:t>
      </w:r>
      <w:r w:rsidR="00AA4DA0" w:rsidRPr="00145A97">
        <w:rPr>
          <w:lang w:val="en-GB"/>
        </w:rPr>
        <w:t>JANIN</w:t>
      </w:r>
      <w:r w:rsidRPr="00145A97">
        <w:rPr>
          <w:lang w:val="en-GB"/>
        </w:rPr>
        <w:t xml:space="preserve"> RIVOLIN, U. and REIMER, M. (2011) </w:t>
      </w:r>
      <w:r w:rsidRPr="00145A97">
        <w:rPr>
          <w:b/>
          <w:lang w:val="en-GB"/>
        </w:rPr>
        <w:t>Structure, Tools, Discourse and Practices: A Multi-dimensional Comparative Approach to EU Territorial Governance</w:t>
      </w:r>
      <w:r w:rsidRPr="00145A97">
        <w:rPr>
          <w:lang w:val="en-GB"/>
        </w:rPr>
        <w:t>, Paper Presented at the 3rd World Planning Schools Congress, Perth (Western Australia), 4-8 July 2011.</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CPMR - Conference for Peripheral and Maritime Regions</w:t>
      </w:r>
      <w:r w:rsidRPr="00145A97">
        <w:rPr>
          <w:lang w:val="en-GB"/>
        </w:rPr>
        <w:t xml:space="preserve"> (2009) </w:t>
      </w:r>
      <w:r w:rsidRPr="00145A97">
        <w:rPr>
          <w:b/>
          <w:lang w:val="en-GB"/>
        </w:rPr>
        <w:t>Emerging Stronger from the Crisis: a European Territorial Pact</w:t>
      </w:r>
      <w:r w:rsidRPr="00145A97">
        <w:rPr>
          <w:lang w:val="en-GB"/>
        </w:rPr>
        <w:t xml:space="preserve">. Available at </w:t>
      </w:r>
      <w:hyperlink r:id="rId13" w:history="1">
        <w:r w:rsidRPr="00145A97">
          <w:rPr>
            <w:rStyle w:val="Hyperlink1"/>
            <w:sz w:val="24"/>
            <w:lang w:val="en-GB"/>
          </w:rPr>
          <w:t>http://www.crpm.org/pub/agenda/1125_manifesto-emerging_stronger_from_the_crisis.pdf</w:t>
        </w:r>
      </w:hyperlink>
      <w:r w:rsidR="00571AB5">
        <w:rPr>
          <w:lang w:val="en-GB"/>
        </w:rPr>
        <w:t xml:space="preserve"> </w:t>
      </w:r>
      <w:r w:rsidRPr="00145A97">
        <w:rPr>
          <w:lang w:val="en-GB"/>
        </w:rPr>
        <w:t>(accessed March 2011)</w:t>
      </w:r>
      <w:r w:rsidR="007B192A" w:rsidRPr="00145A97">
        <w:rPr>
          <w:lang w:val="en-GB"/>
        </w:rPr>
        <w:t>.</w:t>
      </w:r>
    </w:p>
    <w:p w:rsidR="00B84612" w:rsidRPr="00145A97" w:rsidRDefault="00EA0FCC"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lastRenderedPageBreak/>
        <w:t xml:space="preserve">DAGLIENE, G. (2006) </w:t>
      </w:r>
      <w:r w:rsidR="006A6887" w:rsidRPr="00145A97">
        <w:rPr>
          <w:lang w:val="en-GB"/>
        </w:rPr>
        <w:t>The response to regional disparities in Lithuania</w:t>
      </w:r>
      <w:r w:rsidRPr="00145A97">
        <w:rPr>
          <w:lang w:val="en-GB"/>
        </w:rPr>
        <w:t>, in ADAMS, N. ALDEN, J. and HARRIS, N. (</w:t>
      </w:r>
      <w:proofErr w:type="spellStart"/>
      <w:r w:rsidRPr="00145A97">
        <w:rPr>
          <w:lang w:val="en-GB"/>
        </w:rPr>
        <w:t>Eds</w:t>
      </w:r>
      <w:proofErr w:type="spellEnd"/>
      <w:r w:rsidRPr="00145A97">
        <w:rPr>
          <w:lang w:val="en-GB"/>
        </w:rPr>
        <w:t xml:space="preserve">) </w:t>
      </w:r>
      <w:r w:rsidRPr="00145A97">
        <w:rPr>
          <w:b/>
          <w:lang w:val="en-GB"/>
        </w:rPr>
        <w:t>Regional Development and Spatial Planning in an Enlarged EU</w:t>
      </w:r>
      <w:r w:rsidRPr="00145A97">
        <w:rPr>
          <w:lang w:val="en-GB"/>
        </w:rPr>
        <w:t xml:space="preserve">, pp.221-240. Aldershot: </w:t>
      </w:r>
      <w:proofErr w:type="spellStart"/>
      <w:r w:rsidRPr="00145A97">
        <w:rPr>
          <w:lang w:val="en-GB"/>
        </w:rPr>
        <w:t>Ashgate</w:t>
      </w:r>
      <w:proofErr w:type="spellEnd"/>
      <w:r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DE PRESIDENCY (2007) </w:t>
      </w:r>
      <w:r w:rsidRPr="00145A97">
        <w:rPr>
          <w:b/>
          <w:lang w:val="en-GB"/>
        </w:rPr>
        <w:t>Territorial Agenda of the European Union: Towards a more competitive and sustainable Europe of diverse regions</w:t>
      </w:r>
      <w:r w:rsidR="00701237">
        <w:rPr>
          <w:lang w:val="en-GB"/>
        </w:rPr>
        <w:t>, a</w:t>
      </w:r>
      <w:r w:rsidRPr="00145A97">
        <w:rPr>
          <w:lang w:val="en-GB"/>
        </w:rPr>
        <w:t xml:space="preserve">vailable at </w:t>
      </w:r>
      <w:hyperlink r:id="rId14" w:history="1">
        <w:r w:rsidR="00701237" w:rsidRPr="008F3EB3">
          <w:rPr>
            <w:rStyle w:val="Collegamentoipertestuale"/>
            <w:lang w:val="en-GB"/>
          </w:rPr>
          <w:t>http://www.eu-territorial-agenda.eu/Reference%20Documents/Territorial-Agenda-of-the-European-Union-Agreed-on-25-May-2007.pdf</w:t>
        </w:r>
      </w:hyperlink>
      <w:r w:rsidR="00701237">
        <w:rPr>
          <w:lang w:val="en-GB"/>
        </w:rPr>
        <w:t xml:space="preserve"> </w:t>
      </w:r>
      <w:r w:rsidRPr="00145A97">
        <w:rPr>
          <w:lang w:val="en-GB"/>
        </w:rPr>
        <w:t xml:space="preserve">(accessed </w:t>
      </w:r>
      <w:r w:rsidR="00701237">
        <w:rPr>
          <w:lang w:val="en-GB"/>
        </w:rPr>
        <w:t>July 2012</w:t>
      </w:r>
      <w:r w:rsidRPr="00145A97">
        <w:rPr>
          <w:lang w:val="en-GB"/>
        </w:rPr>
        <w:t>)</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EC (2009) </w:t>
      </w:r>
      <w:r w:rsidRPr="00145A97">
        <w:rPr>
          <w:b/>
          <w:lang w:val="en-GB"/>
        </w:rPr>
        <w:t>Communication from the Commission to the European Parliament, the Council, the European Economic and Social Committee and the Committee of the Regions concerning the European Union Strategy for the Baltic Sea Region</w:t>
      </w:r>
      <w:r w:rsidRPr="00145A97">
        <w:rPr>
          <w:lang w:val="en-GB"/>
        </w:rPr>
        <w:t xml:space="preserve">. Available at </w:t>
      </w:r>
      <w:hyperlink r:id="rId15" w:history="1">
        <w:r w:rsidRPr="00145A97">
          <w:rPr>
            <w:rStyle w:val="Hyperlink1"/>
            <w:sz w:val="24"/>
            <w:lang w:val="en-GB"/>
          </w:rPr>
          <w:t>http://ec.europa.eu/regional_policy/sources/docoffic/official/communic/baltic/com_baltic_en.pdf</w:t>
        </w:r>
      </w:hyperlink>
      <w:r w:rsidRPr="00145A97">
        <w:rPr>
          <w:lang w:val="en-GB"/>
        </w:rPr>
        <w:t xml:space="preserve"> (accessed March 2011)</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EDF - Estonian Development Fund</w:t>
      </w:r>
      <w:r w:rsidRPr="00145A97">
        <w:rPr>
          <w:lang w:val="en-GB"/>
        </w:rPr>
        <w:t xml:space="preserve"> (2010) </w:t>
      </w:r>
      <w:r w:rsidRPr="00145A97">
        <w:rPr>
          <w:b/>
          <w:lang w:val="en-GB"/>
        </w:rPr>
        <w:t>Estonian Growth Vision 2018 Alternate Futures for the Estonian Economy</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Estonian Ministry of the Environment</w:t>
      </w:r>
      <w:r w:rsidRPr="00145A97">
        <w:rPr>
          <w:lang w:val="en-GB"/>
        </w:rPr>
        <w:t xml:space="preserve"> (2001) </w:t>
      </w:r>
      <w:r w:rsidRPr="00145A97">
        <w:rPr>
          <w:b/>
          <w:lang w:val="en-GB"/>
        </w:rPr>
        <w:t>Estonia 2010 National Spatial Plan</w:t>
      </w:r>
      <w:r w:rsidRPr="00145A97">
        <w:rPr>
          <w:lang w:val="en-GB"/>
        </w:rPr>
        <w:t>, Tallinn, Ministry of the Environment</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Estonian Ministry of Interior MoI</w:t>
      </w:r>
      <w:r w:rsidRPr="00145A97">
        <w:rPr>
          <w:lang w:val="en-GB"/>
        </w:rPr>
        <w:t xml:space="preserve"> (2009) </w:t>
      </w:r>
      <w:r w:rsidRPr="00145A97">
        <w:rPr>
          <w:b/>
          <w:lang w:val="en-GB"/>
        </w:rPr>
        <w:t>Estonia’s contribution regarding Commission communication, Green Paper on Territorial Cohesion – Turning territorial diversity into stren</w:t>
      </w:r>
      <w:r w:rsidRPr="00145A97">
        <w:rPr>
          <w:lang w:val="en-GB"/>
        </w:rPr>
        <w:t xml:space="preserve">gth, available at </w:t>
      </w:r>
      <w:hyperlink r:id="rId16" w:history="1">
        <w:r w:rsidRPr="00145A97">
          <w:rPr>
            <w:rStyle w:val="Hyperlink1"/>
            <w:sz w:val="24"/>
            <w:lang w:val="en-GB"/>
          </w:rPr>
          <w:t>http://ec.europa.eu/regional_policy/consultation/terco/contrib_en.htm</w:t>
        </w:r>
      </w:hyperlink>
      <w:r w:rsidRPr="00145A97">
        <w:rPr>
          <w:lang w:val="en-GB"/>
        </w:rPr>
        <w:t xml:space="preserve"> (accessed February 2011)</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EUA (2011) </w:t>
      </w:r>
      <w:r w:rsidRPr="00145A97">
        <w:rPr>
          <w:b/>
          <w:lang w:val="en-GB"/>
        </w:rPr>
        <w:t>Impact of the economic crisis on European universities</w:t>
      </w:r>
      <w:r w:rsidRPr="00145A97">
        <w:rPr>
          <w:lang w:val="en-GB"/>
        </w:rPr>
        <w:t xml:space="preserve">. Available at </w:t>
      </w:r>
      <w:hyperlink r:id="rId17" w:history="1">
        <w:r w:rsidR="007B192A" w:rsidRPr="00145A97">
          <w:rPr>
            <w:rStyle w:val="Collegamentoipertestuale"/>
            <w:lang w:val="en-GB"/>
          </w:rPr>
          <w:t>http://www.eua.be/news/09-11-13/EUA_delegation_visit_to_Latvia_focuses_on_higher_education_funding_and_reforms.aspx</w:t>
        </w:r>
      </w:hyperlink>
      <w:r w:rsidRPr="00145A97">
        <w:rPr>
          <w:lang w:val="en-GB"/>
        </w:rPr>
        <w:t xml:space="preserve"> (accessed January 2011)</w:t>
      </w:r>
      <w:r w:rsidR="007B192A" w:rsidRPr="00145A97">
        <w:rPr>
          <w:lang w:val="en-GB"/>
        </w:rPr>
        <w:t>.</w:t>
      </w:r>
    </w:p>
    <w:p w:rsidR="00B84612" w:rsidRPr="00145A97" w:rsidRDefault="00E57B2D"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EUROSTAT (2011) Available at </w:t>
      </w:r>
      <w:hyperlink r:id="rId18" w:history="1">
        <w:r w:rsidRPr="00145A97">
          <w:rPr>
            <w:rStyle w:val="Collegamentoipertestuale"/>
            <w:lang w:val="en-GB"/>
          </w:rPr>
          <w:t>http://epp.eurostat.ec.europa.eu/portal/page/portal/eurostat/home/</w:t>
        </w:r>
      </w:hyperlink>
      <w:r w:rsidRPr="00145A97">
        <w:rPr>
          <w:lang w:val="en-GB"/>
        </w:rPr>
        <w:t xml:space="preserve"> (accessed February 2011)</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Evers, D.</w:t>
      </w:r>
      <w:r w:rsidRPr="00145A97">
        <w:rPr>
          <w:lang w:val="en-GB"/>
        </w:rPr>
        <w:t xml:space="preserve"> (2007) Reflections on Territorial Cohesion and European Spatial Planning, </w:t>
      </w:r>
      <w:proofErr w:type="spellStart"/>
      <w:r w:rsidRPr="00145A97">
        <w:rPr>
          <w:b/>
          <w:lang w:val="en-GB"/>
        </w:rPr>
        <w:t>Tijdschrift</w:t>
      </w:r>
      <w:proofErr w:type="spellEnd"/>
      <w:r w:rsidRPr="00145A97">
        <w:rPr>
          <w:b/>
          <w:lang w:val="en-GB"/>
        </w:rPr>
        <w:t xml:space="preserve"> </w:t>
      </w:r>
      <w:proofErr w:type="spellStart"/>
      <w:r w:rsidRPr="00145A97">
        <w:rPr>
          <w:b/>
          <w:lang w:val="en-GB"/>
        </w:rPr>
        <w:t>voor</w:t>
      </w:r>
      <w:proofErr w:type="spellEnd"/>
      <w:r w:rsidRPr="00145A97">
        <w:rPr>
          <w:b/>
          <w:lang w:val="en-GB"/>
        </w:rPr>
        <w:t xml:space="preserve"> </w:t>
      </w:r>
      <w:proofErr w:type="spellStart"/>
      <w:r w:rsidRPr="00145A97">
        <w:rPr>
          <w:b/>
          <w:lang w:val="en-GB"/>
        </w:rPr>
        <w:t>Economische</w:t>
      </w:r>
      <w:proofErr w:type="spellEnd"/>
      <w:r w:rsidRPr="00145A97">
        <w:rPr>
          <w:b/>
          <w:lang w:val="en-GB"/>
        </w:rPr>
        <w:t xml:space="preserve"> en </w:t>
      </w:r>
      <w:proofErr w:type="spellStart"/>
      <w:r w:rsidRPr="00145A97">
        <w:rPr>
          <w:b/>
          <w:lang w:val="en-GB"/>
        </w:rPr>
        <w:t>Sociale</w:t>
      </w:r>
      <w:proofErr w:type="spellEnd"/>
      <w:r w:rsidRPr="00145A97">
        <w:rPr>
          <w:b/>
          <w:lang w:val="en-GB"/>
        </w:rPr>
        <w:t xml:space="preserve"> </w:t>
      </w:r>
      <w:proofErr w:type="spellStart"/>
      <w:r w:rsidRPr="00145A97">
        <w:rPr>
          <w:b/>
          <w:lang w:val="en-GB"/>
        </w:rPr>
        <w:t>Geografie</w:t>
      </w:r>
      <w:proofErr w:type="spellEnd"/>
      <w:r w:rsidRPr="00145A97">
        <w:rPr>
          <w:lang w:val="en-GB"/>
        </w:rPr>
        <w:t>, 99(3), pp. 303-315</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lastRenderedPageBreak/>
        <w:t>Evers, D., Tennekes, J., Borsboom, J., Heiligenberg, H. AND van den, Thissen, M.</w:t>
      </w:r>
      <w:r w:rsidRPr="00145A97">
        <w:rPr>
          <w:lang w:val="en-GB"/>
        </w:rPr>
        <w:t xml:space="preserve"> (2009) </w:t>
      </w:r>
      <w:r w:rsidRPr="00145A97">
        <w:rPr>
          <w:b/>
          <w:lang w:val="en-GB"/>
        </w:rPr>
        <w:t>A Territorial Impact Assessment of Territorial Cohesion for the Netherlands, Netherlands Environmental Assessment Agency</w:t>
      </w:r>
      <w:r w:rsidRPr="00145A97">
        <w:rPr>
          <w:lang w:val="en-GB"/>
        </w:rPr>
        <w:t xml:space="preserve"> (PBL). Available at </w:t>
      </w:r>
      <w:hyperlink r:id="rId19" w:history="1">
        <w:r w:rsidRPr="00145A97">
          <w:rPr>
            <w:rStyle w:val="Hyperlink1"/>
            <w:sz w:val="24"/>
            <w:lang w:val="en-GB"/>
          </w:rPr>
          <w:t>http://www.eukn.org/binaries/eukn/netherlands/research/2009/07/tia_tc_webversie.pdf</w:t>
        </w:r>
      </w:hyperlink>
      <w:r w:rsidRPr="00145A97">
        <w:rPr>
          <w:lang w:val="en-GB"/>
        </w:rPr>
        <w:t xml:space="preserve"> (accessed March 2010)</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FALUDI, A. (2008) The learning machine: European integration in the planning mirror, </w:t>
      </w:r>
      <w:r w:rsidRPr="00145A97">
        <w:rPr>
          <w:b/>
          <w:lang w:val="en-GB"/>
        </w:rPr>
        <w:t xml:space="preserve">Environment and Planning A, </w:t>
      </w:r>
      <w:r w:rsidRPr="00145A97">
        <w:rPr>
          <w:lang w:val="en-GB"/>
        </w:rPr>
        <w:t>40(6), pp. 1470-1484</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Faludi, A.</w:t>
      </w:r>
      <w:r w:rsidRPr="00145A97">
        <w:rPr>
          <w:lang w:val="en-GB"/>
        </w:rPr>
        <w:t xml:space="preserve"> (2009) </w:t>
      </w:r>
      <w:r w:rsidRPr="00145A97">
        <w:rPr>
          <w:b/>
          <w:lang w:val="en-GB"/>
        </w:rPr>
        <w:t>Territorial Cohesion under the Looking Glass</w:t>
      </w:r>
      <w:r w:rsidRPr="00145A97">
        <w:rPr>
          <w:lang w:val="en-GB"/>
        </w:rPr>
        <w:t xml:space="preserve">, Synthesis paper about the history of the concept and policy background to territorial cohesion. Available at </w:t>
      </w:r>
      <w:hyperlink r:id="rId20" w:history="1">
        <w:r w:rsidRPr="00145A97">
          <w:rPr>
            <w:rStyle w:val="Hyperlink1"/>
            <w:sz w:val="24"/>
            <w:lang w:val="en-GB"/>
          </w:rPr>
          <w:t>http://ec.europa.eu/regional_policy/consultation/terco/pdf/lookingglass.pdf</w:t>
        </w:r>
      </w:hyperlink>
      <w:r w:rsidR="007B192A" w:rsidRPr="00145A97">
        <w:rPr>
          <w:lang w:val="en-GB"/>
        </w:rPr>
        <w:t xml:space="preserve"> (accessed February 2011).</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FALUDI, A. </w:t>
      </w:r>
      <w:r w:rsidR="00F36637">
        <w:rPr>
          <w:lang w:val="en-GB"/>
        </w:rPr>
        <w:t>and</w:t>
      </w:r>
      <w:r w:rsidRPr="00145A97">
        <w:rPr>
          <w:lang w:val="en-GB"/>
        </w:rPr>
        <w:t xml:space="preserve"> WATERHOUT, B. (2006) Introducing Evidence-Based Planning, </w:t>
      </w:r>
      <w:proofErr w:type="spellStart"/>
      <w:r w:rsidRPr="00145A97">
        <w:rPr>
          <w:b/>
          <w:lang w:val="en-GB"/>
        </w:rPr>
        <w:t>disP</w:t>
      </w:r>
      <w:proofErr w:type="spellEnd"/>
      <w:r w:rsidR="00F36637">
        <w:rPr>
          <w:lang w:val="en-GB"/>
        </w:rPr>
        <w:t>, 165(2)</w:t>
      </w:r>
      <w:r w:rsidRPr="00145A97">
        <w:rPr>
          <w:lang w:val="en-GB"/>
        </w:rPr>
        <w:t>, pp. 4-13</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FESER, E. (2007) Linking Research and Rural Development Policy: An introduction to the special issue, </w:t>
      </w:r>
      <w:r w:rsidRPr="00145A97">
        <w:rPr>
          <w:b/>
          <w:lang w:val="en-GB"/>
        </w:rPr>
        <w:t>Journal of Regional Analysis and Policy</w:t>
      </w:r>
      <w:r w:rsidRPr="00145A97">
        <w:rPr>
          <w:lang w:val="en-GB"/>
        </w:rPr>
        <w:t>, 37(1), pp. 1-3</w:t>
      </w:r>
      <w:r w:rsidR="007B192A" w:rsidRPr="00145A97">
        <w:rPr>
          <w:lang w:val="en-GB"/>
        </w:rPr>
        <w:t>.</w:t>
      </w:r>
    </w:p>
    <w:p w:rsidR="008C140E" w:rsidRPr="00145A97" w:rsidRDefault="008C140E"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Fox</w:t>
      </w:r>
      <w:r w:rsidRPr="00145A97">
        <w:rPr>
          <w:lang w:val="en-GB"/>
        </w:rPr>
        <w:t xml:space="preserve">, S. (2000) ‘Communities of practice, Foucault and actor-network theory’. </w:t>
      </w:r>
      <w:r w:rsidRPr="00145A97">
        <w:rPr>
          <w:b/>
          <w:lang w:val="en-GB"/>
        </w:rPr>
        <w:t>Journal of Management Studies</w:t>
      </w:r>
      <w:r w:rsidRPr="00145A97">
        <w:rPr>
          <w:lang w:val="en-GB"/>
        </w:rPr>
        <w:t>, 37(6): 853–67.</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French Presidency</w:t>
      </w:r>
      <w:r w:rsidRPr="00145A97">
        <w:rPr>
          <w:lang w:val="en-GB"/>
        </w:rPr>
        <w:t xml:space="preserve"> (2000) </w:t>
      </w:r>
      <w:r w:rsidRPr="00145A97">
        <w:rPr>
          <w:b/>
          <w:lang w:val="en-GB"/>
        </w:rPr>
        <w:t>Contribution to the debate on the long-term ESDP polycentric vision of Europe</w:t>
      </w:r>
      <w:r w:rsidRPr="00145A97">
        <w:rPr>
          <w:lang w:val="en-GB"/>
        </w:rPr>
        <w:t>. Elaboration of a long-term polycentric vision of the Europ</w:t>
      </w:r>
      <w:r w:rsidR="007B192A" w:rsidRPr="00145A97">
        <w:rPr>
          <w:lang w:val="en-GB"/>
        </w:rPr>
        <w:t xml:space="preserve">ean space Final report – </w:t>
      </w:r>
      <w:proofErr w:type="spellStart"/>
      <w:r w:rsidR="007B192A" w:rsidRPr="00145A97">
        <w:rPr>
          <w:lang w:val="en-GB"/>
        </w:rPr>
        <w:t>Vol</w:t>
      </w:r>
      <w:proofErr w:type="spellEnd"/>
      <w:r w:rsidR="007B192A" w:rsidRPr="00145A97">
        <w:rPr>
          <w:lang w:val="en-GB"/>
        </w:rPr>
        <w:t xml:space="preserve"> 2. Paris: DATAR.</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Fritsch, M.</w:t>
      </w:r>
      <w:r w:rsidRPr="00145A97">
        <w:rPr>
          <w:lang w:val="en-GB"/>
        </w:rPr>
        <w:t xml:space="preserve"> (2011) Interfaces of European Union internal a</w:t>
      </w:r>
      <w:r w:rsidR="007B192A" w:rsidRPr="00145A97">
        <w:rPr>
          <w:lang w:val="en-GB"/>
        </w:rPr>
        <w:t>n</w:t>
      </w:r>
      <w:r w:rsidRPr="00145A97">
        <w:rPr>
          <w:lang w:val="en-GB"/>
        </w:rPr>
        <w:t xml:space="preserve">d external territorial governance: The Baltic Sea Region, in </w:t>
      </w:r>
      <w:r w:rsidR="007B192A" w:rsidRPr="00145A97">
        <w:rPr>
          <w:lang w:val="en-GB"/>
        </w:rPr>
        <w:t>ADAMS, N., COTELLA, G</w:t>
      </w:r>
      <w:r w:rsidRPr="00145A97">
        <w:rPr>
          <w:lang w:val="en-GB"/>
        </w:rPr>
        <w:t xml:space="preserve">. and </w:t>
      </w:r>
      <w:r w:rsidR="007B192A" w:rsidRPr="00145A97">
        <w:rPr>
          <w:lang w:val="en-GB"/>
        </w:rPr>
        <w:t>NUNES, R</w:t>
      </w:r>
      <w:r w:rsidRPr="00145A97">
        <w:rPr>
          <w:lang w:val="en-GB"/>
        </w:rPr>
        <w:t>. (</w:t>
      </w:r>
      <w:proofErr w:type="spellStart"/>
      <w:r w:rsidRPr="00145A97">
        <w:rPr>
          <w:lang w:val="en-GB"/>
        </w:rPr>
        <w:t>Eds</w:t>
      </w:r>
      <w:proofErr w:type="spellEnd"/>
      <w:r w:rsidRPr="00145A97">
        <w:rPr>
          <w:lang w:val="en-GB"/>
        </w:rPr>
        <w:t xml:space="preserve">), </w:t>
      </w:r>
      <w:r w:rsidRPr="00145A97">
        <w:rPr>
          <w:b/>
          <w:lang w:val="en-GB"/>
        </w:rPr>
        <w:t>Territorial Development, Cohesion and Spatial Planning: knowledge and policy development in an enlarged EU</w:t>
      </w:r>
      <w:r w:rsidRPr="00145A97">
        <w:rPr>
          <w:lang w:val="en-GB"/>
        </w:rPr>
        <w:t xml:space="preserve">, pp. 382-401. London: </w:t>
      </w:r>
      <w:proofErr w:type="spellStart"/>
      <w:r w:rsidRPr="00145A97">
        <w:rPr>
          <w:lang w:val="en-GB"/>
        </w:rPr>
        <w:t>Routledge</w:t>
      </w:r>
      <w:proofErr w:type="spellEnd"/>
      <w:r w:rsidR="007B192A" w:rsidRPr="00145A97">
        <w:rPr>
          <w:lang w:val="en-GB"/>
        </w:rPr>
        <w:t>.</w:t>
      </w:r>
    </w:p>
    <w:p w:rsidR="00046105" w:rsidRPr="00145A97" w:rsidRDefault="00046105"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Haas</w:t>
      </w:r>
      <w:r w:rsidRPr="00145A97">
        <w:rPr>
          <w:lang w:val="en-GB"/>
        </w:rPr>
        <w:t xml:space="preserve">, E. B. (1990) </w:t>
      </w:r>
      <w:r w:rsidRPr="00145A97">
        <w:rPr>
          <w:b/>
          <w:lang w:val="en-GB"/>
        </w:rPr>
        <w:t>When Knowledge is Power</w:t>
      </w:r>
      <w:r w:rsidRPr="00145A97">
        <w:rPr>
          <w:lang w:val="en-GB"/>
        </w:rPr>
        <w:t>. Berkley: University of California Press</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HAAS, P. (1992) Introduction: Epistemic Communities and International Policy Coordination, </w:t>
      </w:r>
      <w:r w:rsidRPr="00145A97">
        <w:rPr>
          <w:b/>
          <w:lang w:val="en-GB"/>
        </w:rPr>
        <w:t>International Organization</w:t>
      </w:r>
      <w:r w:rsidR="007B192A" w:rsidRPr="00145A97">
        <w:rPr>
          <w:lang w:val="en-GB"/>
        </w:rPr>
        <w:t>, Vol. 46(1)</w:t>
      </w:r>
      <w:r w:rsidRPr="00145A97">
        <w:rPr>
          <w:lang w:val="en-GB"/>
        </w:rPr>
        <w:t>, pp. 1-35. Cambridge: The MIT Press</w:t>
      </w:r>
      <w:r w:rsidR="007B192A" w:rsidRPr="00145A97">
        <w:rPr>
          <w:lang w:val="en-GB"/>
        </w:rPr>
        <w:t>.</w:t>
      </w:r>
    </w:p>
    <w:p w:rsidR="00046105" w:rsidRPr="00145A97" w:rsidRDefault="00046105"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lastRenderedPageBreak/>
        <w:t xml:space="preserve">HAAS, P. (2004), When does power listen to truth? A constructivist approach to the policy process, </w:t>
      </w:r>
      <w:r w:rsidRPr="00145A97">
        <w:rPr>
          <w:b/>
          <w:lang w:val="en-GB"/>
        </w:rPr>
        <w:t>Journal of European Public Policy</w:t>
      </w:r>
      <w:r w:rsidRPr="00145A97">
        <w:rPr>
          <w:lang w:val="en-GB"/>
        </w:rPr>
        <w:t xml:space="preserve"> 11:4 August 2004: 569-592</w:t>
      </w:r>
    </w:p>
    <w:p w:rsidR="00046105" w:rsidRPr="00145A97" w:rsidRDefault="00046105"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Handley</w:t>
      </w:r>
      <w:r w:rsidRPr="00145A97">
        <w:rPr>
          <w:lang w:val="en-GB"/>
        </w:rPr>
        <w:t xml:space="preserve">, K., </w:t>
      </w:r>
      <w:r w:rsidRPr="00145A97">
        <w:rPr>
          <w:caps/>
          <w:lang w:val="en-GB"/>
        </w:rPr>
        <w:t>Sturdy</w:t>
      </w:r>
      <w:r w:rsidRPr="00145A97">
        <w:rPr>
          <w:lang w:val="en-GB"/>
        </w:rPr>
        <w:t xml:space="preserve">, A., </w:t>
      </w:r>
      <w:r w:rsidRPr="00145A97">
        <w:rPr>
          <w:caps/>
          <w:lang w:val="en-GB"/>
        </w:rPr>
        <w:t>Fincham</w:t>
      </w:r>
      <w:r w:rsidRPr="00145A97">
        <w:rPr>
          <w:lang w:val="en-GB"/>
        </w:rPr>
        <w:t xml:space="preserve">, R. and </w:t>
      </w:r>
      <w:r w:rsidRPr="00145A97">
        <w:rPr>
          <w:caps/>
          <w:lang w:val="en-GB"/>
        </w:rPr>
        <w:t>Clark</w:t>
      </w:r>
      <w:r w:rsidRPr="00145A97">
        <w:rPr>
          <w:lang w:val="en-GB"/>
        </w:rPr>
        <w:t xml:space="preserve">, T. (2006) Within and Beyond Communities of Practice: Making Sense of Learning Through Participation, Identity and Practice, </w:t>
      </w:r>
      <w:r w:rsidRPr="00145A97">
        <w:rPr>
          <w:b/>
          <w:lang w:val="en-GB"/>
        </w:rPr>
        <w:t>Journal of Management Studies</w:t>
      </w:r>
      <w:r w:rsidRPr="00145A97">
        <w:rPr>
          <w:lang w:val="en-GB"/>
        </w:rPr>
        <w:t>, 43(3): 641-653</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Haughton, G., Allmendinger, P., Counsell, D. </w:t>
      </w:r>
      <w:r w:rsidR="006E0929">
        <w:rPr>
          <w:lang w:val="en-GB"/>
        </w:rPr>
        <w:t>and</w:t>
      </w:r>
      <w:r w:rsidRPr="00145A97">
        <w:rPr>
          <w:caps/>
          <w:lang w:val="en-GB"/>
        </w:rPr>
        <w:t xml:space="preserve"> Vigar, G.</w:t>
      </w:r>
      <w:r w:rsidRPr="00145A97">
        <w:rPr>
          <w:lang w:val="en-GB"/>
        </w:rPr>
        <w:t xml:space="preserve"> (2010) </w:t>
      </w:r>
      <w:r w:rsidRPr="00145A97">
        <w:rPr>
          <w:b/>
          <w:lang w:val="en-GB"/>
        </w:rPr>
        <w:t>The New Spatial Planning: territorial management with soft spaces and fuzzy boundaries</w:t>
      </w:r>
      <w:r w:rsidR="006E0929">
        <w:rPr>
          <w:lang w:val="en-GB"/>
        </w:rPr>
        <w:t xml:space="preserve">. </w:t>
      </w:r>
      <w:r w:rsidRPr="00145A97">
        <w:rPr>
          <w:lang w:val="en-GB"/>
        </w:rPr>
        <w:t xml:space="preserve">London: </w:t>
      </w:r>
      <w:proofErr w:type="spellStart"/>
      <w:r w:rsidRPr="00145A97">
        <w:rPr>
          <w:lang w:val="en-GB"/>
        </w:rPr>
        <w:t>Routledge</w:t>
      </w:r>
      <w:proofErr w:type="spellEnd"/>
      <w:r w:rsidR="007B192A" w:rsidRPr="00145A97">
        <w:rPr>
          <w:lang w:val="en-GB"/>
        </w:rPr>
        <w:t>.</w:t>
      </w:r>
    </w:p>
    <w:p w:rsidR="0014791E" w:rsidRPr="0014791E" w:rsidRDefault="001A01D9" w:rsidP="00AD05E4">
      <w:pPr>
        <w:pStyle w:val="Default"/>
        <w:spacing w:line="456" w:lineRule="auto"/>
        <w:jc w:val="both"/>
        <w:rPr>
          <w:rFonts w:ascii="Times New Roman" w:hAnsi="Times New Roman" w:cs="Times New Roman"/>
          <w:lang w:val="en-GB"/>
        </w:rPr>
      </w:pPr>
      <w:r w:rsidRPr="00145A97">
        <w:rPr>
          <w:rFonts w:ascii="Times New Roman" w:hAnsi="Times New Roman" w:cs="Times New Roman"/>
          <w:lang w:val="en-GB"/>
        </w:rPr>
        <w:t xml:space="preserve">HU </w:t>
      </w:r>
      <w:r w:rsidR="00416A04" w:rsidRPr="00145A97">
        <w:rPr>
          <w:rFonts w:ascii="Times New Roman" w:hAnsi="Times New Roman" w:cs="Times New Roman"/>
          <w:lang w:val="en-GB"/>
        </w:rPr>
        <w:t>PRESIDENCY</w:t>
      </w:r>
      <w:r w:rsidRPr="00145A97">
        <w:rPr>
          <w:rFonts w:ascii="Times New Roman" w:hAnsi="Times New Roman" w:cs="Times New Roman"/>
          <w:lang w:val="en-GB"/>
        </w:rPr>
        <w:t xml:space="preserve"> </w:t>
      </w:r>
      <w:r w:rsidR="00416A04" w:rsidRPr="00145A97">
        <w:rPr>
          <w:rFonts w:ascii="Times New Roman" w:hAnsi="Times New Roman" w:cs="Times New Roman"/>
          <w:lang w:val="en-GB"/>
        </w:rPr>
        <w:t>(</w:t>
      </w:r>
      <w:r w:rsidRPr="00145A97">
        <w:rPr>
          <w:rFonts w:ascii="Times New Roman" w:hAnsi="Times New Roman" w:cs="Times New Roman"/>
          <w:lang w:val="en-GB"/>
        </w:rPr>
        <w:t>2011</w:t>
      </w:r>
      <w:r w:rsidR="00416A04" w:rsidRPr="00145A97">
        <w:rPr>
          <w:rFonts w:ascii="Times New Roman" w:hAnsi="Times New Roman" w:cs="Times New Roman"/>
          <w:lang w:val="en-GB"/>
        </w:rPr>
        <w:t>)</w:t>
      </w:r>
      <w:r w:rsidRPr="00145A97">
        <w:rPr>
          <w:rFonts w:ascii="Times New Roman" w:hAnsi="Times New Roman" w:cs="Times New Roman"/>
          <w:lang w:val="en-GB"/>
        </w:rPr>
        <w:t xml:space="preserve"> </w:t>
      </w:r>
      <w:r w:rsidR="00416A04" w:rsidRPr="00145A97">
        <w:rPr>
          <w:rFonts w:ascii="Times New Roman" w:hAnsi="Times New Roman" w:cs="Times New Roman"/>
          <w:b/>
          <w:lang w:val="en-GB"/>
        </w:rPr>
        <w:t>Territorial Agenda of the European Union 2020: Towards an Inclusive, Smart and Sustainable Europe of Diverse Regions</w:t>
      </w:r>
      <w:r w:rsidR="0014791E">
        <w:rPr>
          <w:rFonts w:ascii="Times New Roman" w:hAnsi="Times New Roman" w:cs="Times New Roman"/>
          <w:b/>
          <w:lang w:val="en-GB"/>
        </w:rPr>
        <w:t xml:space="preserve">, </w:t>
      </w:r>
      <w:r w:rsidR="0014791E" w:rsidRPr="0014791E">
        <w:rPr>
          <w:rFonts w:ascii="Times New Roman" w:hAnsi="Times New Roman" w:cs="Times New Roman"/>
          <w:lang w:val="en-GB"/>
        </w:rPr>
        <w:t xml:space="preserve">available at </w:t>
      </w:r>
      <w:hyperlink r:id="rId21" w:history="1">
        <w:r w:rsidR="0014791E" w:rsidRPr="008F3EB3">
          <w:rPr>
            <w:rStyle w:val="Collegamentoipertestuale"/>
            <w:rFonts w:ascii="Times New Roman" w:hAnsi="Times New Roman" w:cs="Times New Roman"/>
            <w:lang w:val="en-GB"/>
          </w:rPr>
          <w:t>http://www.eu2011.hu/files/bveu/documents/TA2020.pdf</w:t>
        </w:r>
      </w:hyperlink>
      <w:r w:rsidR="0014791E">
        <w:rPr>
          <w:rFonts w:ascii="Times New Roman" w:hAnsi="Times New Roman" w:cs="Times New Roman"/>
          <w:lang w:val="en-GB"/>
        </w:rPr>
        <w:t xml:space="preserve"> accessed July 2012</w:t>
      </w:r>
    </w:p>
    <w:p w:rsidR="00AA4DA0" w:rsidRPr="00145A97" w:rsidRDefault="001200C4"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b/>
          <w:caps/>
          <w:lang w:val="en-GB"/>
        </w:rPr>
      </w:pPr>
      <w:r w:rsidRPr="00145A97">
        <w:rPr>
          <w:caps/>
          <w:lang w:val="en-GB"/>
        </w:rPr>
        <w:t xml:space="preserve">JANIN RIVOLIN, U. (2010) </w:t>
      </w:r>
      <w:r w:rsidRPr="00145A97">
        <w:rPr>
          <w:lang w:val="en-GB"/>
        </w:rPr>
        <w:t xml:space="preserve">EU Territorial Governance, Learning from Institutional Progress, </w:t>
      </w:r>
      <w:r w:rsidRPr="00145A97">
        <w:rPr>
          <w:b/>
          <w:lang w:val="en-GB"/>
        </w:rPr>
        <w:t>European Journal of Spatial Development.</w:t>
      </w:r>
      <w:r w:rsidRPr="00145A97">
        <w:rPr>
          <w:caps/>
          <w:lang w:val="en-GB"/>
        </w:rPr>
        <w:t xml:space="preserve"> </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Jensen, O. B. </w:t>
      </w:r>
      <w:r w:rsidR="001200C4" w:rsidRPr="00145A97">
        <w:rPr>
          <w:lang w:val="en-GB"/>
        </w:rPr>
        <w:t>and</w:t>
      </w:r>
      <w:r w:rsidRPr="00145A97">
        <w:rPr>
          <w:caps/>
          <w:lang w:val="en-GB"/>
        </w:rPr>
        <w:t xml:space="preserve"> Richardson, T.</w:t>
      </w:r>
      <w:r w:rsidRPr="00145A97">
        <w:rPr>
          <w:lang w:val="en-GB"/>
        </w:rPr>
        <w:t xml:space="preserve"> (2004) </w:t>
      </w:r>
      <w:r w:rsidRPr="00145A97">
        <w:rPr>
          <w:b/>
          <w:lang w:val="en-GB"/>
        </w:rPr>
        <w:t>Making European space</w:t>
      </w:r>
      <w:r w:rsidRPr="00145A97">
        <w:rPr>
          <w:lang w:val="en-GB"/>
        </w:rPr>
        <w:t xml:space="preserve">, London: </w:t>
      </w:r>
      <w:proofErr w:type="spellStart"/>
      <w:r w:rsidRPr="00145A97">
        <w:rPr>
          <w:lang w:val="en-GB"/>
        </w:rPr>
        <w:t>Routledge</w:t>
      </w:r>
      <w:proofErr w:type="spellEnd"/>
      <w:r w:rsidR="007B192A" w:rsidRPr="00145A97">
        <w:rPr>
          <w:lang w:val="en-GB"/>
        </w:rPr>
        <w:t>.</w:t>
      </w:r>
    </w:p>
    <w:p w:rsidR="007B192A"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Kingdon, J. W.</w:t>
      </w:r>
      <w:r w:rsidRPr="00145A97">
        <w:rPr>
          <w:lang w:val="en-GB"/>
        </w:rPr>
        <w:t xml:space="preserve"> (1995) </w:t>
      </w:r>
      <w:r w:rsidRPr="00145A97">
        <w:rPr>
          <w:b/>
          <w:lang w:val="en-GB"/>
        </w:rPr>
        <w:t>Agendas, Alternatives and Public Policies</w:t>
      </w:r>
      <w:r w:rsidRPr="00145A97">
        <w:rPr>
          <w:lang w:val="en-GB"/>
        </w:rPr>
        <w:t>. Ne</w:t>
      </w:r>
      <w:r w:rsidR="006E0929">
        <w:rPr>
          <w:lang w:val="en-GB"/>
        </w:rPr>
        <w:t>w York: Harper Collins</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Krizek, k., Forysth, A. </w:t>
      </w:r>
      <w:r w:rsidR="007B192A" w:rsidRPr="00145A97">
        <w:rPr>
          <w:lang w:val="en-GB"/>
        </w:rPr>
        <w:t>and</w:t>
      </w:r>
      <w:r w:rsidRPr="00145A97">
        <w:rPr>
          <w:caps/>
          <w:lang w:val="en-GB"/>
        </w:rPr>
        <w:t xml:space="preserve"> Slotterback, C. S.</w:t>
      </w:r>
      <w:r w:rsidRPr="00145A97">
        <w:rPr>
          <w:lang w:val="en-GB"/>
        </w:rPr>
        <w:t xml:space="preserve"> (2009) Is There a Role for Evidence-Based Practice in Urban Planning and Policy? </w:t>
      </w:r>
      <w:r w:rsidRPr="00145A97">
        <w:rPr>
          <w:b/>
          <w:lang w:val="en-GB"/>
        </w:rPr>
        <w:t>Planning Theory and Practice</w:t>
      </w:r>
      <w:r w:rsidRPr="00145A97">
        <w:rPr>
          <w:lang w:val="en-GB"/>
        </w:rPr>
        <w:t>, 10(4), pp. 459-478</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Kule, L., Krisjane, Z. and Berzins, M. (</w:t>
      </w:r>
      <w:r w:rsidRPr="00145A97">
        <w:rPr>
          <w:lang w:val="en-GB"/>
        </w:rPr>
        <w:t xml:space="preserve">2011) The rhetoric and reality of pursuing territorial cohesion in Latvia,  in </w:t>
      </w:r>
      <w:r w:rsidR="007B192A" w:rsidRPr="00145A97">
        <w:rPr>
          <w:lang w:val="en-GB"/>
        </w:rPr>
        <w:t xml:space="preserve">ADAMS, N., G. COTELLA, </w:t>
      </w:r>
      <w:r w:rsidRPr="00145A97">
        <w:rPr>
          <w:lang w:val="en-GB"/>
        </w:rPr>
        <w:t xml:space="preserve">G. and </w:t>
      </w:r>
      <w:r w:rsidR="007B192A" w:rsidRPr="00145A97">
        <w:rPr>
          <w:lang w:val="en-GB"/>
        </w:rPr>
        <w:t>NUNES,</w:t>
      </w:r>
      <w:r w:rsidRPr="00145A97">
        <w:rPr>
          <w:lang w:val="en-GB"/>
        </w:rPr>
        <w:t xml:space="preserve">  R. (</w:t>
      </w:r>
      <w:proofErr w:type="spellStart"/>
      <w:r w:rsidRPr="00145A97">
        <w:rPr>
          <w:lang w:val="en-GB"/>
        </w:rPr>
        <w:t>Eds</w:t>
      </w:r>
      <w:proofErr w:type="spellEnd"/>
      <w:r w:rsidRPr="00145A97">
        <w:rPr>
          <w:lang w:val="en-GB"/>
        </w:rPr>
        <w:t xml:space="preserve">) </w:t>
      </w:r>
      <w:r w:rsidRPr="00145A97">
        <w:rPr>
          <w:b/>
          <w:lang w:val="en-GB"/>
        </w:rPr>
        <w:t>Territorial Development, Cohesion and Spatial Planning: Knowledge and Policy Development in an Enlarged EU</w:t>
      </w:r>
      <w:r w:rsidRPr="00145A97">
        <w:rPr>
          <w:lang w:val="en-GB"/>
        </w:rPr>
        <w:t xml:space="preserve">, pp 291-319. London: </w:t>
      </w:r>
      <w:proofErr w:type="spellStart"/>
      <w:r w:rsidRPr="00145A97">
        <w:rPr>
          <w:lang w:val="en-GB"/>
        </w:rPr>
        <w:t>Routledge</w:t>
      </w:r>
      <w:proofErr w:type="spellEnd"/>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Kunzmann, K. and Wegener, M.</w:t>
      </w:r>
      <w:r w:rsidRPr="00145A97">
        <w:rPr>
          <w:lang w:val="en-GB"/>
        </w:rPr>
        <w:t xml:space="preserve"> (1991) </w:t>
      </w:r>
      <w:r w:rsidRPr="00145A97">
        <w:rPr>
          <w:b/>
          <w:lang w:val="en-GB"/>
        </w:rPr>
        <w:t>The Pattern of Urbanisation in Western Europe 1960-1990</w:t>
      </w:r>
      <w:r w:rsidRPr="00145A97">
        <w:rPr>
          <w:lang w:val="en-GB"/>
        </w:rPr>
        <w:t>. Report for the DG</w:t>
      </w:r>
      <w:r w:rsidR="0014791E">
        <w:rPr>
          <w:lang w:val="en-GB"/>
        </w:rPr>
        <w:t xml:space="preserve"> XVI of the European Commission, </w:t>
      </w:r>
      <w:r w:rsidR="007B192A" w:rsidRPr="00145A97">
        <w:rPr>
          <w:lang w:val="en-GB"/>
        </w:rPr>
        <w:t>IRPUD, Dortmund.</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LAEKEN EUROPEAN COUNCIL (2001) </w:t>
      </w:r>
      <w:r w:rsidRPr="00145A97">
        <w:rPr>
          <w:b/>
          <w:caps/>
          <w:lang w:val="en-GB"/>
        </w:rPr>
        <w:t>P</w:t>
      </w:r>
      <w:r w:rsidRPr="00145A97">
        <w:rPr>
          <w:b/>
          <w:lang w:val="en-GB"/>
        </w:rPr>
        <w:t xml:space="preserve">residency Conclusions: European Council meeting in </w:t>
      </w:r>
      <w:proofErr w:type="spellStart"/>
      <w:r w:rsidRPr="00145A97">
        <w:rPr>
          <w:b/>
          <w:lang w:val="en-GB"/>
        </w:rPr>
        <w:t>Laeken</w:t>
      </w:r>
      <w:proofErr w:type="spellEnd"/>
      <w:r w:rsidRPr="00145A97">
        <w:rPr>
          <w:lang w:val="en-GB"/>
        </w:rPr>
        <w:t xml:space="preserve">, 14 and 15 December. Available at </w:t>
      </w:r>
      <w:hyperlink r:id="rId22" w:history="1">
        <w:r w:rsidRPr="00145A97">
          <w:rPr>
            <w:rStyle w:val="Hyperlink1"/>
            <w:sz w:val="24"/>
            <w:lang w:val="en-GB"/>
          </w:rPr>
          <w:t>http://ec.europa.eu/governance/impact/background/docs/laeken_concl_en.pdf</w:t>
        </w:r>
      </w:hyperlink>
      <w:r w:rsidRPr="00145A97">
        <w:rPr>
          <w:lang w:val="en-GB"/>
        </w:rPr>
        <w:t xml:space="preserve"> (accessed March 2011)</w:t>
      </w:r>
      <w:r w:rsidR="007B192A" w:rsidRPr="00145A97">
        <w:rPr>
          <w:lang w:val="en-GB"/>
        </w:rPr>
        <w:t>.</w:t>
      </w:r>
    </w:p>
    <w:p w:rsidR="00584A66" w:rsidRPr="00145A97" w:rsidRDefault="00584A66"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lastRenderedPageBreak/>
        <w:t xml:space="preserve">LARNER, W. AND LAURIE, N. (2010), Travelling technocrats, embodied </w:t>
      </w:r>
      <w:proofErr w:type="spellStart"/>
      <w:r w:rsidRPr="00145A97">
        <w:rPr>
          <w:lang w:val="en-GB"/>
        </w:rPr>
        <w:t>knowledges</w:t>
      </w:r>
      <w:proofErr w:type="spellEnd"/>
      <w:r w:rsidRPr="00145A97">
        <w:rPr>
          <w:lang w:val="en-GB"/>
        </w:rPr>
        <w:t xml:space="preserve">: globalising privatisation in telecoms and water, </w:t>
      </w:r>
      <w:proofErr w:type="spellStart"/>
      <w:r w:rsidRPr="00145A97">
        <w:rPr>
          <w:b/>
          <w:lang w:val="en-GB"/>
        </w:rPr>
        <w:t>Geoforum</w:t>
      </w:r>
      <w:proofErr w:type="spellEnd"/>
      <w:r w:rsidRPr="00145A97">
        <w:rPr>
          <w:lang w:val="en-GB"/>
        </w:rPr>
        <w:t xml:space="preserve"> 41, pp. 218-216</w:t>
      </w:r>
    </w:p>
    <w:p w:rsidR="00A44E4F" w:rsidRPr="00145A97" w:rsidRDefault="00A44E4F"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LAVE, J. and WENGER, E. (1991) </w:t>
      </w:r>
      <w:r w:rsidRPr="00145A97">
        <w:rPr>
          <w:b/>
          <w:lang w:val="en-GB"/>
        </w:rPr>
        <w:t>Situated Learning: legitimate peripheral participation</w:t>
      </w:r>
      <w:r w:rsidRPr="00145A97">
        <w:rPr>
          <w:lang w:val="en-GB"/>
        </w:rPr>
        <w:t>, Cambridge: Cambridge University Press.</w:t>
      </w:r>
    </w:p>
    <w:p w:rsidR="00DA30EF" w:rsidRPr="00145A97" w:rsidRDefault="00DA30EF"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LIEVEN, A. (1993), </w:t>
      </w:r>
      <w:r w:rsidRPr="00145A97">
        <w:rPr>
          <w:b/>
          <w:lang w:val="en-GB"/>
        </w:rPr>
        <w:t>The Baltic Revolution: Estonia, Latvia and Lithuania and the path to independence</w:t>
      </w:r>
      <w:r w:rsidRPr="00145A97">
        <w:rPr>
          <w:lang w:val="en-GB"/>
        </w:rPr>
        <w:t>, New Haven and London: Yale University Press</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Lithuanian Ministry of the Environment </w:t>
      </w:r>
      <w:r w:rsidRPr="00145A97">
        <w:rPr>
          <w:lang w:val="en-GB"/>
        </w:rPr>
        <w:t xml:space="preserve">(2002) </w:t>
      </w:r>
      <w:r w:rsidRPr="00145A97">
        <w:rPr>
          <w:b/>
          <w:lang w:val="en-GB"/>
        </w:rPr>
        <w:t>Comprehensive Plan of the Territory of the Republic of Lithuania</w:t>
      </w:r>
      <w:r w:rsidR="007B192A" w:rsidRPr="00145A97">
        <w:rPr>
          <w:lang w:val="en-GB"/>
        </w:rPr>
        <w:t xml:space="preserve">. </w:t>
      </w:r>
      <w:r w:rsidRPr="00145A97">
        <w:rPr>
          <w:lang w:val="en-GB"/>
        </w:rPr>
        <w:t>Vilnius: Minis</w:t>
      </w:r>
      <w:r w:rsidR="007B192A" w:rsidRPr="00145A97">
        <w:rPr>
          <w:lang w:val="en-GB"/>
        </w:rPr>
        <w:t>try of the Environment.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Lithuanian Ministry of Finance MoF</w:t>
      </w:r>
      <w:r w:rsidRPr="00145A97">
        <w:rPr>
          <w:lang w:val="en-GB"/>
        </w:rPr>
        <w:t xml:space="preserve"> (2009) </w:t>
      </w:r>
      <w:r w:rsidRPr="00145A97">
        <w:rPr>
          <w:b/>
          <w:lang w:val="en-GB"/>
        </w:rPr>
        <w:t>Conclusions of Lithuania's Public Discussions on Issues Raised in the Green Paper on Territorial Cohesion</w:t>
      </w:r>
      <w:r w:rsidRPr="00145A97">
        <w:rPr>
          <w:lang w:val="en-GB"/>
        </w:rPr>
        <w:t xml:space="preserve">. Available at </w:t>
      </w:r>
      <w:hyperlink r:id="rId23" w:history="1">
        <w:r w:rsidRPr="00145A97">
          <w:rPr>
            <w:rStyle w:val="Hyperlink1"/>
            <w:sz w:val="24"/>
            <w:lang w:val="en-GB"/>
          </w:rPr>
          <w:t>http://ec.europa.eu/regional_policy/consultation/terco/contrib_en.htm</w:t>
        </w:r>
      </w:hyperlink>
      <w:r w:rsidRPr="00145A97">
        <w:rPr>
          <w:lang w:val="en-GB"/>
        </w:rPr>
        <w:t xml:space="preserve"> (accessed February 2011)</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MAIER K, (2011) The pursuit of balanced territorial development: The realities and complexities of the cohesion agenda, in </w:t>
      </w:r>
      <w:r w:rsidR="007B192A" w:rsidRPr="00145A97">
        <w:rPr>
          <w:lang w:val="en-GB"/>
        </w:rPr>
        <w:t>ADAMS, N., G. COTELLA, G. and NUNES,  R</w:t>
      </w:r>
      <w:r w:rsidRPr="00145A97">
        <w:rPr>
          <w:lang w:val="en-GB"/>
        </w:rPr>
        <w:t>. (</w:t>
      </w:r>
      <w:proofErr w:type="spellStart"/>
      <w:r w:rsidRPr="00145A97">
        <w:rPr>
          <w:lang w:val="en-GB"/>
        </w:rPr>
        <w:t>Eds</w:t>
      </w:r>
      <w:proofErr w:type="spellEnd"/>
      <w:r w:rsidRPr="00145A97">
        <w:rPr>
          <w:lang w:val="en-GB"/>
        </w:rPr>
        <w:t xml:space="preserve">) </w:t>
      </w:r>
      <w:r w:rsidRPr="00145A97">
        <w:rPr>
          <w:b/>
          <w:lang w:val="en-GB"/>
        </w:rPr>
        <w:t>Territorial Development, Cohesion and Spatial Planning: Knowledge and Policy Development in an Enlarged EU</w:t>
      </w:r>
      <w:r w:rsidRPr="00145A97">
        <w:rPr>
          <w:lang w:val="en-GB"/>
        </w:rPr>
        <w:t xml:space="preserve">, pp 266-290. London: </w:t>
      </w:r>
      <w:proofErr w:type="spellStart"/>
      <w:r w:rsidRPr="00145A97">
        <w:rPr>
          <w:lang w:val="en-GB"/>
        </w:rPr>
        <w:t>Routledge</w:t>
      </w:r>
      <w:proofErr w:type="spellEnd"/>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Mehlbye, P.</w:t>
      </w:r>
      <w:r w:rsidRPr="00145A97">
        <w:rPr>
          <w:lang w:val="en-GB"/>
        </w:rPr>
        <w:t xml:space="preserve"> (2000) Global integration zones – Neighbouring metropolitan regions in metropolitan clusters, </w:t>
      </w:r>
      <w:proofErr w:type="spellStart"/>
      <w:r w:rsidRPr="00145A97">
        <w:rPr>
          <w:b/>
          <w:lang w:val="en-GB"/>
        </w:rPr>
        <w:t>Informationen</w:t>
      </w:r>
      <w:proofErr w:type="spellEnd"/>
      <w:r w:rsidRPr="00145A97">
        <w:rPr>
          <w:b/>
          <w:lang w:val="en-GB"/>
        </w:rPr>
        <w:t xml:space="preserve"> </w:t>
      </w:r>
      <w:proofErr w:type="spellStart"/>
      <w:r w:rsidRPr="00145A97">
        <w:rPr>
          <w:b/>
          <w:lang w:val="en-GB"/>
        </w:rPr>
        <w:t>zur</w:t>
      </w:r>
      <w:proofErr w:type="spellEnd"/>
      <w:r w:rsidRPr="00145A97">
        <w:rPr>
          <w:b/>
          <w:lang w:val="en-GB"/>
        </w:rPr>
        <w:t xml:space="preserve"> </w:t>
      </w:r>
      <w:proofErr w:type="spellStart"/>
      <w:r w:rsidRPr="00145A97">
        <w:rPr>
          <w:b/>
          <w:lang w:val="en-GB"/>
        </w:rPr>
        <w:t>raumentwikslung</w:t>
      </w:r>
      <w:proofErr w:type="spellEnd"/>
      <w:r w:rsidRPr="00145A97">
        <w:rPr>
          <w:lang w:val="en-GB"/>
        </w:rPr>
        <w:t>, 11/12, pp. 755-762</w:t>
      </w:r>
      <w:r w:rsidR="007B192A" w:rsidRPr="00145A97">
        <w:rPr>
          <w:lang w:val="en-GB"/>
        </w:rPr>
        <w:t>.</w:t>
      </w:r>
    </w:p>
    <w:p w:rsidR="00046105" w:rsidRPr="00145A97" w:rsidRDefault="00046105"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Meijerink</w:t>
      </w:r>
      <w:r w:rsidRPr="00145A97">
        <w:rPr>
          <w:lang w:val="en-GB"/>
        </w:rPr>
        <w:t xml:space="preserve">, S. (2005) Understanding policy stability and change. The interplay of advocacy coalitions and epistemic communities, windows of opportunity, and Dutch coastal flooding policy 1945–2003, </w:t>
      </w:r>
      <w:r w:rsidRPr="00145A97">
        <w:rPr>
          <w:b/>
          <w:lang w:val="en-GB"/>
        </w:rPr>
        <w:t>Journal of European Public Policy</w:t>
      </w:r>
      <w:r w:rsidRPr="00145A97">
        <w:rPr>
          <w:lang w:val="en-GB"/>
        </w:rPr>
        <w:t>, 12(6): 1060–1077</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MRDLG - Latvian Ministry of Regional Development and Local Government </w:t>
      </w:r>
      <w:r w:rsidRPr="00145A97">
        <w:rPr>
          <w:lang w:val="en-GB"/>
        </w:rPr>
        <w:t xml:space="preserve">(2009) </w:t>
      </w:r>
      <w:r w:rsidRPr="00145A97">
        <w:rPr>
          <w:b/>
          <w:lang w:val="en-GB"/>
        </w:rPr>
        <w:t>Latvia’s position on the European Commission’s Green Paper on Territorial Cohesion Turning Diversity into Strength</w:t>
      </w:r>
      <w:r w:rsidRPr="00145A97">
        <w:rPr>
          <w:lang w:val="en-GB"/>
        </w:rPr>
        <w:t xml:space="preserve">. Available at </w:t>
      </w:r>
      <w:hyperlink r:id="rId24" w:history="1">
        <w:r w:rsidRPr="00145A97">
          <w:rPr>
            <w:rStyle w:val="Hyperlink1"/>
            <w:sz w:val="24"/>
            <w:lang w:val="en-GB"/>
          </w:rPr>
          <w:t>http://ec.europa.eu/regional_policy/consultation/terco/contrib_en.htm</w:t>
        </w:r>
      </w:hyperlink>
      <w:r w:rsidRPr="00145A97">
        <w:rPr>
          <w:lang w:val="en-GB"/>
        </w:rPr>
        <w:t xml:space="preserve"> (accessed February 2011)</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Nutley, S., Davies, H. and Walter, I.</w:t>
      </w:r>
      <w:r w:rsidRPr="00145A97">
        <w:rPr>
          <w:lang w:val="en-GB"/>
        </w:rPr>
        <w:t xml:space="preserve"> (2002) </w:t>
      </w:r>
      <w:r w:rsidRPr="00145A97">
        <w:rPr>
          <w:b/>
          <w:lang w:val="en-GB"/>
        </w:rPr>
        <w:t>Evidence-based policy and practice: cross sector lessons from the UK</w:t>
      </w:r>
      <w:r w:rsidRPr="00145A97">
        <w:rPr>
          <w:lang w:val="en-GB"/>
        </w:rPr>
        <w:t xml:space="preserve">. ESRC UK Centre for Evidence Based Policy and Practice. Working paper 9. Available at </w:t>
      </w:r>
      <w:hyperlink r:id="rId25" w:history="1">
        <w:r w:rsidRPr="00145A97">
          <w:rPr>
            <w:rStyle w:val="Hyperlink1"/>
            <w:sz w:val="24"/>
            <w:lang w:val="en-GB"/>
          </w:rPr>
          <w:t>http://kcl.qc.uk/content/1/c6/03/46/00/wp9b.pdf</w:t>
        </w:r>
      </w:hyperlink>
      <w:r w:rsidRPr="00145A97">
        <w:rPr>
          <w:lang w:val="en-GB"/>
        </w:rPr>
        <w:t xml:space="preserve"> (accessed 1 December 2009)</w:t>
      </w:r>
      <w:r w:rsidR="007B192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lastRenderedPageBreak/>
        <w:t>Pabriks, A. And Purs, A.</w:t>
      </w:r>
      <w:r w:rsidRPr="00145A97">
        <w:rPr>
          <w:lang w:val="en-GB"/>
        </w:rPr>
        <w:t xml:space="preserve"> (2002) Latvia’s Democracy Examined: 1991-1999, in </w:t>
      </w:r>
      <w:r w:rsidR="00445E2B" w:rsidRPr="00145A97">
        <w:rPr>
          <w:lang w:val="en-GB"/>
        </w:rPr>
        <w:t>SMITH, D. PABRIKS, A., PURS, A. and LANE, T</w:t>
      </w:r>
      <w:r w:rsidRPr="00145A97">
        <w:rPr>
          <w:lang w:val="en-GB"/>
        </w:rPr>
        <w:t>. (</w:t>
      </w:r>
      <w:proofErr w:type="spellStart"/>
      <w:r w:rsidRPr="00145A97">
        <w:rPr>
          <w:lang w:val="en-GB"/>
        </w:rPr>
        <w:t>Eds</w:t>
      </w:r>
      <w:proofErr w:type="spellEnd"/>
      <w:r w:rsidRPr="00145A97">
        <w:rPr>
          <w:lang w:val="en-GB"/>
        </w:rPr>
        <w:t xml:space="preserve">), </w:t>
      </w:r>
      <w:r w:rsidRPr="00145A97">
        <w:rPr>
          <w:b/>
          <w:lang w:val="en-GB"/>
        </w:rPr>
        <w:t>The Baltic States: Estonia, Latvia and Lithuania</w:t>
      </w:r>
      <w:r w:rsidR="007B192A" w:rsidRPr="00145A97">
        <w:rPr>
          <w:lang w:val="en-GB"/>
        </w:rPr>
        <w:t xml:space="preserve">. </w:t>
      </w:r>
      <w:r w:rsidRPr="00145A97">
        <w:rPr>
          <w:lang w:val="en-GB"/>
        </w:rPr>
        <w:t xml:space="preserve">London: </w:t>
      </w:r>
      <w:proofErr w:type="spellStart"/>
      <w:r w:rsidRPr="00145A97">
        <w:rPr>
          <w:lang w:val="en-GB"/>
        </w:rPr>
        <w:t>Routledge</w:t>
      </w:r>
      <w:proofErr w:type="spellEnd"/>
      <w:r w:rsidRPr="00145A97">
        <w:rPr>
          <w:lang w:val="en-GB"/>
        </w:rPr>
        <w:t>, Post-Communist States and Nations Series</w:t>
      </w:r>
      <w:r w:rsidR="00445E2B"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Pallagst, K.</w:t>
      </w:r>
      <w:r w:rsidRPr="00145A97">
        <w:rPr>
          <w:lang w:val="en-GB"/>
        </w:rPr>
        <w:t xml:space="preserve"> (2006) European Spatial Planning Reloaded: Considering EU Enlargement in Theory and Practice, </w:t>
      </w:r>
      <w:r w:rsidRPr="00145A97">
        <w:rPr>
          <w:b/>
          <w:lang w:val="en-GB"/>
        </w:rPr>
        <w:t>European Planning Studies</w:t>
      </w:r>
      <w:r w:rsidR="00445E2B" w:rsidRPr="00145A97">
        <w:rPr>
          <w:lang w:val="en-GB"/>
        </w:rPr>
        <w:t>, 14(2)</w:t>
      </w:r>
      <w:r w:rsidRPr="00145A97">
        <w:rPr>
          <w:lang w:val="en-GB"/>
        </w:rPr>
        <w:t>, pp. 253-272</w:t>
      </w:r>
      <w:r w:rsidR="00445E2B"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PALLAGST, K. (2011) The Emergence of ‘Epistemic Communities’ in the New European Landscape: some theoretical implications for territorial development and the spatial agenda of the EU, in </w:t>
      </w:r>
      <w:r w:rsidR="00445E2B" w:rsidRPr="00145A97">
        <w:rPr>
          <w:lang w:val="en-GB"/>
        </w:rPr>
        <w:t>ADAMS, N., COTELLA, G. and NUNES, R</w:t>
      </w:r>
      <w:r w:rsidRPr="00145A97">
        <w:rPr>
          <w:lang w:val="en-GB"/>
        </w:rPr>
        <w:t>. (</w:t>
      </w:r>
      <w:proofErr w:type="spellStart"/>
      <w:r w:rsidRPr="00145A97">
        <w:rPr>
          <w:lang w:val="en-GB"/>
        </w:rPr>
        <w:t>Eds</w:t>
      </w:r>
      <w:proofErr w:type="spellEnd"/>
      <w:r w:rsidRPr="00145A97">
        <w:rPr>
          <w:lang w:val="en-GB"/>
        </w:rPr>
        <w:t xml:space="preserve">), </w:t>
      </w:r>
      <w:r w:rsidRPr="00145A97">
        <w:rPr>
          <w:b/>
          <w:lang w:val="en-GB"/>
        </w:rPr>
        <w:t>Territorial Development, Cohesion and Spatial Planning: knowledge and policy development in an enlarged EU</w:t>
      </w:r>
      <w:r w:rsidRPr="00145A97">
        <w:rPr>
          <w:lang w:val="en-GB"/>
        </w:rPr>
        <w:t xml:space="preserve">, pp. 124-142. London: </w:t>
      </w:r>
      <w:proofErr w:type="spellStart"/>
      <w:r w:rsidRPr="00145A97">
        <w:rPr>
          <w:lang w:val="en-GB"/>
        </w:rPr>
        <w:t>Routledge</w:t>
      </w:r>
      <w:proofErr w:type="spellEnd"/>
      <w:r w:rsidR="00445E2B" w:rsidRPr="00145A97">
        <w:rPr>
          <w:lang w:val="en-GB"/>
        </w:rPr>
        <w:t>.</w:t>
      </w:r>
    </w:p>
    <w:p w:rsidR="006A6887"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 xml:space="preserve">Parsons, W. </w:t>
      </w:r>
      <w:r w:rsidRPr="00145A97">
        <w:rPr>
          <w:lang w:val="en-GB"/>
        </w:rPr>
        <w:t xml:space="preserve">(2002) From muddling through to muddling up: evidence based policy making and the modernisation of the British Government, </w:t>
      </w:r>
      <w:r w:rsidRPr="00145A97">
        <w:rPr>
          <w:b/>
          <w:lang w:val="en-GB"/>
        </w:rPr>
        <w:t>Public Policy and Administration</w:t>
      </w:r>
      <w:r w:rsidRPr="00145A97">
        <w:rPr>
          <w:lang w:val="en-GB"/>
        </w:rPr>
        <w:t>, 17(1), pp. 343-60</w:t>
      </w:r>
      <w:r w:rsidR="00445E2B" w:rsidRPr="00145A97">
        <w:rPr>
          <w:lang w:val="en-GB"/>
        </w:rPr>
        <w:t>.</w:t>
      </w:r>
    </w:p>
    <w:p w:rsidR="004F0BF8" w:rsidRPr="004F0BF8" w:rsidRDefault="004F0BF8" w:rsidP="00AD05E4">
      <w:pPr>
        <w:autoSpaceDE w:val="0"/>
        <w:autoSpaceDN w:val="0"/>
        <w:adjustRightInd w:val="0"/>
        <w:spacing w:line="456" w:lineRule="auto"/>
        <w:jc w:val="both"/>
        <w:rPr>
          <w:lang w:val="en-GB"/>
        </w:rPr>
      </w:pPr>
      <w:r w:rsidRPr="0014791E">
        <w:rPr>
          <w:lang w:val="en-GB"/>
        </w:rPr>
        <w:t xml:space="preserve">PURR (2011) </w:t>
      </w:r>
      <w:r w:rsidRPr="0014791E">
        <w:rPr>
          <w:b/>
          <w:lang w:val="en-GB"/>
        </w:rPr>
        <w:t xml:space="preserve">Draft Final Report, Potential of Rural regions, </w:t>
      </w:r>
      <w:r w:rsidRPr="0014791E">
        <w:rPr>
          <w:lang w:val="en-GB"/>
        </w:rPr>
        <w:t>ESPON 2013 Programme. Available at</w:t>
      </w:r>
      <w:r w:rsidR="0014791E" w:rsidRPr="0014791E">
        <w:rPr>
          <w:lang w:val="en-GB"/>
        </w:rPr>
        <w:t xml:space="preserve"> </w:t>
      </w:r>
      <w:hyperlink r:id="rId26" w:history="1">
        <w:r w:rsidR="0014791E" w:rsidRPr="0014791E">
          <w:rPr>
            <w:rStyle w:val="Collegamentoipertestuale"/>
            <w:lang w:val="en-GB"/>
          </w:rPr>
          <w:t>http://www.espon.eu/export/sites/default/Documents/Projects/TargetedAnalyses/PURR/PURR_DFR.pdf</w:t>
        </w:r>
      </w:hyperlink>
      <w:r w:rsidR="0014791E">
        <w:rPr>
          <w:lang w:val="en-GB"/>
        </w:rPr>
        <w:t xml:space="preserve"> accessed July 2012</w:t>
      </w:r>
    </w:p>
    <w:p w:rsidR="00B82533" w:rsidRPr="00145A97" w:rsidRDefault="00B82533"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RADAELLI, C. M. (1995), The role of knowledge in the policy process, </w:t>
      </w:r>
      <w:r w:rsidRPr="00145A97">
        <w:rPr>
          <w:b/>
          <w:lang w:val="en-GB"/>
        </w:rPr>
        <w:t>Journal of European Public Policy</w:t>
      </w:r>
      <w:r w:rsidRPr="00145A97">
        <w:rPr>
          <w:lang w:val="en-GB"/>
        </w:rPr>
        <w:t xml:space="preserve">, 2(2): </w:t>
      </w:r>
      <w:r w:rsidR="00A44E4F" w:rsidRPr="00145A97">
        <w:rPr>
          <w:lang w:val="en-GB"/>
        </w:rPr>
        <w:t xml:space="preserve">pp. </w:t>
      </w:r>
      <w:r w:rsidRPr="00145A97">
        <w:rPr>
          <w:lang w:val="en-GB"/>
        </w:rPr>
        <w:t>159–183.</w:t>
      </w:r>
    </w:p>
    <w:p w:rsidR="00DE4E25" w:rsidRPr="00145A97" w:rsidRDefault="00DE4E25"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RADAELLI, C. M. (1999) ‘The public policy of the European Union: whither politics of expertise?’, </w:t>
      </w:r>
      <w:r w:rsidRPr="00145A97">
        <w:rPr>
          <w:b/>
          <w:lang w:val="en-GB"/>
        </w:rPr>
        <w:t>Journal of European Public Policy</w:t>
      </w:r>
      <w:r w:rsidRPr="00145A97">
        <w:rPr>
          <w:lang w:val="en-GB"/>
        </w:rPr>
        <w:t>, 6(5): 757-774</w:t>
      </w:r>
    </w:p>
    <w:p w:rsidR="00ED6441"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RAZUMEYKO, N. (2011) Strategic planning practices in Nort</w:t>
      </w:r>
      <w:r w:rsidR="00471207">
        <w:rPr>
          <w:lang w:val="en-GB"/>
        </w:rPr>
        <w:t>h</w:t>
      </w:r>
      <w:r w:rsidRPr="00145A97">
        <w:rPr>
          <w:lang w:val="en-GB"/>
        </w:rPr>
        <w:t xml:space="preserve">-West Russia: European influences, challenges and future perspectives, in </w:t>
      </w:r>
      <w:r w:rsidR="00445E2B" w:rsidRPr="00145A97">
        <w:rPr>
          <w:lang w:val="en-GB"/>
        </w:rPr>
        <w:t>ADAMS, N., COTELLA, G. and NUNES, R</w:t>
      </w:r>
      <w:r w:rsidRPr="00145A97">
        <w:rPr>
          <w:lang w:val="en-GB"/>
        </w:rPr>
        <w:t>. (</w:t>
      </w:r>
      <w:proofErr w:type="spellStart"/>
      <w:r w:rsidRPr="00145A97">
        <w:rPr>
          <w:lang w:val="en-GB"/>
        </w:rPr>
        <w:t>Eds</w:t>
      </w:r>
      <w:proofErr w:type="spellEnd"/>
      <w:r w:rsidRPr="00145A97">
        <w:rPr>
          <w:lang w:val="en-GB"/>
        </w:rPr>
        <w:t xml:space="preserve">), </w:t>
      </w:r>
      <w:r w:rsidRPr="00145A97">
        <w:rPr>
          <w:b/>
          <w:lang w:val="en-GB"/>
        </w:rPr>
        <w:t>Territorial Development, Cohesion and Spatial Planning: knowledge and policy development in an enlarged EU</w:t>
      </w:r>
      <w:r w:rsidRPr="00145A97">
        <w:rPr>
          <w:lang w:val="en-GB"/>
        </w:rPr>
        <w:t xml:space="preserve">, pp. 402-21. London: </w:t>
      </w:r>
      <w:proofErr w:type="spellStart"/>
      <w:r w:rsidRPr="00145A97">
        <w:rPr>
          <w:lang w:val="en-GB"/>
        </w:rPr>
        <w:t>Routledge</w:t>
      </w:r>
      <w:proofErr w:type="spellEnd"/>
      <w:r w:rsidR="00445E2B" w:rsidRPr="00145A97">
        <w:rPr>
          <w:lang w:val="en-GB"/>
        </w:rPr>
        <w:t>.</w:t>
      </w:r>
    </w:p>
    <w:p w:rsidR="00471207" w:rsidRPr="00145A97" w:rsidRDefault="00471207"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Roberts</w:t>
      </w:r>
      <w:r w:rsidRPr="00145A97">
        <w:rPr>
          <w:lang w:val="en-GB"/>
        </w:rPr>
        <w:t xml:space="preserve">, J. (2006) ‘Limits to Communities of Practice’, </w:t>
      </w:r>
      <w:r w:rsidRPr="00145A97">
        <w:rPr>
          <w:b/>
          <w:lang w:val="en-GB"/>
        </w:rPr>
        <w:t>Journal of Management Studies</w:t>
      </w:r>
      <w:r w:rsidRPr="00145A97">
        <w:rPr>
          <w:lang w:val="en-GB"/>
        </w:rPr>
        <w:t>, 43(3): 623-39</w:t>
      </w:r>
    </w:p>
    <w:p w:rsidR="0098643F" w:rsidRPr="00145A97" w:rsidRDefault="0098643F"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lastRenderedPageBreak/>
        <w:t>RYDIN, Y. (2007)</w:t>
      </w:r>
      <w:r w:rsidR="000E1D72" w:rsidRPr="00145A97">
        <w:rPr>
          <w:rFonts w:eastAsia="Lucida Sans Unicode"/>
          <w:color w:val="auto"/>
          <w:lang w:val="en-GB"/>
        </w:rPr>
        <w:t xml:space="preserve"> ‘</w:t>
      </w:r>
      <w:r w:rsidR="000E1D72" w:rsidRPr="00145A97">
        <w:rPr>
          <w:lang w:val="en-GB"/>
        </w:rPr>
        <w:t xml:space="preserve">Re-examining the role of knowledge within Planning Theory’, </w:t>
      </w:r>
      <w:r w:rsidR="000E1D72" w:rsidRPr="00145A97">
        <w:rPr>
          <w:b/>
          <w:lang w:val="en-GB"/>
        </w:rPr>
        <w:t>Planning Theory</w:t>
      </w:r>
      <w:r w:rsidR="000E1D72" w:rsidRPr="00145A97">
        <w:rPr>
          <w:lang w:val="en-GB"/>
        </w:rPr>
        <w:t>, 6(1): 52-68</w:t>
      </w:r>
    </w:p>
    <w:p w:rsidR="00046105" w:rsidRPr="00145A97" w:rsidRDefault="00046105"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Sabatier</w:t>
      </w:r>
      <w:r w:rsidRPr="00145A97">
        <w:rPr>
          <w:lang w:val="en-GB"/>
        </w:rPr>
        <w:t xml:space="preserve">, P.A. and </w:t>
      </w:r>
      <w:r w:rsidRPr="00145A97">
        <w:rPr>
          <w:caps/>
          <w:lang w:val="en-GB"/>
        </w:rPr>
        <w:t>Jenkins</w:t>
      </w:r>
      <w:r w:rsidRPr="00145A97">
        <w:rPr>
          <w:lang w:val="en-GB"/>
        </w:rPr>
        <w:t>-</w:t>
      </w:r>
      <w:r w:rsidRPr="00145A97">
        <w:rPr>
          <w:caps/>
          <w:lang w:val="en-GB"/>
        </w:rPr>
        <w:t>Smith</w:t>
      </w:r>
      <w:r w:rsidRPr="00145A97">
        <w:rPr>
          <w:lang w:val="en-GB"/>
        </w:rPr>
        <w:t xml:space="preserve">, H.C. (eds.) (1993) </w:t>
      </w:r>
      <w:r w:rsidRPr="00145A97">
        <w:rPr>
          <w:b/>
          <w:lang w:val="en-GB"/>
        </w:rPr>
        <w:t>Policy Change and Learning: An Advocacy Coalition Approach</w:t>
      </w:r>
      <w:r w:rsidRPr="00145A97">
        <w:rPr>
          <w:lang w:val="en-GB"/>
        </w:rPr>
        <w:t>, Boulder, CO: Westview Press</w:t>
      </w:r>
    </w:p>
    <w:p w:rsidR="00046105" w:rsidRPr="00145A97" w:rsidRDefault="00046105"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Sabatier</w:t>
      </w:r>
      <w:r w:rsidRPr="00145A97">
        <w:rPr>
          <w:lang w:val="en-GB"/>
        </w:rPr>
        <w:t xml:space="preserve">, P.A. (1998) ‘The advocacy coalition framework: revisions and relevance for Europe’, </w:t>
      </w:r>
      <w:r w:rsidRPr="00145A97">
        <w:rPr>
          <w:b/>
          <w:iCs/>
          <w:lang w:val="en-GB"/>
        </w:rPr>
        <w:t>Journal of European Public Policy</w:t>
      </w:r>
      <w:r w:rsidRPr="00145A97">
        <w:rPr>
          <w:i/>
          <w:iCs/>
          <w:lang w:val="en-GB"/>
        </w:rPr>
        <w:t xml:space="preserve"> </w:t>
      </w:r>
      <w:r w:rsidRPr="00145A97">
        <w:rPr>
          <w:lang w:val="en-GB"/>
        </w:rPr>
        <w:t>5(1): 98–130.</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Saeima</w:t>
      </w:r>
      <w:r w:rsidRPr="00145A97">
        <w:rPr>
          <w:lang w:val="en-GB"/>
        </w:rPr>
        <w:t xml:space="preserve"> (2010) </w:t>
      </w:r>
      <w:r w:rsidRPr="00145A97">
        <w:rPr>
          <w:b/>
          <w:lang w:val="en-GB"/>
        </w:rPr>
        <w:t>Latvia 2030: Sustainable Development Strategy of Latvia until 2030</w:t>
      </w:r>
      <w:r w:rsidRPr="00145A97">
        <w:rPr>
          <w:lang w:val="en-GB"/>
        </w:rPr>
        <w:t>, Spatial Development Perspective</w:t>
      </w:r>
      <w:r w:rsidR="00445E2B"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Schimmelfenning, F. and Sedelmeier, U.</w:t>
      </w:r>
      <w:r w:rsidRPr="00145A97">
        <w:rPr>
          <w:lang w:val="en-GB"/>
        </w:rPr>
        <w:t xml:space="preserve"> (2005) </w:t>
      </w:r>
      <w:r w:rsidRPr="00145A97">
        <w:rPr>
          <w:b/>
          <w:lang w:val="en-GB"/>
        </w:rPr>
        <w:t>The Europeanization of Central and Eastern Europe</w:t>
      </w:r>
      <w:r w:rsidRPr="00145A97">
        <w:rPr>
          <w:lang w:val="en-GB"/>
        </w:rPr>
        <w:t>. Ithaca NY: Cornell University Press</w:t>
      </w:r>
      <w:r w:rsidR="00445E2B" w:rsidRPr="00145A97">
        <w:rPr>
          <w:lang w:val="en-GB"/>
        </w:rPr>
        <w:t>.</w:t>
      </w:r>
    </w:p>
    <w:p w:rsidR="001B1981" w:rsidRPr="00145A97" w:rsidRDefault="004053B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Schön, D.</w:t>
      </w:r>
      <w:r w:rsidRPr="00145A97">
        <w:rPr>
          <w:lang w:val="en-GB"/>
        </w:rPr>
        <w:t xml:space="preserve"> </w:t>
      </w:r>
      <w:r w:rsidR="00B84612" w:rsidRPr="00145A97">
        <w:rPr>
          <w:lang w:val="en-GB"/>
        </w:rPr>
        <w:t xml:space="preserve"> (1978) Generative Metaphor: A Perspective in Policy Setting in Social Policy, in A. </w:t>
      </w:r>
      <w:r w:rsidR="00445E2B" w:rsidRPr="00145A97">
        <w:rPr>
          <w:lang w:val="en-GB"/>
        </w:rPr>
        <w:t>ORTONY</w:t>
      </w:r>
      <w:r w:rsidR="00B84612" w:rsidRPr="00145A97">
        <w:rPr>
          <w:lang w:val="en-GB"/>
        </w:rPr>
        <w:t xml:space="preserve"> (Ed) </w:t>
      </w:r>
      <w:r w:rsidR="00B84612" w:rsidRPr="00145A97">
        <w:rPr>
          <w:b/>
          <w:lang w:val="en-GB"/>
        </w:rPr>
        <w:t>Metaphor and Thought. Cambridge</w:t>
      </w:r>
      <w:r w:rsidR="00B84612" w:rsidRPr="00145A97">
        <w:rPr>
          <w:lang w:val="en-GB"/>
        </w:rPr>
        <w:t>: Cambridge University Press</w:t>
      </w:r>
      <w:r w:rsidR="00445E2B" w:rsidRPr="00145A97">
        <w:rPr>
          <w:lang w:val="en-GB"/>
        </w:rPr>
        <w:t>.</w:t>
      </w:r>
    </w:p>
    <w:p w:rsidR="00DA30EF" w:rsidRPr="00145A97" w:rsidRDefault="00DA30EF"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caps/>
          <w:lang w:val="en-GB"/>
        </w:rPr>
      </w:pPr>
      <w:r w:rsidRPr="00745B45">
        <w:rPr>
          <w:caps/>
          <w:lang w:val="en-GB"/>
        </w:rPr>
        <w:t xml:space="preserve">SMITH, D. J </w:t>
      </w:r>
      <w:r w:rsidRPr="00745B45">
        <w:rPr>
          <w:lang w:val="en-GB"/>
        </w:rPr>
        <w:t xml:space="preserve">PABRIKS, A., PURS, A. and LANE, T. </w:t>
      </w:r>
      <w:r w:rsidRPr="00745B45">
        <w:rPr>
          <w:caps/>
          <w:lang w:val="en-GB"/>
        </w:rPr>
        <w:t xml:space="preserve">(2002), </w:t>
      </w:r>
      <w:r w:rsidRPr="00745B45">
        <w:rPr>
          <w:b/>
          <w:lang w:val="en-GB"/>
        </w:rPr>
        <w:t>The Baltic States: Estonia, Latvia and Lithuania</w:t>
      </w:r>
      <w:r w:rsidRPr="00745B45">
        <w:rPr>
          <w:lang w:val="en-GB"/>
        </w:rPr>
        <w:t xml:space="preserve">, London: </w:t>
      </w:r>
      <w:proofErr w:type="spellStart"/>
      <w:r w:rsidRPr="00745B45">
        <w:rPr>
          <w:lang w:val="en-GB"/>
        </w:rPr>
        <w:t>Routledge</w:t>
      </w:r>
      <w:proofErr w:type="spellEnd"/>
      <w:r w:rsidRPr="00745B45">
        <w:rPr>
          <w:lang w:val="en-GB"/>
        </w:rPr>
        <w:t>, Post-Communist States and Nations Series.</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Smith, D. J.</w:t>
      </w:r>
      <w:r w:rsidRPr="00145A97">
        <w:rPr>
          <w:lang w:val="en-GB"/>
        </w:rPr>
        <w:t xml:space="preserve"> (2002) Old Wine in New Bottles: the Politics of Independence, in </w:t>
      </w:r>
      <w:r w:rsidR="00445E2B" w:rsidRPr="00145A97">
        <w:rPr>
          <w:lang w:val="en-GB"/>
        </w:rPr>
        <w:t>SMITH, D., PABRIKS, A., PURS, A. and LANE, T</w:t>
      </w:r>
      <w:r w:rsidRPr="00145A97">
        <w:rPr>
          <w:lang w:val="en-GB"/>
        </w:rPr>
        <w:t>. (</w:t>
      </w:r>
      <w:proofErr w:type="spellStart"/>
      <w:r w:rsidRPr="00145A97">
        <w:rPr>
          <w:lang w:val="en-GB"/>
        </w:rPr>
        <w:t>Eds</w:t>
      </w:r>
      <w:proofErr w:type="spellEnd"/>
      <w:r w:rsidRPr="00145A97">
        <w:rPr>
          <w:lang w:val="en-GB"/>
        </w:rPr>
        <w:t xml:space="preserve">), </w:t>
      </w:r>
      <w:r w:rsidRPr="00145A97">
        <w:rPr>
          <w:b/>
          <w:lang w:val="en-GB"/>
        </w:rPr>
        <w:t>The Baltic States: Estonia, Latvia and Lithuania</w:t>
      </w:r>
      <w:r w:rsidR="00445E2B" w:rsidRPr="00145A97">
        <w:rPr>
          <w:lang w:val="en-GB"/>
        </w:rPr>
        <w:t>, pp. 65-110</w:t>
      </w:r>
      <w:r w:rsidRPr="00145A97">
        <w:rPr>
          <w:lang w:val="en-GB"/>
        </w:rPr>
        <w:t xml:space="preserve">. London: </w:t>
      </w:r>
      <w:proofErr w:type="spellStart"/>
      <w:r w:rsidRPr="00145A97">
        <w:rPr>
          <w:lang w:val="en-GB"/>
        </w:rPr>
        <w:t>Routledge</w:t>
      </w:r>
      <w:proofErr w:type="spellEnd"/>
      <w:r w:rsidRPr="00145A97">
        <w:rPr>
          <w:lang w:val="en-GB"/>
        </w:rPr>
        <w:t>, Post-Communist States and Nations Series</w:t>
      </w:r>
      <w:r w:rsidR="00445E2B" w:rsidRPr="00145A97">
        <w:rPr>
          <w:lang w:val="en-GB"/>
        </w:rPr>
        <w:t>.</w:t>
      </w:r>
    </w:p>
    <w:p w:rsidR="00C90729" w:rsidRPr="00145A97" w:rsidRDefault="00F36637"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Pr>
          <w:lang w:val="en-GB"/>
        </w:rPr>
        <w:t>STEAD, D. and</w:t>
      </w:r>
      <w:r w:rsidR="00C90729" w:rsidRPr="00145A97">
        <w:rPr>
          <w:lang w:val="en-GB"/>
        </w:rPr>
        <w:t xml:space="preserve"> COTELLA, G.</w:t>
      </w:r>
      <w:r w:rsidR="00666A12" w:rsidRPr="00145A97">
        <w:rPr>
          <w:lang w:val="en-GB"/>
        </w:rPr>
        <w:t xml:space="preserve"> (</w:t>
      </w:r>
      <w:proofErr w:type="spellStart"/>
      <w:r w:rsidR="00666A12" w:rsidRPr="00145A97">
        <w:rPr>
          <w:lang w:val="en-GB"/>
        </w:rPr>
        <w:t>Eds</w:t>
      </w:r>
      <w:proofErr w:type="spellEnd"/>
      <w:r w:rsidR="00666A12" w:rsidRPr="00145A97">
        <w:rPr>
          <w:lang w:val="en-GB"/>
        </w:rPr>
        <w:t xml:space="preserve">), (2011) Differential Europe: Domestic Actors and their Role in Shaping Spatial Planning Systems. Special issue of </w:t>
      </w:r>
      <w:r w:rsidR="00666A12" w:rsidRPr="00145A97">
        <w:rPr>
          <w:b/>
          <w:lang w:val="en-GB"/>
        </w:rPr>
        <w:t>DISP – The Planning Review</w:t>
      </w:r>
      <w:r w:rsidR="00666A12" w:rsidRPr="00145A97">
        <w:rPr>
          <w:lang w:val="en-GB"/>
        </w:rPr>
        <w:t>, 186(3).</w:t>
      </w:r>
    </w:p>
    <w:p w:rsidR="00AD5EA2" w:rsidRPr="00145A97" w:rsidRDefault="00F36637"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Pr>
          <w:lang w:val="en-GB"/>
        </w:rPr>
        <w:t xml:space="preserve">STEAD, </w:t>
      </w:r>
      <w:r w:rsidR="00AD5EA2" w:rsidRPr="00145A97">
        <w:rPr>
          <w:lang w:val="en-GB"/>
        </w:rPr>
        <w:t xml:space="preserve">D. </w:t>
      </w:r>
      <w:r>
        <w:rPr>
          <w:lang w:val="en-GB"/>
        </w:rPr>
        <w:t>and</w:t>
      </w:r>
      <w:r w:rsidR="00AD5EA2" w:rsidRPr="00145A97">
        <w:rPr>
          <w:lang w:val="en-GB"/>
        </w:rPr>
        <w:t xml:space="preserve"> MEIJERS, E. (2009), </w:t>
      </w:r>
      <w:r w:rsidR="00024413" w:rsidRPr="00145A97">
        <w:rPr>
          <w:lang w:val="en-GB"/>
        </w:rPr>
        <w:t>Spatial Planning and Policy Integration:</w:t>
      </w:r>
      <w:r w:rsidR="00C90729" w:rsidRPr="00145A97">
        <w:rPr>
          <w:lang w:val="en-GB"/>
        </w:rPr>
        <w:t xml:space="preserve"> </w:t>
      </w:r>
      <w:r w:rsidR="00024413" w:rsidRPr="00145A97">
        <w:rPr>
          <w:lang w:val="en-GB"/>
        </w:rPr>
        <w:t>Concepts, Facilitators and Inhibitors</w:t>
      </w:r>
      <w:r w:rsidR="00AD5EA2" w:rsidRPr="00145A97">
        <w:rPr>
          <w:lang w:val="en-GB"/>
        </w:rPr>
        <w:t xml:space="preserve">, </w:t>
      </w:r>
      <w:r w:rsidR="00024413" w:rsidRPr="00145A97">
        <w:rPr>
          <w:b/>
          <w:lang w:val="en-GB"/>
        </w:rPr>
        <w:t>Planning Theory &amp; Practice</w:t>
      </w:r>
      <w:r w:rsidR="00AD5EA2" w:rsidRPr="00145A97">
        <w:rPr>
          <w:lang w:val="en-GB"/>
        </w:rPr>
        <w:t xml:space="preserve">, </w:t>
      </w:r>
      <w:r>
        <w:rPr>
          <w:lang w:val="en-GB"/>
        </w:rPr>
        <w:t>10 (3), 317-</w:t>
      </w:r>
      <w:r w:rsidR="00AD5EA2" w:rsidRPr="00145A97">
        <w:rPr>
          <w:lang w:val="en-GB"/>
        </w:rPr>
        <w:t>332, September 2009</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TREATY OF AMSTERDAM (1997) Treaty of Amsterdam</w:t>
      </w:r>
      <w:r w:rsidR="00471207">
        <w:rPr>
          <w:lang w:val="en-GB"/>
        </w:rPr>
        <w:t xml:space="preserve">, </w:t>
      </w:r>
      <w:r w:rsidRPr="00145A97">
        <w:rPr>
          <w:b/>
          <w:lang w:val="en-GB"/>
        </w:rPr>
        <w:t>Official Journal of the European Union</w:t>
      </w:r>
      <w:r w:rsidR="0086104C">
        <w:rPr>
          <w:lang w:val="en-GB"/>
        </w:rPr>
        <w:t>, C</w:t>
      </w:r>
      <w:r w:rsidR="009F30EC">
        <w:rPr>
          <w:lang w:val="en-GB"/>
        </w:rPr>
        <w:t xml:space="preserve"> </w:t>
      </w:r>
      <w:r w:rsidRPr="00145A97">
        <w:rPr>
          <w:lang w:val="en-GB"/>
        </w:rPr>
        <w:t xml:space="preserve">340/10. Available at </w:t>
      </w:r>
      <w:hyperlink r:id="rId27" w:history="1">
        <w:r w:rsidRPr="00145A97">
          <w:rPr>
            <w:rStyle w:val="Hyperlink1"/>
            <w:sz w:val="24"/>
            <w:lang w:val="en-GB"/>
          </w:rPr>
          <w:t>http://eur-lex.europa.eu/en/treaties/index.htm</w:t>
        </w:r>
      </w:hyperlink>
      <w:r w:rsidRPr="00145A97">
        <w:rPr>
          <w:lang w:val="en-GB"/>
        </w:rPr>
        <w:t xml:space="preserve"> (accessed March 2011)</w:t>
      </w:r>
      <w:r w:rsidR="00445E2B" w:rsidRPr="00145A97">
        <w:rPr>
          <w:lang w:val="en-GB"/>
        </w:rPr>
        <w:t>.</w:t>
      </w:r>
    </w:p>
    <w:p w:rsidR="00471207" w:rsidRPr="00145A97" w:rsidRDefault="00471207"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TREATY OF NICE (2001) Treaty of Nice</w:t>
      </w:r>
      <w:r>
        <w:rPr>
          <w:lang w:val="en-GB"/>
        </w:rPr>
        <w:t xml:space="preserve">, </w:t>
      </w:r>
      <w:r w:rsidRPr="00145A97">
        <w:rPr>
          <w:b/>
          <w:lang w:val="en-GB"/>
        </w:rPr>
        <w:t>Official Journal of the European Union</w:t>
      </w:r>
      <w:r w:rsidRPr="00145A97">
        <w:rPr>
          <w:lang w:val="en-GB"/>
        </w:rPr>
        <w:t xml:space="preserve">, C 80/01. Available at </w:t>
      </w:r>
      <w:hyperlink r:id="rId28" w:history="1">
        <w:r w:rsidRPr="00145A97">
          <w:rPr>
            <w:rStyle w:val="Hyperlink1"/>
            <w:sz w:val="24"/>
            <w:lang w:val="en-GB"/>
          </w:rPr>
          <w:t>http://eur-lex.europa.eu/en/treaties/index.htm</w:t>
        </w:r>
      </w:hyperlink>
      <w:r w:rsidRPr="00145A97">
        <w:rPr>
          <w:lang w:val="en-GB"/>
        </w:rPr>
        <w:t xml:space="preserve"> (accessed March 2011).</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Treaty of lISBON (2007)</w:t>
      </w:r>
      <w:r w:rsidRPr="00145A97">
        <w:rPr>
          <w:lang w:val="en-GB"/>
        </w:rPr>
        <w:t xml:space="preserve"> Treaty of Lisbon</w:t>
      </w:r>
      <w:r w:rsidR="00471207">
        <w:rPr>
          <w:lang w:val="en-GB"/>
        </w:rPr>
        <w:t xml:space="preserve">, </w:t>
      </w:r>
      <w:r w:rsidRPr="00145A97">
        <w:rPr>
          <w:b/>
          <w:lang w:val="en-GB"/>
        </w:rPr>
        <w:t>Official Journal of the European Union</w:t>
      </w:r>
      <w:r w:rsidRPr="00145A97">
        <w:rPr>
          <w:lang w:val="en-GB"/>
        </w:rPr>
        <w:t>, C 306/01. A</w:t>
      </w:r>
      <w:r w:rsidR="004053B2" w:rsidRPr="00145A97">
        <w:rPr>
          <w:lang w:val="en-GB"/>
        </w:rPr>
        <w:t>v</w:t>
      </w:r>
      <w:r w:rsidRPr="00145A97">
        <w:rPr>
          <w:lang w:val="en-GB"/>
        </w:rPr>
        <w:t xml:space="preserve">ailable at </w:t>
      </w:r>
      <w:hyperlink r:id="rId29" w:history="1">
        <w:r w:rsidRPr="00145A97">
          <w:rPr>
            <w:rStyle w:val="Hyperlink1"/>
            <w:sz w:val="24"/>
            <w:lang w:val="en-GB"/>
          </w:rPr>
          <w:t>http://eur-lex.europa.eu/en/treaties/index.htm</w:t>
        </w:r>
      </w:hyperlink>
      <w:r w:rsidRPr="00145A97">
        <w:rPr>
          <w:lang w:val="en-GB"/>
        </w:rPr>
        <w:t xml:space="preserve"> (accessed March 2011)</w:t>
      </w:r>
      <w:r w:rsidR="00445E2B" w:rsidRPr="00145A97">
        <w:rPr>
          <w:lang w:val="en-GB"/>
        </w:rPr>
        <w:t>.</w:t>
      </w:r>
    </w:p>
    <w:p w:rsidR="006A6887"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lastRenderedPageBreak/>
        <w:t>Vanolo, A.</w:t>
      </w:r>
      <w:r w:rsidRPr="00145A97">
        <w:rPr>
          <w:lang w:val="en-GB"/>
        </w:rPr>
        <w:t xml:space="preserve"> (2010) European Spatial Planning between Competitiveness and Territorial Cohesion: Shadows of Neo-liberalism, </w:t>
      </w:r>
      <w:r w:rsidRPr="00145A97">
        <w:rPr>
          <w:b/>
          <w:lang w:val="en-GB"/>
        </w:rPr>
        <w:t>European Planning Studies</w:t>
      </w:r>
      <w:r w:rsidR="00FD2E1A" w:rsidRPr="00145A97">
        <w:rPr>
          <w:lang w:val="en-GB"/>
        </w:rPr>
        <w:t>, 18(8), pp. 1301-</w:t>
      </w:r>
      <w:r w:rsidRPr="00145A97">
        <w:rPr>
          <w:lang w:val="en-GB"/>
        </w:rPr>
        <w:t>1315</w:t>
      </w:r>
      <w:r w:rsidR="00FD2E1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VASAB (2009) </w:t>
      </w:r>
      <w:r w:rsidRPr="00145A97">
        <w:rPr>
          <w:b/>
          <w:lang w:val="en-GB"/>
        </w:rPr>
        <w:t>VASAB 15: From Tallinn to Vilnius, workshop working document</w:t>
      </w:r>
      <w:r w:rsidRPr="00145A97">
        <w:rPr>
          <w:lang w:val="en-GB"/>
        </w:rPr>
        <w:t xml:space="preserve">. Available at </w:t>
      </w:r>
      <w:hyperlink r:id="rId30" w:history="1">
        <w:r w:rsidRPr="00145A97">
          <w:rPr>
            <w:rStyle w:val="Hyperlink1"/>
            <w:sz w:val="24"/>
            <w:lang w:val="en-GB"/>
          </w:rPr>
          <w:t>http://www.vasab.org/conference/upload/dokumenti/vasab_15.jpg</w:t>
        </w:r>
      </w:hyperlink>
      <w:r w:rsidRPr="00145A97">
        <w:rPr>
          <w:lang w:val="en-GB"/>
        </w:rPr>
        <w:t xml:space="preserve"> (accessed January 2011)</w:t>
      </w:r>
      <w:r w:rsidR="00FD2E1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VASAB (2010) </w:t>
      </w:r>
      <w:r w:rsidRPr="00145A97">
        <w:rPr>
          <w:b/>
          <w:lang w:val="en-GB"/>
        </w:rPr>
        <w:t>VASAB Long Term Perspective for the Territorial Development of the Baltic Sea Region: Towards better territorial integration of the Baltic Sea Region and its integration with other areas of Europe</w:t>
      </w:r>
      <w:r w:rsidRPr="00145A97">
        <w:rPr>
          <w:lang w:val="en-GB"/>
        </w:rPr>
        <w:t xml:space="preserve">. Available at </w:t>
      </w:r>
      <w:hyperlink r:id="rId31" w:history="1">
        <w:r w:rsidRPr="00145A97">
          <w:rPr>
            <w:rStyle w:val="Hyperlink1"/>
            <w:sz w:val="24"/>
            <w:lang w:val="en-GB"/>
          </w:rPr>
          <w:t>http://www.vasab.org/conference/page/67</w:t>
        </w:r>
      </w:hyperlink>
      <w:r w:rsidRPr="00145A97">
        <w:rPr>
          <w:lang w:val="en-GB"/>
        </w:rPr>
        <w:t xml:space="preserve"> (accessed January 2011)</w:t>
      </w:r>
      <w:r w:rsidR="00FD2E1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WATERHOUT, B. (2008) </w:t>
      </w:r>
      <w:r w:rsidRPr="00145A97">
        <w:rPr>
          <w:b/>
          <w:lang w:val="en-GB"/>
        </w:rPr>
        <w:t>The institutionalisation of European spatial planning</w:t>
      </w:r>
      <w:r w:rsidR="003C4D46" w:rsidRPr="00145A97">
        <w:rPr>
          <w:lang w:val="en-GB"/>
        </w:rPr>
        <w:t>.</w:t>
      </w:r>
      <w:r w:rsidRPr="00145A97">
        <w:rPr>
          <w:lang w:val="en-GB"/>
        </w:rPr>
        <w:t xml:space="preserve"> Amsterdam: IOS Press</w:t>
      </w:r>
      <w:r w:rsidR="00FD2E1A" w:rsidRPr="00145A97">
        <w:rPr>
          <w:lang w:val="en-GB"/>
        </w:rPr>
        <w:t>.</w:t>
      </w:r>
    </w:p>
    <w:p w:rsidR="00B84612" w:rsidRPr="00145A97" w:rsidRDefault="00B8461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WATERHOUT, B. (2011) European spatial planning: current state and future challenges, in </w:t>
      </w:r>
      <w:r w:rsidR="00FD2E1A" w:rsidRPr="00145A97">
        <w:rPr>
          <w:lang w:val="en-GB"/>
        </w:rPr>
        <w:t>ADAMS, N., COTELLA, G.</w:t>
      </w:r>
      <w:r w:rsidRPr="00145A97">
        <w:rPr>
          <w:lang w:val="en-GB"/>
        </w:rPr>
        <w:t xml:space="preserve"> and </w:t>
      </w:r>
      <w:r w:rsidR="00FD2E1A" w:rsidRPr="00145A97">
        <w:rPr>
          <w:lang w:val="en-GB"/>
        </w:rPr>
        <w:t>NUNES</w:t>
      </w:r>
      <w:r w:rsidRPr="00145A97">
        <w:rPr>
          <w:lang w:val="en-GB"/>
        </w:rPr>
        <w:t>, R. (</w:t>
      </w:r>
      <w:proofErr w:type="spellStart"/>
      <w:r w:rsidRPr="00145A97">
        <w:rPr>
          <w:lang w:val="en-GB"/>
        </w:rPr>
        <w:t>Eds</w:t>
      </w:r>
      <w:proofErr w:type="spellEnd"/>
      <w:r w:rsidRPr="00145A97">
        <w:rPr>
          <w:lang w:val="en-GB"/>
        </w:rPr>
        <w:t xml:space="preserve">), </w:t>
      </w:r>
      <w:r w:rsidRPr="00145A97">
        <w:rPr>
          <w:b/>
          <w:lang w:val="en-GB"/>
        </w:rPr>
        <w:t>Territorial Development, Cohesion and Spatial Planning: knowledge and policy development in an enlarged EU</w:t>
      </w:r>
      <w:r w:rsidRPr="00145A97">
        <w:rPr>
          <w:lang w:val="en-GB"/>
        </w:rPr>
        <w:t xml:space="preserve">, pp. 84-102. London: </w:t>
      </w:r>
      <w:proofErr w:type="spellStart"/>
      <w:r w:rsidRPr="00145A97">
        <w:rPr>
          <w:lang w:val="en-GB"/>
        </w:rPr>
        <w:t>Routledge</w:t>
      </w:r>
      <w:proofErr w:type="spellEnd"/>
      <w:r w:rsidR="00FD2E1A" w:rsidRPr="00145A97">
        <w:rPr>
          <w:lang w:val="en-GB"/>
        </w:rPr>
        <w:t>.</w:t>
      </w:r>
    </w:p>
    <w:p w:rsidR="003C4D46" w:rsidRPr="00145A97" w:rsidRDefault="004053B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W</w:t>
      </w:r>
      <w:r w:rsidR="00B84612" w:rsidRPr="00145A97">
        <w:rPr>
          <w:caps/>
          <w:lang w:val="en-GB"/>
        </w:rPr>
        <w:t>aterhout, B., Mourato, J. and Böhme, K</w:t>
      </w:r>
      <w:r w:rsidR="00B84612" w:rsidRPr="00145A97">
        <w:rPr>
          <w:lang w:val="en-GB"/>
        </w:rPr>
        <w:t xml:space="preserve">. (2009) The Impact of Europeanization on Planning Cultures, in </w:t>
      </w:r>
      <w:r w:rsidR="00FD2E1A" w:rsidRPr="00145A97">
        <w:rPr>
          <w:lang w:val="en-GB"/>
        </w:rPr>
        <w:t>KNIELING, J</w:t>
      </w:r>
      <w:r w:rsidR="00B84612" w:rsidRPr="00145A97">
        <w:rPr>
          <w:lang w:val="en-GB"/>
        </w:rPr>
        <w:t xml:space="preserve">. and </w:t>
      </w:r>
      <w:r w:rsidR="00FD2E1A" w:rsidRPr="00145A97">
        <w:rPr>
          <w:lang w:val="en-GB"/>
        </w:rPr>
        <w:t xml:space="preserve">OTHENGRAFEN, </w:t>
      </w:r>
      <w:r w:rsidR="00B84612" w:rsidRPr="00145A97">
        <w:rPr>
          <w:lang w:val="en-GB"/>
        </w:rPr>
        <w:t xml:space="preserve">F. (Eds.) </w:t>
      </w:r>
      <w:r w:rsidR="00B84612" w:rsidRPr="00145A97">
        <w:rPr>
          <w:b/>
          <w:lang w:val="en-GB"/>
        </w:rPr>
        <w:t>Planning Cultures In Europe: Decoding Cultural Phenomena in Urban and Regional Planning</w:t>
      </w:r>
      <w:r w:rsidR="00B84612" w:rsidRPr="00145A97">
        <w:rPr>
          <w:lang w:val="en-GB"/>
        </w:rPr>
        <w:t xml:space="preserve">, pp. 239-254.  Aldershot: </w:t>
      </w:r>
      <w:proofErr w:type="spellStart"/>
      <w:r w:rsidR="00B84612" w:rsidRPr="00145A97">
        <w:rPr>
          <w:lang w:val="en-GB"/>
        </w:rPr>
        <w:t>Ashgate</w:t>
      </w:r>
      <w:proofErr w:type="spellEnd"/>
      <w:r w:rsidR="00FD2E1A" w:rsidRPr="00145A97">
        <w:rPr>
          <w:lang w:val="en-GB"/>
        </w:rPr>
        <w:t>.</w:t>
      </w:r>
    </w:p>
    <w:p w:rsidR="00B84612" w:rsidRPr="00145A97" w:rsidRDefault="003C4D46"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lang w:val="en-GB"/>
        </w:rPr>
        <w:t xml:space="preserve">WENGER, E. (1998) </w:t>
      </w:r>
      <w:r w:rsidRPr="00145A97">
        <w:rPr>
          <w:b/>
          <w:lang w:val="en-GB"/>
        </w:rPr>
        <w:t>Communities of Practice: learning, meaning, and identity</w:t>
      </w:r>
      <w:r w:rsidRPr="00145A97">
        <w:rPr>
          <w:lang w:val="en-GB"/>
        </w:rPr>
        <w:t>. Cambridge: Cambridge University Press</w:t>
      </w:r>
      <w:r w:rsidR="00FD2E1A" w:rsidRPr="00145A97">
        <w:rPr>
          <w:lang w:val="en-GB"/>
        </w:rPr>
        <w:t>.</w:t>
      </w:r>
    </w:p>
    <w:p w:rsidR="001308A2" w:rsidRPr="00145A97" w:rsidRDefault="001308A2"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Pr>
          <w:caps/>
          <w:lang w:val="en-GB"/>
        </w:rPr>
        <w:t>Williams, R.</w:t>
      </w:r>
      <w:r w:rsidR="00B84612" w:rsidRPr="00145A97">
        <w:rPr>
          <w:caps/>
          <w:lang w:val="en-GB"/>
        </w:rPr>
        <w:t>H.</w:t>
      </w:r>
      <w:r w:rsidR="00B84612" w:rsidRPr="00145A97">
        <w:rPr>
          <w:lang w:val="en-GB"/>
        </w:rPr>
        <w:t xml:space="preserve"> (1996) </w:t>
      </w:r>
      <w:r w:rsidR="00B84612" w:rsidRPr="00145A97">
        <w:rPr>
          <w:b/>
          <w:lang w:val="en-GB"/>
        </w:rPr>
        <w:t>European Union, Spatial Policy and Planning</w:t>
      </w:r>
      <w:r w:rsidR="00B84612" w:rsidRPr="00145A97">
        <w:rPr>
          <w:lang w:val="en-GB"/>
        </w:rPr>
        <w:t>. London: Paul Chapman</w:t>
      </w:r>
    </w:p>
    <w:p w:rsidR="00DD5EBE" w:rsidRDefault="00DE4E25" w:rsidP="00AD05E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jc w:val="both"/>
        <w:rPr>
          <w:lang w:val="en-GB"/>
        </w:rPr>
      </w:pPr>
      <w:r w:rsidRPr="00145A97">
        <w:rPr>
          <w:caps/>
          <w:lang w:val="en-GB"/>
        </w:rPr>
        <w:t>Yanow</w:t>
      </w:r>
      <w:r w:rsidRPr="00145A97">
        <w:rPr>
          <w:lang w:val="en-GB"/>
        </w:rPr>
        <w:t xml:space="preserve">, D. (2004). ‘Translating Local Knowledge at Organizational Peripheries’. </w:t>
      </w:r>
      <w:r w:rsidRPr="00145A97">
        <w:rPr>
          <w:b/>
          <w:lang w:val="en-GB"/>
        </w:rPr>
        <w:t xml:space="preserve">British Journal of Management, </w:t>
      </w:r>
      <w:r w:rsidRPr="00145A97">
        <w:rPr>
          <w:lang w:val="en-GB"/>
        </w:rPr>
        <w:t>15, 9–25.</w:t>
      </w:r>
    </w:p>
    <w:p w:rsidR="00ED6441" w:rsidRPr="0053351E" w:rsidRDefault="00ED6441" w:rsidP="00D6063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56" w:lineRule="auto"/>
        <w:ind w:left="284" w:hanging="284"/>
        <w:jc w:val="both"/>
        <w:rPr>
          <w:sz w:val="22"/>
          <w:szCs w:val="22"/>
          <w:lang w:val="en-GB"/>
        </w:rPr>
      </w:pPr>
      <w:bookmarkStart w:id="0" w:name="_GoBack"/>
      <w:bookmarkEnd w:id="0"/>
      <w:r w:rsidRPr="0053351E">
        <w:rPr>
          <w:sz w:val="22"/>
          <w:szCs w:val="22"/>
          <w:lang w:val="en-GB"/>
        </w:rPr>
        <w:br w:type="page"/>
      </w:r>
    </w:p>
    <w:p w:rsidR="001F3AE8" w:rsidRPr="0053351E" w:rsidRDefault="001F3AE8" w:rsidP="00ED6441">
      <w:pPr>
        <w:rPr>
          <w:sz w:val="22"/>
          <w:szCs w:val="22"/>
          <w:lang w:val="en-GB"/>
        </w:rPr>
        <w:sectPr w:rsidR="001F3AE8" w:rsidRPr="0053351E" w:rsidSect="009963FF">
          <w:headerReference w:type="even" r:id="rId32"/>
          <w:headerReference w:type="default" r:id="rId33"/>
          <w:footerReference w:type="even" r:id="rId34"/>
          <w:footerReference w:type="default" r:id="rId35"/>
          <w:pgSz w:w="11900" w:h="16840"/>
          <w:pgMar w:top="1134" w:right="1134" w:bottom="1134" w:left="1134" w:header="709" w:footer="709" w:gutter="0"/>
          <w:cols w:space="720"/>
        </w:sectPr>
      </w:pPr>
    </w:p>
    <w:p w:rsidR="00B84612" w:rsidRPr="0053351E" w:rsidRDefault="00151303" w:rsidP="00ED644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jc w:val="both"/>
        <w:outlineLvl w:val="0"/>
        <w:rPr>
          <w:b/>
          <w:sz w:val="22"/>
          <w:szCs w:val="22"/>
          <w:lang w:val="en-GB"/>
        </w:rPr>
      </w:pPr>
      <w:r w:rsidRPr="0053351E">
        <w:rPr>
          <w:b/>
          <w:sz w:val="22"/>
          <w:szCs w:val="22"/>
          <w:lang w:val="en-GB"/>
        </w:rPr>
        <w:lastRenderedPageBreak/>
        <w:t>Tables’ captions and sources</w:t>
      </w:r>
    </w:p>
    <w:p w:rsidR="00151303" w:rsidRPr="0053351E" w:rsidRDefault="00151303" w:rsidP="00151303">
      <w:pPr>
        <w:pStyle w:val="Didascalia"/>
        <w:spacing w:after="60"/>
        <w:rPr>
          <w:b w:val="0"/>
          <w:i/>
          <w:sz w:val="18"/>
          <w:szCs w:val="18"/>
          <w:lang w:val="en-GB"/>
        </w:rPr>
      </w:pPr>
    </w:p>
    <w:p w:rsidR="00151303" w:rsidRPr="0053351E" w:rsidRDefault="00151303" w:rsidP="006022FB">
      <w:pPr>
        <w:pStyle w:val="Didascalia"/>
        <w:spacing w:after="60"/>
        <w:outlineLvl w:val="0"/>
        <w:rPr>
          <w:b w:val="0"/>
          <w:sz w:val="18"/>
          <w:szCs w:val="18"/>
          <w:lang w:val="en-GB"/>
        </w:rPr>
      </w:pPr>
      <w:r w:rsidRPr="0053351E">
        <w:rPr>
          <w:b w:val="0"/>
          <w:i/>
          <w:sz w:val="18"/>
          <w:szCs w:val="18"/>
          <w:lang w:val="en-GB"/>
        </w:rPr>
        <w:t xml:space="preserve">Table </w:t>
      </w:r>
      <w:r w:rsidR="000D2A76" w:rsidRPr="0053351E">
        <w:rPr>
          <w:b w:val="0"/>
          <w:i/>
          <w:sz w:val="18"/>
          <w:szCs w:val="18"/>
          <w:lang w:val="en-GB"/>
        </w:rPr>
        <w:fldChar w:fldCharType="begin"/>
      </w:r>
      <w:r w:rsidRPr="0053351E">
        <w:rPr>
          <w:b w:val="0"/>
          <w:i/>
          <w:sz w:val="18"/>
          <w:szCs w:val="18"/>
          <w:lang w:val="en-GB"/>
        </w:rPr>
        <w:instrText xml:space="preserve"> SEQ Table \* ARABIC </w:instrText>
      </w:r>
      <w:r w:rsidR="000D2A76" w:rsidRPr="0053351E">
        <w:rPr>
          <w:b w:val="0"/>
          <w:i/>
          <w:sz w:val="18"/>
          <w:szCs w:val="18"/>
          <w:lang w:val="en-GB"/>
        </w:rPr>
        <w:fldChar w:fldCharType="separate"/>
      </w:r>
      <w:r w:rsidR="00516661" w:rsidRPr="0053351E">
        <w:rPr>
          <w:b w:val="0"/>
          <w:i/>
          <w:noProof/>
          <w:sz w:val="18"/>
          <w:szCs w:val="18"/>
          <w:lang w:val="en-GB"/>
        </w:rPr>
        <w:t>1</w:t>
      </w:r>
      <w:r w:rsidR="000D2A76" w:rsidRPr="0053351E">
        <w:rPr>
          <w:b w:val="0"/>
          <w:i/>
          <w:sz w:val="18"/>
          <w:szCs w:val="18"/>
          <w:lang w:val="en-GB"/>
        </w:rPr>
        <w:fldChar w:fldCharType="end"/>
      </w:r>
      <w:r w:rsidRPr="0053351E">
        <w:rPr>
          <w:b w:val="0"/>
          <w:sz w:val="18"/>
          <w:szCs w:val="18"/>
          <w:lang w:val="en-GB"/>
        </w:rPr>
        <w:t>. GDP per capita as percentage of EU-27 average</w:t>
      </w:r>
    </w:p>
    <w:tbl>
      <w:tblPr>
        <w:tblW w:w="0" w:type="auto"/>
        <w:tblLook w:val="04A0" w:firstRow="1" w:lastRow="0" w:firstColumn="1" w:lastColumn="0" w:noHBand="0" w:noVBand="1"/>
      </w:tblPr>
      <w:tblGrid>
        <w:gridCol w:w="3093"/>
        <w:gridCol w:w="3093"/>
        <w:gridCol w:w="3094"/>
      </w:tblGrid>
      <w:tr w:rsidR="00151303" w:rsidRPr="0053351E" w:rsidTr="00284465">
        <w:tc>
          <w:tcPr>
            <w:tcW w:w="3093" w:type="dxa"/>
            <w:vMerge w:val="restart"/>
            <w:tcBorders>
              <w:top w:val="single" w:sz="4" w:space="0" w:color="auto"/>
            </w:tcBorders>
            <w:vAlign w:val="center"/>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rPr>
                <w:i/>
                <w:sz w:val="20"/>
                <w:szCs w:val="20"/>
                <w:lang w:val="en-GB"/>
              </w:rPr>
            </w:pPr>
            <w:r w:rsidRPr="0053351E">
              <w:rPr>
                <w:i/>
                <w:sz w:val="20"/>
                <w:szCs w:val="20"/>
                <w:lang w:val="en-GB"/>
              </w:rPr>
              <w:t>Country</w:t>
            </w:r>
          </w:p>
        </w:tc>
        <w:tc>
          <w:tcPr>
            <w:tcW w:w="6187" w:type="dxa"/>
            <w:gridSpan w:val="2"/>
            <w:tcBorders>
              <w:top w:val="single" w:sz="4" w:space="0" w:color="auto"/>
              <w:bottom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center"/>
              <w:rPr>
                <w:i/>
                <w:sz w:val="20"/>
                <w:szCs w:val="20"/>
                <w:lang w:val="en-GB"/>
              </w:rPr>
            </w:pPr>
            <w:r w:rsidRPr="0053351E">
              <w:rPr>
                <w:i/>
                <w:sz w:val="20"/>
                <w:szCs w:val="20"/>
                <w:lang w:val="en-GB"/>
              </w:rPr>
              <w:t>GDP as % of EU-27 average</w:t>
            </w:r>
          </w:p>
        </w:tc>
      </w:tr>
      <w:tr w:rsidR="00151303" w:rsidRPr="0053351E" w:rsidTr="00284465">
        <w:tc>
          <w:tcPr>
            <w:tcW w:w="3093" w:type="dxa"/>
            <w:vMerge/>
            <w:tcBorders>
              <w:bottom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both"/>
              <w:rPr>
                <w:i/>
                <w:sz w:val="20"/>
                <w:szCs w:val="20"/>
                <w:lang w:val="en-GB"/>
              </w:rPr>
            </w:pPr>
          </w:p>
        </w:tc>
        <w:tc>
          <w:tcPr>
            <w:tcW w:w="3093" w:type="dxa"/>
            <w:tcBorders>
              <w:top w:val="single" w:sz="4" w:space="0" w:color="auto"/>
              <w:bottom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center"/>
              <w:rPr>
                <w:i/>
                <w:sz w:val="20"/>
                <w:szCs w:val="20"/>
                <w:lang w:val="en-GB"/>
              </w:rPr>
            </w:pPr>
            <w:r w:rsidRPr="0053351E">
              <w:rPr>
                <w:i/>
                <w:sz w:val="20"/>
                <w:szCs w:val="20"/>
                <w:lang w:val="en-GB"/>
              </w:rPr>
              <w:t>2004</w:t>
            </w:r>
          </w:p>
        </w:tc>
        <w:tc>
          <w:tcPr>
            <w:tcW w:w="3094" w:type="dxa"/>
            <w:tcBorders>
              <w:top w:val="single" w:sz="4" w:space="0" w:color="auto"/>
              <w:bottom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center"/>
              <w:rPr>
                <w:i/>
                <w:sz w:val="20"/>
                <w:szCs w:val="20"/>
                <w:lang w:val="en-GB"/>
              </w:rPr>
            </w:pPr>
            <w:r w:rsidRPr="0053351E">
              <w:rPr>
                <w:i/>
                <w:sz w:val="20"/>
                <w:szCs w:val="20"/>
                <w:lang w:val="en-GB"/>
              </w:rPr>
              <w:t>2008</w:t>
            </w:r>
          </w:p>
        </w:tc>
      </w:tr>
      <w:tr w:rsidR="00151303" w:rsidRPr="0053351E" w:rsidTr="00284465">
        <w:tc>
          <w:tcPr>
            <w:tcW w:w="3093" w:type="dxa"/>
            <w:tcBorders>
              <w:top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both"/>
              <w:rPr>
                <w:sz w:val="20"/>
                <w:szCs w:val="20"/>
                <w:lang w:val="en-GB"/>
              </w:rPr>
            </w:pPr>
            <w:r w:rsidRPr="0053351E">
              <w:rPr>
                <w:sz w:val="20"/>
                <w:szCs w:val="20"/>
                <w:lang w:val="en-GB"/>
              </w:rPr>
              <w:t>Estonia</w:t>
            </w:r>
          </w:p>
        </w:tc>
        <w:tc>
          <w:tcPr>
            <w:tcW w:w="3093" w:type="dxa"/>
            <w:tcBorders>
              <w:top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center"/>
              <w:rPr>
                <w:sz w:val="20"/>
                <w:szCs w:val="20"/>
                <w:lang w:val="en-GB"/>
              </w:rPr>
            </w:pPr>
            <w:r w:rsidRPr="0053351E">
              <w:rPr>
                <w:sz w:val="20"/>
                <w:szCs w:val="20"/>
                <w:lang w:val="en-GB"/>
              </w:rPr>
              <w:t>57</w:t>
            </w:r>
          </w:p>
        </w:tc>
        <w:tc>
          <w:tcPr>
            <w:tcW w:w="3094" w:type="dxa"/>
            <w:tcBorders>
              <w:top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center"/>
              <w:rPr>
                <w:sz w:val="20"/>
                <w:szCs w:val="20"/>
                <w:lang w:val="en-GB"/>
              </w:rPr>
            </w:pPr>
            <w:r w:rsidRPr="0053351E">
              <w:rPr>
                <w:sz w:val="20"/>
                <w:szCs w:val="20"/>
                <w:lang w:val="en-GB"/>
              </w:rPr>
              <w:t>68</w:t>
            </w:r>
          </w:p>
        </w:tc>
      </w:tr>
      <w:tr w:rsidR="00151303" w:rsidRPr="0053351E" w:rsidTr="00284465">
        <w:tc>
          <w:tcPr>
            <w:tcW w:w="3093" w:type="dxa"/>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both"/>
              <w:rPr>
                <w:sz w:val="20"/>
                <w:szCs w:val="20"/>
                <w:lang w:val="en-GB"/>
              </w:rPr>
            </w:pPr>
            <w:r w:rsidRPr="0053351E">
              <w:rPr>
                <w:sz w:val="20"/>
                <w:szCs w:val="20"/>
                <w:lang w:val="en-GB"/>
              </w:rPr>
              <w:t>Latvia</w:t>
            </w:r>
          </w:p>
        </w:tc>
        <w:tc>
          <w:tcPr>
            <w:tcW w:w="3093" w:type="dxa"/>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center"/>
              <w:rPr>
                <w:sz w:val="20"/>
                <w:szCs w:val="20"/>
                <w:lang w:val="en-GB"/>
              </w:rPr>
            </w:pPr>
            <w:r w:rsidRPr="0053351E">
              <w:rPr>
                <w:sz w:val="20"/>
                <w:szCs w:val="20"/>
                <w:lang w:val="en-GB"/>
              </w:rPr>
              <w:t>46</w:t>
            </w:r>
          </w:p>
        </w:tc>
        <w:tc>
          <w:tcPr>
            <w:tcW w:w="3094" w:type="dxa"/>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center"/>
              <w:rPr>
                <w:sz w:val="20"/>
                <w:szCs w:val="20"/>
                <w:lang w:val="en-GB"/>
              </w:rPr>
            </w:pPr>
            <w:r w:rsidRPr="0053351E">
              <w:rPr>
                <w:sz w:val="20"/>
                <w:szCs w:val="20"/>
                <w:lang w:val="en-GB"/>
              </w:rPr>
              <w:t>56</w:t>
            </w:r>
          </w:p>
        </w:tc>
      </w:tr>
      <w:tr w:rsidR="00151303" w:rsidRPr="0053351E" w:rsidTr="00284465">
        <w:tc>
          <w:tcPr>
            <w:tcW w:w="3093" w:type="dxa"/>
            <w:tcBorders>
              <w:bottom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both"/>
              <w:rPr>
                <w:sz w:val="20"/>
                <w:szCs w:val="20"/>
                <w:lang w:val="en-GB"/>
              </w:rPr>
            </w:pPr>
            <w:r w:rsidRPr="0053351E">
              <w:rPr>
                <w:sz w:val="20"/>
                <w:szCs w:val="20"/>
                <w:lang w:val="en-GB"/>
              </w:rPr>
              <w:t>Lithuania</w:t>
            </w:r>
          </w:p>
        </w:tc>
        <w:tc>
          <w:tcPr>
            <w:tcW w:w="3093" w:type="dxa"/>
            <w:tcBorders>
              <w:bottom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center"/>
              <w:rPr>
                <w:sz w:val="20"/>
                <w:szCs w:val="20"/>
                <w:lang w:val="en-GB"/>
              </w:rPr>
            </w:pPr>
            <w:r w:rsidRPr="0053351E">
              <w:rPr>
                <w:sz w:val="20"/>
                <w:szCs w:val="20"/>
                <w:lang w:val="en-GB"/>
              </w:rPr>
              <w:t>50</w:t>
            </w:r>
          </w:p>
        </w:tc>
        <w:tc>
          <w:tcPr>
            <w:tcW w:w="3094" w:type="dxa"/>
            <w:tcBorders>
              <w:bottom w:val="single" w:sz="4" w:space="0" w:color="auto"/>
            </w:tcBorders>
          </w:tcPr>
          <w:p w:rsidR="00151303" w:rsidRPr="0053351E" w:rsidRDefault="00151303" w:rsidP="002844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after="60"/>
              <w:jc w:val="center"/>
              <w:rPr>
                <w:sz w:val="20"/>
                <w:szCs w:val="20"/>
                <w:lang w:val="en-GB"/>
              </w:rPr>
            </w:pPr>
            <w:r w:rsidRPr="0053351E">
              <w:rPr>
                <w:sz w:val="20"/>
                <w:szCs w:val="20"/>
                <w:lang w:val="en-GB"/>
              </w:rPr>
              <w:t>61</w:t>
            </w:r>
          </w:p>
        </w:tc>
      </w:tr>
    </w:tbl>
    <w:p w:rsidR="00151303" w:rsidRPr="0053351E" w:rsidRDefault="00151303" w:rsidP="0015130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jc w:val="both"/>
        <w:rPr>
          <w:sz w:val="18"/>
          <w:szCs w:val="18"/>
          <w:lang w:val="en-GB"/>
        </w:rPr>
      </w:pPr>
      <w:r w:rsidRPr="0053351E">
        <w:rPr>
          <w:sz w:val="18"/>
          <w:szCs w:val="18"/>
          <w:lang w:val="en-GB"/>
        </w:rPr>
        <w:t>Source: Eurostat 2011</w:t>
      </w:r>
    </w:p>
    <w:p w:rsidR="001F3AE8" w:rsidRPr="0053351E" w:rsidRDefault="001F3AE8">
      <w:pPr>
        <w:rPr>
          <w:b/>
          <w:i/>
          <w:sz w:val="18"/>
          <w:szCs w:val="18"/>
          <w:lang w:val="en-GB"/>
        </w:rPr>
      </w:pPr>
    </w:p>
    <w:p w:rsidR="00ED6441" w:rsidRPr="0053351E" w:rsidRDefault="00ED6441">
      <w:pPr>
        <w:rPr>
          <w:bCs/>
          <w:i/>
          <w:sz w:val="18"/>
          <w:szCs w:val="18"/>
          <w:lang w:val="en-GB"/>
        </w:rPr>
      </w:pPr>
    </w:p>
    <w:p w:rsidR="00ED6441" w:rsidRPr="0053351E" w:rsidRDefault="00ED6441" w:rsidP="007C4B26">
      <w:pPr>
        <w:pStyle w:val="Didascalia"/>
        <w:spacing w:after="60"/>
        <w:outlineLvl w:val="0"/>
        <w:rPr>
          <w:b w:val="0"/>
          <w:i/>
          <w:sz w:val="18"/>
          <w:szCs w:val="18"/>
          <w:lang w:val="en-GB"/>
        </w:rPr>
      </w:pPr>
    </w:p>
    <w:p w:rsidR="00ED6441" w:rsidRPr="0053351E" w:rsidRDefault="00ED6441">
      <w:pPr>
        <w:rPr>
          <w:bCs/>
          <w:i/>
          <w:sz w:val="18"/>
          <w:szCs w:val="18"/>
          <w:lang w:val="en-GB"/>
        </w:rPr>
      </w:pPr>
      <w:r w:rsidRPr="0053351E">
        <w:rPr>
          <w:b/>
          <w:i/>
          <w:sz w:val="18"/>
          <w:szCs w:val="18"/>
          <w:lang w:val="en-GB"/>
        </w:rPr>
        <w:br w:type="page"/>
      </w:r>
    </w:p>
    <w:p w:rsidR="00ED6441" w:rsidRPr="0053351E" w:rsidRDefault="00ED6441" w:rsidP="007C4B26">
      <w:pPr>
        <w:pStyle w:val="Didascalia"/>
        <w:spacing w:after="60"/>
        <w:outlineLvl w:val="0"/>
        <w:rPr>
          <w:b w:val="0"/>
          <w:i/>
          <w:sz w:val="18"/>
          <w:szCs w:val="18"/>
          <w:lang w:val="en-GB"/>
        </w:rPr>
        <w:sectPr w:rsidR="00ED6441" w:rsidRPr="0053351E" w:rsidSect="00ED6441">
          <w:pgSz w:w="11900" w:h="16840"/>
          <w:pgMar w:top="1418" w:right="1418" w:bottom="1134" w:left="1418" w:header="709" w:footer="709" w:gutter="0"/>
          <w:cols w:space="720"/>
        </w:sectPr>
      </w:pPr>
    </w:p>
    <w:p w:rsidR="007C4B26" w:rsidRPr="0053351E" w:rsidRDefault="007C4B26" w:rsidP="007C4B26">
      <w:pPr>
        <w:pStyle w:val="Didascalia"/>
        <w:spacing w:after="60"/>
        <w:outlineLvl w:val="0"/>
        <w:rPr>
          <w:b w:val="0"/>
          <w:sz w:val="18"/>
          <w:szCs w:val="18"/>
          <w:lang w:val="en-GB"/>
        </w:rPr>
      </w:pPr>
      <w:r w:rsidRPr="0053351E">
        <w:rPr>
          <w:b w:val="0"/>
          <w:i/>
          <w:sz w:val="18"/>
          <w:szCs w:val="18"/>
          <w:lang w:val="en-GB"/>
        </w:rPr>
        <w:lastRenderedPageBreak/>
        <w:t>Table 2</w:t>
      </w:r>
      <w:r w:rsidRPr="0053351E">
        <w:rPr>
          <w:b w:val="0"/>
          <w:sz w:val="18"/>
          <w:szCs w:val="18"/>
          <w:lang w:val="en-GB"/>
        </w:rPr>
        <w:t>. Characteristics of territorial knowledge communities</w:t>
      </w:r>
    </w:p>
    <w:tbl>
      <w:tblPr>
        <w:tblW w:w="14048" w:type="dxa"/>
        <w:tblLayout w:type="fixed"/>
        <w:tblLook w:val="01E0" w:firstRow="1" w:lastRow="1" w:firstColumn="1" w:lastColumn="1" w:noHBand="0" w:noVBand="0"/>
      </w:tblPr>
      <w:tblGrid>
        <w:gridCol w:w="1659"/>
        <w:gridCol w:w="2477"/>
        <w:gridCol w:w="2478"/>
        <w:gridCol w:w="2478"/>
        <w:gridCol w:w="2478"/>
        <w:gridCol w:w="2478"/>
      </w:tblGrid>
      <w:tr w:rsidR="001F3AE8" w:rsidRPr="0053351E" w:rsidTr="001F3AE8">
        <w:trPr>
          <w:cantSplit/>
          <w:trHeight w:val="277"/>
          <w:tblHeader/>
        </w:trPr>
        <w:tc>
          <w:tcPr>
            <w:tcW w:w="1659" w:type="dxa"/>
            <w:vAlign w:val="center"/>
          </w:tcPr>
          <w:p w:rsidR="001F3AE8" w:rsidRPr="0053351E" w:rsidRDefault="001F3AE8" w:rsidP="001F3AE8">
            <w:pPr>
              <w:rPr>
                <w:b/>
                <w:sz w:val="18"/>
                <w:szCs w:val="18"/>
                <w:lang w:val="en-GB"/>
              </w:rPr>
            </w:pPr>
          </w:p>
        </w:tc>
        <w:tc>
          <w:tcPr>
            <w:tcW w:w="2477" w:type="dxa"/>
            <w:vAlign w:val="center"/>
          </w:tcPr>
          <w:p w:rsidR="001F3AE8" w:rsidRPr="0053351E" w:rsidRDefault="001F3AE8" w:rsidP="001F3AE8">
            <w:pPr>
              <w:rPr>
                <w:b/>
                <w:sz w:val="18"/>
                <w:szCs w:val="18"/>
                <w:lang w:val="en-GB"/>
              </w:rPr>
            </w:pPr>
            <w:r w:rsidRPr="0053351E">
              <w:rPr>
                <w:b/>
                <w:sz w:val="18"/>
                <w:szCs w:val="18"/>
                <w:lang w:val="en-GB"/>
              </w:rPr>
              <w:t>Key Characteristics</w:t>
            </w:r>
          </w:p>
        </w:tc>
        <w:tc>
          <w:tcPr>
            <w:tcW w:w="2478" w:type="dxa"/>
            <w:vAlign w:val="center"/>
          </w:tcPr>
          <w:p w:rsidR="001F3AE8" w:rsidRPr="0053351E" w:rsidRDefault="001F3AE8" w:rsidP="001F3AE8">
            <w:pPr>
              <w:rPr>
                <w:b/>
                <w:sz w:val="18"/>
                <w:szCs w:val="18"/>
                <w:lang w:val="en-GB"/>
              </w:rPr>
            </w:pPr>
            <w:r w:rsidRPr="0053351E">
              <w:rPr>
                <w:b/>
                <w:sz w:val="18"/>
                <w:szCs w:val="18"/>
                <w:lang w:val="en-GB"/>
              </w:rPr>
              <w:t>Key Actors</w:t>
            </w:r>
          </w:p>
        </w:tc>
        <w:tc>
          <w:tcPr>
            <w:tcW w:w="2478" w:type="dxa"/>
            <w:vAlign w:val="center"/>
          </w:tcPr>
          <w:p w:rsidR="001F3AE8" w:rsidRPr="0053351E" w:rsidRDefault="001F3AE8" w:rsidP="001F3AE8">
            <w:pPr>
              <w:rPr>
                <w:b/>
                <w:sz w:val="18"/>
                <w:szCs w:val="18"/>
                <w:lang w:val="en-GB"/>
              </w:rPr>
            </w:pPr>
            <w:r w:rsidRPr="0053351E">
              <w:rPr>
                <w:b/>
                <w:sz w:val="18"/>
                <w:szCs w:val="18"/>
                <w:lang w:val="en-GB"/>
              </w:rPr>
              <w:t>Knowledge / Policy Focus</w:t>
            </w:r>
          </w:p>
        </w:tc>
        <w:tc>
          <w:tcPr>
            <w:tcW w:w="2478" w:type="dxa"/>
            <w:vAlign w:val="center"/>
          </w:tcPr>
          <w:p w:rsidR="001F3AE8" w:rsidRPr="0053351E" w:rsidRDefault="001F3AE8" w:rsidP="001F3AE8">
            <w:pPr>
              <w:rPr>
                <w:b/>
                <w:sz w:val="18"/>
                <w:szCs w:val="18"/>
                <w:lang w:val="en-GB"/>
              </w:rPr>
            </w:pPr>
            <w:r w:rsidRPr="0053351E">
              <w:rPr>
                <w:b/>
                <w:sz w:val="18"/>
                <w:szCs w:val="18"/>
                <w:lang w:val="en-GB"/>
              </w:rPr>
              <w:t>Knowledge Development / Utilization Focus</w:t>
            </w:r>
          </w:p>
        </w:tc>
        <w:tc>
          <w:tcPr>
            <w:tcW w:w="2478" w:type="dxa"/>
            <w:vAlign w:val="center"/>
          </w:tcPr>
          <w:p w:rsidR="001F3AE8" w:rsidRPr="0053351E" w:rsidRDefault="001F3AE8" w:rsidP="001F3AE8">
            <w:pPr>
              <w:rPr>
                <w:b/>
                <w:sz w:val="18"/>
                <w:szCs w:val="18"/>
                <w:lang w:val="en-GB"/>
              </w:rPr>
            </w:pPr>
            <w:r w:rsidRPr="0053351E">
              <w:rPr>
                <w:b/>
                <w:sz w:val="18"/>
                <w:szCs w:val="18"/>
                <w:lang w:val="en-GB"/>
              </w:rPr>
              <w:t>Conceptual Limitations</w:t>
            </w:r>
          </w:p>
        </w:tc>
      </w:tr>
      <w:tr w:rsidR="001F3AE8" w:rsidRPr="0053351E" w:rsidTr="001F3AE8">
        <w:trPr>
          <w:cantSplit/>
          <w:trHeight w:hRule="exact" w:val="51"/>
          <w:tblHeader/>
        </w:trPr>
        <w:tc>
          <w:tcPr>
            <w:tcW w:w="1659" w:type="dxa"/>
            <w:tcBorders>
              <w:bottom w:val="single" w:sz="4" w:space="0" w:color="auto"/>
            </w:tcBorders>
            <w:vAlign w:val="center"/>
          </w:tcPr>
          <w:p w:rsidR="001F3AE8" w:rsidRPr="0053351E" w:rsidRDefault="001F3AE8" w:rsidP="001F3AE8">
            <w:pPr>
              <w:rPr>
                <w:b/>
                <w:sz w:val="18"/>
                <w:szCs w:val="18"/>
                <w:lang w:val="en-GB"/>
              </w:rPr>
            </w:pPr>
          </w:p>
        </w:tc>
        <w:tc>
          <w:tcPr>
            <w:tcW w:w="2477" w:type="dxa"/>
            <w:tcBorders>
              <w:bottom w:val="single" w:sz="4" w:space="0" w:color="auto"/>
            </w:tcBorders>
            <w:vAlign w:val="center"/>
          </w:tcPr>
          <w:p w:rsidR="001F3AE8" w:rsidRPr="0053351E" w:rsidRDefault="001F3AE8" w:rsidP="001F3AE8">
            <w:pPr>
              <w:rPr>
                <w:b/>
                <w:sz w:val="18"/>
                <w:szCs w:val="18"/>
                <w:lang w:val="en-GB"/>
              </w:rPr>
            </w:pPr>
          </w:p>
        </w:tc>
        <w:tc>
          <w:tcPr>
            <w:tcW w:w="2478" w:type="dxa"/>
            <w:tcBorders>
              <w:bottom w:val="single" w:sz="4" w:space="0" w:color="auto"/>
            </w:tcBorders>
            <w:vAlign w:val="center"/>
          </w:tcPr>
          <w:p w:rsidR="001F3AE8" w:rsidRPr="0053351E" w:rsidRDefault="001F3AE8" w:rsidP="001F3AE8">
            <w:pPr>
              <w:rPr>
                <w:b/>
                <w:sz w:val="18"/>
                <w:szCs w:val="18"/>
                <w:lang w:val="en-GB"/>
              </w:rPr>
            </w:pPr>
          </w:p>
        </w:tc>
        <w:tc>
          <w:tcPr>
            <w:tcW w:w="2478" w:type="dxa"/>
            <w:tcBorders>
              <w:bottom w:val="single" w:sz="4" w:space="0" w:color="auto"/>
            </w:tcBorders>
            <w:vAlign w:val="center"/>
          </w:tcPr>
          <w:p w:rsidR="001F3AE8" w:rsidRPr="0053351E" w:rsidRDefault="001F3AE8" w:rsidP="001F3AE8">
            <w:pPr>
              <w:rPr>
                <w:b/>
                <w:sz w:val="18"/>
                <w:szCs w:val="18"/>
                <w:lang w:val="en-GB"/>
              </w:rPr>
            </w:pPr>
          </w:p>
        </w:tc>
        <w:tc>
          <w:tcPr>
            <w:tcW w:w="2478" w:type="dxa"/>
            <w:tcBorders>
              <w:bottom w:val="single" w:sz="4" w:space="0" w:color="auto"/>
            </w:tcBorders>
            <w:vAlign w:val="center"/>
          </w:tcPr>
          <w:p w:rsidR="001F3AE8" w:rsidRPr="0053351E" w:rsidRDefault="001F3AE8" w:rsidP="001F3AE8">
            <w:pPr>
              <w:rPr>
                <w:b/>
                <w:sz w:val="18"/>
                <w:szCs w:val="18"/>
                <w:lang w:val="en-GB"/>
              </w:rPr>
            </w:pPr>
          </w:p>
        </w:tc>
        <w:tc>
          <w:tcPr>
            <w:tcW w:w="2478" w:type="dxa"/>
            <w:tcBorders>
              <w:bottom w:val="single" w:sz="4" w:space="0" w:color="auto"/>
            </w:tcBorders>
            <w:vAlign w:val="center"/>
          </w:tcPr>
          <w:p w:rsidR="001F3AE8" w:rsidRPr="0053351E" w:rsidRDefault="001F3AE8" w:rsidP="001F3AE8">
            <w:pPr>
              <w:rPr>
                <w:b/>
                <w:sz w:val="18"/>
                <w:szCs w:val="18"/>
                <w:lang w:val="en-GB"/>
              </w:rPr>
            </w:pPr>
          </w:p>
        </w:tc>
      </w:tr>
      <w:tr w:rsidR="001F3AE8" w:rsidRPr="0053351E" w:rsidTr="001F3AE8">
        <w:trPr>
          <w:cantSplit/>
          <w:trHeight w:val="803"/>
        </w:trPr>
        <w:tc>
          <w:tcPr>
            <w:tcW w:w="1659" w:type="dxa"/>
            <w:tcBorders>
              <w:top w:val="single" w:sz="4" w:space="0" w:color="auto"/>
              <w:bottom w:val="single" w:sz="4" w:space="0" w:color="auto"/>
            </w:tcBorders>
          </w:tcPr>
          <w:p w:rsidR="001F3AE8" w:rsidRPr="0053351E" w:rsidRDefault="001F3AE8" w:rsidP="001F3AE8">
            <w:pPr>
              <w:rPr>
                <w:b/>
                <w:sz w:val="18"/>
                <w:szCs w:val="18"/>
                <w:lang w:val="en-GB"/>
              </w:rPr>
            </w:pPr>
            <w:r w:rsidRPr="0053351E">
              <w:rPr>
                <w:b/>
                <w:sz w:val="18"/>
                <w:szCs w:val="18"/>
                <w:lang w:val="en-GB"/>
              </w:rPr>
              <w:t xml:space="preserve">Epistemic </w:t>
            </w:r>
            <w:proofErr w:type="spellStart"/>
            <w:r w:rsidRPr="0053351E">
              <w:rPr>
                <w:b/>
                <w:sz w:val="18"/>
                <w:szCs w:val="18"/>
                <w:lang w:val="en-GB"/>
              </w:rPr>
              <w:t>Communities</w:t>
            </w:r>
            <w:r w:rsidRPr="0053351E">
              <w:rPr>
                <w:b/>
                <w:sz w:val="18"/>
                <w:szCs w:val="18"/>
                <w:vertAlign w:val="superscript"/>
                <w:lang w:val="en-GB"/>
              </w:rPr>
              <w:t>a</w:t>
            </w:r>
            <w:proofErr w:type="spellEnd"/>
            <w:r w:rsidRPr="0053351E">
              <w:rPr>
                <w:b/>
                <w:sz w:val="18"/>
                <w:szCs w:val="18"/>
                <w:lang w:val="en-GB"/>
              </w:rPr>
              <w:t xml:space="preserve"> </w:t>
            </w:r>
          </w:p>
        </w:tc>
        <w:tc>
          <w:tcPr>
            <w:tcW w:w="2477" w:type="dxa"/>
            <w:tcBorders>
              <w:top w:val="single" w:sz="4" w:space="0" w:color="auto"/>
              <w:bottom w:val="single" w:sz="4" w:space="0" w:color="auto"/>
            </w:tcBorders>
          </w:tcPr>
          <w:p w:rsidR="001F3AE8" w:rsidRPr="0053351E" w:rsidRDefault="001F3AE8" w:rsidP="001F3AE8">
            <w:pPr>
              <w:rPr>
                <w:sz w:val="18"/>
                <w:szCs w:val="18"/>
                <w:lang w:val="en-GB"/>
              </w:rPr>
            </w:pPr>
            <w:r w:rsidRPr="0053351E">
              <w:rPr>
                <w:sz w:val="18"/>
                <w:szCs w:val="18"/>
                <w:lang w:val="en-GB"/>
              </w:rPr>
              <w:t>Driven by technocratic consideration; called upon in times of uncertainty and highly complex policy problems; actors share common world view</w:t>
            </w:r>
          </w:p>
        </w:tc>
        <w:tc>
          <w:tcPr>
            <w:tcW w:w="2478" w:type="dxa"/>
            <w:tcBorders>
              <w:top w:val="single" w:sz="4" w:space="0" w:color="auto"/>
              <w:bottom w:val="single" w:sz="4" w:space="0" w:color="auto"/>
            </w:tcBorders>
          </w:tcPr>
          <w:p w:rsidR="001F3AE8" w:rsidRPr="0053351E" w:rsidRDefault="001F3AE8" w:rsidP="001F3AE8">
            <w:pPr>
              <w:rPr>
                <w:sz w:val="18"/>
                <w:szCs w:val="18"/>
                <w:lang w:val="en-GB"/>
              </w:rPr>
            </w:pPr>
            <w:r w:rsidRPr="0053351E">
              <w:rPr>
                <w:sz w:val="18"/>
                <w:szCs w:val="18"/>
                <w:lang w:val="en-GB"/>
              </w:rPr>
              <w:t>Restrict group of experts / professionals - think tanks, regulatory agencies and research bodies</w:t>
            </w:r>
          </w:p>
        </w:tc>
        <w:tc>
          <w:tcPr>
            <w:tcW w:w="2478" w:type="dxa"/>
            <w:tcBorders>
              <w:top w:val="single" w:sz="4" w:space="0" w:color="auto"/>
              <w:bottom w:val="single" w:sz="4" w:space="0" w:color="auto"/>
            </w:tcBorders>
          </w:tcPr>
          <w:p w:rsidR="001F3AE8" w:rsidRPr="0053351E" w:rsidRDefault="001F3AE8" w:rsidP="001F3AE8">
            <w:pPr>
              <w:rPr>
                <w:sz w:val="18"/>
                <w:szCs w:val="18"/>
                <w:lang w:val="en-GB"/>
              </w:rPr>
            </w:pPr>
            <w:r w:rsidRPr="0053351E">
              <w:rPr>
                <w:sz w:val="18"/>
                <w:szCs w:val="18"/>
                <w:lang w:val="en-GB"/>
              </w:rPr>
              <w:t>Scientific basis of causal knowledge of policy solutions and/or alternatives</w:t>
            </w:r>
          </w:p>
        </w:tc>
        <w:tc>
          <w:tcPr>
            <w:tcW w:w="2478" w:type="dxa"/>
            <w:tcBorders>
              <w:top w:val="single" w:sz="4" w:space="0" w:color="auto"/>
              <w:bottom w:val="single" w:sz="4" w:space="0" w:color="auto"/>
            </w:tcBorders>
          </w:tcPr>
          <w:p w:rsidR="001F3AE8" w:rsidRPr="0053351E" w:rsidRDefault="001F3AE8" w:rsidP="001F3AE8">
            <w:pPr>
              <w:rPr>
                <w:sz w:val="18"/>
                <w:szCs w:val="18"/>
                <w:lang w:val="en-GB"/>
              </w:rPr>
            </w:pPr>
            <w:r w:rsidRPr="0053351E">
              <w:rPr>
                <w:sz w:val="18"/>
                <w:szCs w:val="18"/>
                <w:lang w:val="en-GB"/>
              </w:rPr>
              <w:t>Conditional on demand for neutral (unbiased) opinion on controversialist, uncertain and complex policy issues; influence depends on political positioning of the community</w:t>
            </w:r>
          </w:p>
        </w:tc>
        <w:tc>
          <w:tcPr>
            <w:tcW w:w="2478" w:type="dxa"/>
            <w:tcBorders>
              <w:top w:val="single" w:sz="4" w:space="0" w:color="auto"/>
              <w:bottom w:val="single" w:sz="4" w:space="0" w:color="auto"/>
            </w:tcBorders>
          </w:tcPr>
          <w:p w:rsidR="001F3AE8" w:rsidRPr="0053351E" w:rsidRDefault="001F3AE8" w:rsidP="001F3AE8">
            <w:pPr>
              <w:rPr>
                <w:sz w:val="18"/>
                <w:szCs w:val="18"/>
                <w:lang w:val="en-GB"/>
              </w:rPr>
            </w:pPr>
            <w:r w:rsidRPr="0053351E">
              <w:rPr>
                <w:sz w:val="18"/>
                <w:szCs w:val="18"/>
                <w:lang w:val="en-GB"/>
              </w:rPr>
              <w:t>‘Oblique’ with regard to limits with wider public concerns; extra-community links</w:t>
            </w:r>
          </w:p>
        </w:tc>
      </w:tr>
      <w:tr w:rsidR="001F3AE8" w:rsidRPr="0053351E" w:rsidTr="001F3AE8">
        <w:trPr>
          <w:cantSplit/>
          <w:trHeight w:val="687"/>
        </w:trPr>
        <w:tc>
          <w:tcPr>
            <w:tcW w:w="1659" w:type="dxa"/>
            <w:tcBorders>
              <w:top w:val="single" w:sz="4" w:space="0" w:color="auto"/>
              <w:bottom w:val="single" w:sz="4" w:space="0" w:color="auto"/>
            </w:tcBorders>
          </w:tcPr>
          <w:p w:rsidR="001F3AE8" w:rsidRPr="0053351E" w:rsidRDefault="001F3AE8" w:rsidP="001F3AE8">
            <w:pPr>
              <w:rPr>
                <w:b/>
                <w:sz w:val="18"/>
                <w:szCs w:val="18"/>
                <w:lang w:val="en-GB"/>
              </w:rPr>
            </w:pPr>
            <w:r w:rsidRPr="0053351E">
              <w:rPr>
                <w:b/>
                <w:sz w:val="18"/>
                <w:szCs w:val="18"/>
                <w:lang w:val="en-GB"/>
              </w:rPr>
              <w:t xml:space="preserve">Advocacy </w:t>
            </w:r>
            <w:proofErr w:type="spellStart"/>
            <w:r w:rsidRPr="0053351E">
              <w:rPr>
                <w:b/>
                <w:sz w:val="18"/>
                <w:szCs w:val="18"/>
                <w:lang w:val="en-GB"/>
              </w:rPr>
              <w:t>Coalitions</w:t>
            </w:r>
            <w:r w:rsidRPr="0053351E">
              <w:rPr>
                <w:b/>
                <w:sz w:val="18"/>
                <w:szCs w:val="18"/>
                <w:vertAlign w:val="superscript"/>
                <w:lang w:val="en-GB"/>
              </w:rPr>
              <w:t>b</w:t>
            </w:r>
            <w:proofErr w:type="spellEnd"/>
          </w:p>
        </w:tc>
        <w:tc>
          <w:tcPr>
            <w:tcW w:w="2477" w:type="dxa"/>
            <w:tcBorders>
              <w:top w:val="single" w:sz="4" w:space="0" w:color="auto"/>
              <w:bottom w:val="single" w:sz="4" w:space="0" w:color="auto"/>
            </w:tcBorders>
          </w:tcPr>
          <w:p w:rsidR="001F3AE8" w:rsidRPr="0053351E" w:rsidRDefault="001F3AE8" w:rsidP="001F3AE8">
            <w:pPr>
              <w:rPr>
                <w:sz w:val="18"/>
                <w:szCs w:val="18"/>
                <w:lang w:val="en-GB"/>
              </w:rPr>
            </w:pPr>
            <w:r w:rsidRPr="0053351E">
              <w:rPr>
                <w:sz w:val="18"/>
                <w:szCs w:val="18"/>
                <w:lang w:val="en-GB"/>
              </w:rPr>
              <w:t>Motivated by core policy concerns rooted in normative views and perceived causal relationships, and ‘deep core’ principles</w:t>
            </w:r>
          </w:p>
        </w:tc>
        <w:tc>
          <w:tcPr>
            <w:tcW w:w="2478" w:type="dxa"/>
            <w:tcBorders>
              <w:top w:val="single" w:sz="4" w:space="0" w:color="auto"/>
              <w:bottom w:val="single" w:sz="4" w:space="0" w:color="auto"/>
            </w:tcBorders>
          </w:tcPr>
          <w:p w:rsidR="001F3AE8" w:rsidRPr="0053351E" w:rsidRDefault="001F3AE8" w:rsidP="001F3AE8">
            <w:pPr>
              <w:rPr>
                <w:sz w:val="18"/>
                <w:szCs w:val="18"/>
                <w:lang w:val="en-GB"/>
              </w:rPr>
            </w:pPr>
            <w:r w:rsidRPr="0053351E">
              <w:rPr>
                <w:sz w:val="18"/>
                <w:szCs w:val="18"/>
                <w:lang w:val="en-GB"/>
              </w:rPr>
              <w:t>Interest group lobbyists, agency officials, legislators, politicians, and applied researchers and journalists</w:t>
            </w:r>
          </w:p>
        </w:tc>
        <w:tc>
          <w:tcPr>
            <w:tcW w:w="2478" w:type="dxa"/>
            <w:tcBorders>
              <w:top w:val="single" w:sz="4" w:space="0" w:color="auto"/>
              <w:bottom w:val="single" w:sz="4" w:space="0" w:color="auto"/>
            </w:tcBorders>
          </w:tcPr>
          <w:p w:rsidR="001F3AE8" w:rsidRPr="0053351E" w:rsidRDefault="001F3AE8" w:rsidP="001F3AE8">
            <w:pPr>
              <w:rPr>
                <w:sz w:val="18"/>
                <w:szCs w:val="18"/>
                <w:lang w:val="en-GB"/>
              </w:rPr>
            </w:pPr>
            <w:r w:rsidRPr="0053351E">
              <w:rPr>
                <w:sz w:val="18"/>
                <w:szCs w:val="18"/>
                <w:lang w:val="en-GB"/>
              </w:rPr>
              <w:t>Individual / collective values (principles) basis of perceived causal relationships</w:t>
            </w:r>
          </w:p>
        </w:tc>
        <w:tc>
          <w:tcPr>
            <w:tcW w:w="2478" w:type="dxa"/>
            <w:tcBorders>
              <w:top w:val="single" w:sz="4" w:space="0" w:color="auto"/>
              <w:bottom w:val="single" w:sz="4" w:space="0" w:color="auto"/>
            </w:tcBorders>
          </w:tcPr>
          <w:p w:rsidR="001F3AE8" w:rsidRPr="0053351E" w:rsidRDefault="001F3AE8" w:rsidP="001F3AE8">
            <w:pPr>
              <w:rPr>
                <w:sz w:val="18"/>
                <w:szCs w:val="18"/>
                <w:lang w:val="en-GB"/>
              </w:rPr>
            </w:pPr>
            <w:r w:rsidRPr="0053351E">
              <w:rPr>
                <w:sz w:val="18"/>
                <w:szCs w:val="18"/>
                <w:lang w:val="en-GB"/>
              </w:rPr>
              <w:t>Policy change largely explained exogenously (original definition) as a response to ‘exogenous shocks’ to policy environment</w:t>
            </w:r>
          </w:p>
        </w:tc>
        <w:tc>
          <w:tcPr>
            <w:tcW w:w="2478" w:type="dxa"/>
            <w:tcBorders>
              <w:top w:val="single" w:sz="4" w:space="0" w:color="auto"/>
              <w:bottom w:val="single" w:sz="4" w:space="0" w:color="auto"/>
            </w:tcBorders>
          </w:tcPr>
          <w:p w:rsidR="001F3AE8" w:rsidRPr="0053351E" w:rsidRDefault="001F3AE8" w:rsidP="001F3AE8">
            <w:pPr>
              <w:rPr>
                <w:i/>
                <w:sz w:val="18"/>
                <w:szCs w:val="18"/>
                <w:lang w:val="en-GB"/>
              </w:rPr>
            </w:pPr>
            <w:r w:rsidRPr="0053351E">
              <w:rPr>
                <w:sz w:val="18"/>
                <w:szCs w:val="18"/>
                <w:lang w:val="en-GB"/>
              </w:rPr>
              <w:t>Endogenous factors of policy change less explored; that is, interaction among actors (learning) within/between coalitions in a policy process</w:t>
            </w:r>
          </w:p>
        </w:tc>
      </w:tr>
      <w:tr w:rsidR="001F3AE8" w:rsidRPr="0053351E" w:rsidTr="001F3AE8">
        <w:trPr>
          <w:cantSplit/>
          <w:trHeight w:val="803"/>
        </w:trPr>
        <w:tc>
          <w:tcPr>
            <w:tcW w:w="1659" w:type="dxa"/>
            <w:tcBorders>
              <w:top w:val="single" w:sz="4" w:space="0" w:color="auto"/>
            </w:tcBorders>
          </w:tcPr>
          <w:p w:rsidR="001F3AE8" w:rsidRPr="0053351E" w:rsidRDefault="001F3AE8" w:rsidP="001F3AE8">
            <w:pPr>
              <w:rPr>
                <w:b/>
                <w:sz w:val="18"/>
                <w:szCs w:val="18"/>
                <w:lang w:val="en-GB"/>
              </w:rPr>
            </w:pPr>
            <w:r w:rsidRPr="0053351E">
              <w:rPr>
                <w:b/>
                <w:sz w:val="18"/>
                <w:szCs w:val="18"/>
                <w:lang w:val="en-GB"/>
              </w:rPr>
              <w:t xml:space="preserve">Communities of </w:t>
            </w:r>
            <w:proofErr w:type="spellStart"/>
            <w:r w:rsidRPr="0053351E">
              <w:rPr>
                <w:b/>
                <w:sz w:val="18"/>
                <w:szCs w:val="18"/>
                <w:lang w:val="en-GB"/>
              </w:rPr>
              <w:t>Practice</w:t>
            </w:r>
            <w:r w:rsidRPr="0053351E">
              <w:rPr>
                <w:b/>
                <w:sz w:val="18"/>
                <w:szCs w:val="18"/>
                <w:vertAlign w:val="superscript"/>
                <w:lang w:val="en-GB"/>
              </w:rPr>
              <w:t>c</w:t>
            </w:r>
            <w:proofErr w:type="spellEnd"/>
          </w:p>
        </w:tc>
        <w:tc>
          <w:tcPr>
            <w:tcW w:w="2477" w:type="dxa"/>
            <w:tcBorders>
              <w:top w:val="single" w:sz="4" w:space="0" w:color="auto"/>
            </w:tcBorders>
          </w:tcPr>
          <w:p w:rsidR="001F3AE8" w:rsidRPr="0053351E" w:rsidRDefault="001F3AE8" w:rsidP="001F3AE8">
            <w:pPr>
              <w:rPr>
                <w:sz w:val="18"/>
                <w:szCs w:val="18"/>
                <w:lang w:val="en-GB"/>
              </w:rPr>
            </w:pPr>
            <w:r w:rsidRPr="0053351E">
              <w:rPr>
                <w:sz w:val="18"/>
                <w:szCs w:val="18"/>
                <w:lang w:val="en-GB"/>
              </w:rPr>
              <w:t>Structured on a shared ‘way of doing things’ – on mutually defining identities, codes of practice and shared discourses; flexible and dynamic therefore difficult to identify precisely</w:t>
            </w:r>
          </w:p>
        </w:tc>
        <w:tc>
          <w:tcPr>
            <w:tcW w:w="2478" w:type="dxa"/>
            <w:tcBorders>
              <w:top w:val="single" w:sz="4" w:space="0" w:color="auto"/>
            </w:tcBorders>
          </w:tcPr>
          <w:p w:rsidR="001F3AE8" w:rsidRPr="0053351E" w:rsidRDefault="001F3AE8" w:rsidP="001F3AE8">
            <w:pPr>
              <w:rPr>
                <w:sz w:val="18"/>
                <w:szCs w:val="18"/>
                <w:lang w:val="en-GB"/>
              </w:rPr>
            </w:pPr>
            <w:r w:rsidRPr="0053351E">
              <w:rPr>
                <w:sz w:val="18"/>
                <w:szCs w:val="18"/>
                <w:lang w:val="en-GB"/>
              </w:rPr>
              <w:t>Diverse actors, engaging in a task, job or profession (field of practice); organizations</w:t>
            </w:r>
          </w:p>
        </w:tc>
        <w:tc>
          <w:tcPr>
            <w:tcW w:w="2478" w:type="dxa"/>
            <w:tcBorders>
              <w:top w:val="single" w:sz="4" w:space="0" w:color="auto"/>
            </w:tcBorders>
          </w:tcPr>
          <w:p w:rsidR="001F3AE8" w:rsidRPr="0053351E" w:rsidRDefault="001F3AE8" w:rsidP="001F3AE8">
            <w:pPr>
              <w:rPr>
                <w:sz w:val="18"/>
                <w:szCs w:val="18"/>
                <w:lang w:val="en-GB"/>
              </w:rPr>
            </w:pPr>
            <w:r w:rsidRPr="0053351E">
              <w:rPr>
                <w:sz w:val="18"/>
                <w:szCs w:val="18"/>
                <w:lang w:val="en-GB"/>
              </w:rPr>
              <w:t>Knowledge remains largely abstract</w:t>
            </w:r>
          </w:p>
        </w:tc>
        <w:tc>
          <w:tcPr>
            <w:tcW w:w="2478" w:type="dxa"/>
            <w:tcBorders>
              <w:top w:val="single" w:sz="4" w:space="0" w:color="auto"/>
            </w:tcBorders>
          </w:tcPr>
          <w:p w:rsidR="001F3AE8" w:rsidRPr="0053351E" w:rsidRDefault="001F3AE8" w:rsidP="001F3AE8">
            <w:pPr>
              <w:rPr>
                <w:sz w:val="18"/>
                <w:szCs w:val="18"/>
                <w:lang w:val="en-GB"/>
              </w:rPr>
            </w:pPr>
            <w:r w:rsidRPr="0053351E">
              <w:rPr>
                <w:sz w:val="18"/>
                <w:szCs w:val="18"/>
                <w:lang w:val="en-GB"/>
              </w:rPr>
              <w:t xml:space="preserve">Knowledge has a role in processes of participation, identity-construction and practice </w:t>
            </w:r>
            <w:r w:rsidRPr="0053351E">
              <w:rPr>
                <w:i/>
                <w:sz w:val="18"/>
                <w:szCs w:val="18"/>
                <w:lang w:val="en-GB"/>
              </w:rPr>
              <w:t xml:space="preserve">within </w:t>
            </w:r>
            <w:r w:rsidRPr="0053351E">
              <w:rPr>
                <w:sz w:val="18"/>
                <w:szCs w:val="18"/>
                <w:lang w:val="en-GB"/>
              </w:rPr>
              <w:t>the community</w:t>
            </w:r>
          </w:p>
        </w:tc>
        <w:tc>
          <w:tcPr>
            <w:tcW w:w="2478" w:type="dxa"/>
            <w:tcBorders>
              <w:top w:val="single" w:sz="4" w:space="0" w:color="auto"/>
            </w:tcBorders>
          </w:tcPr>
          <w:p w:rsidR="001F3AE8" w:rsidRPr="0053351E" w:rsidRDefault="001F3AE8" w:rsidP="001F3AE8">
            <w:pPr>
              <w:rPr>
                <w:sz w:val="18"/>
                <w:szCs w:val="18"/>
                <w:lang w:val="en-GB"/>
              </w:rPr>
            </w:pPr>
            <w:r w:rsidRPr="0053351E">
              <w:rPr>
                <w:sz w:val="18"/>
                <w:szCs w:val="18"/>
                <w:lang w:val="en-GB"/>
              </w:rPr>
              <w:t xml:space="preserve">Power, trust and predispositions, and size, spatial reach and nature ill-defined; lure of ‘community’ obscures fluidity / heterogeneity within </w:t>
            </w:r>
            <w:proofErr w:type="spellStart"/>
            <w:r w:rsidRPr="0053351E">
              <w:rPr>
                <w:sz w:val="18"/>
                <w:szCs w:val="18"/>
                <w:lang w:val="en-GB"/>
              </w:rPr>
              <w:t>CoPs</w:t>
            </w:r>
            <w:proofErr w:type="spellEnd"/>
            <w:r w:rsidRPr="0053351E">
              <w:rPr>
                <w:sz w:val="18"/>
                <w:szCs w:val="18"/>
                <w:lang w:val="en-GB"/>
              </w:rPr>
              <w:t>, their links with other actors and different contexts</w:t>
            </w:r>
          </w:p>
        </w:tc>
      </w:tr>
      <w:tr w:rsidR="001F3AE8" w:rsidRPr="0053351E" w:rsidTr="001F3AE8">
        <w:trPr>
          <w:cantSplit/>
          <w:trHeight w:val="128"/>
        </w:trPr>
        <w:tc>
          <w:tcPr>
            <w:tcW w:w="14048" w:type="dxa"/>
            <w:gridSpan w:val="6"/>
            <w:tcBorders>
              <w:top w:val="single" w:sz="4" w:space="0" w:color="auto"/>
              <w:bottom w:val="single" w:sz="4" w:space="0" w:color="auto"/>
            </w:tcBorders>
          </w:tcPr>
          <w:p w:rsidR="001F3AE8" w:rsidRPr="0053351E" w:rsidRDefault="001F3AE8" w:rsidP="001F3AE8">
            <w:pPr>
              <w:rPr>
                <w:iCs/>
                <w:sz w:val="18"/>
                <w:szCs w:val="18"/>
                <w:lang w:val="en-GB"/>
              </w:rPr>
            </w:pPr>
            <w:r w:rsidRPr="0053351E">
              <w:rPr>
                <w:i/>
                <w:iCs/>
                <w:sz w:val="18"/>
                <w:szCs w:val="18"/>
                <w:lang w:val="en-GB"/>
              </w:rPr>
              <w:t>Source</w:t>
            </w:r>
            <w:r w:rsidRPr="0053351E">
              <w:rPr>
                <w:iCs/>
                <w:sz w:val="18"/>
                <w:szCs w:val="18"/>
                <w:lang w:val="en-GB"/>
              </w:rPr>
              <w:t>: Own elaboration</w:t>
            </w:r>
          </w:p>
        </w:tc>
      </w:tr>
      <w:tr w:rsidR="001F3AE8" w:rsidRPr="0053351E" w:rsidTr="001F3AE8">
        <w:trPr>
          <w:cantSplit/>
          <w:trHeight w:val="1551"/>
        </w:trPr>
        <w:tc>
          <w:tcPr>
            <w:tcW w:w="14048" w:type="dxa"/>
            <w:gridSpan w:val="6"/>
            <w:tcBorders>
              <w:top w:val="single" w:sz="4" w:space="0" w:color="auto"/>
            </w:tcBorders>
          </w:tcPr>
          <w:p w:rsidR="001F3AE8" w:rsidRPr="0053351E" w:rsidRDefault="001F3AE8" w:rsidP="001F3AE8">
            <w:pPr>
              <w:rPr>
                <w:iCs/>
                <w:sz w:val="18"/>
                <w:szCs w:val="18"/>
                <w:lang w:val="en-GB"/>
              </w:rPr>
            </w:pPr>
            <w:r w:rsidRPr="0053351E">
              <w:rPr>
                <w:i/>
                <w:iCs/>
                <w:sz w:val="18"/>
                <w:szCs w:val="18"/>
                <w:lang w:val="en-GB"/>
              </w:rPr>
              <w:t>Notes</w:t>
            </w:r>
            <w:r w:rsidRPr="0053351E">
              <w:rPr>
                <w:iCs/>
                <w:sz w:val="18"/>
                <w:szCs w:val="18"/>
                <w:lang w:val="en-GB"/>
              </w:rPr>
              <w:t>:</w:t>
            </w:r>
          </w:p>
          <w:p w:rsidR="001F3AE8" w:rsidRPr="0053351E" w:rsidRDefault="001F3AE8" w:rsidP="001F3AE8">
            <w:pPr>
              <w:rPr>
                <w:iCs/>
                <w:sz w:val="18"/>
                <w:szCs w:val="18"/>
                <w:lang w:val="en-GB"/>
              </w:rPr>
            </w:pPr>
            <w:r w:rsidRPr="0053351E">
              <w:rPr>
                <w:iCs/>
                <w:sz w:val="18"/>
                <w:szCs w:val="18"/>
                <w:vertAlign w:val="superscript"/>
                <w:lang w:val="en-GB"/>
              </w:rPr>
              <w:t>a</w:t>
            </w:r>
            <w:r w:rsidRPr="0053351E">
              <w:rPr>
                <w:iCs/>
                <w:sz w:val="18"/>
                <w:szCs w:val="18"/>
                <w:lang w:val="en-GB"/>
              </w:rPr>
              <w:t xml:space="preserve"> Above based on interpretation of ‘epistemic communities’ by Peter Haas (1992, 2004); c.f. Ernst Haas’ (1990) usage of concept, which places emphasis on extra-community ‘reality tests’ consistent with the view argued in this book in terms of learning and conflict within and between different communities of actors or ‘territorial knowledge communities’.</w:t>
            </w:r>
          </w:p>
          <w:p w:rsidR="001F3AE8" w:rsidRPr="0053351E" w:rsidRDefault="001F3AE8" w:rsidP="001F3AE8">
            <w:pPr>
              <w:rPr>
                <w:sz w:val="18"/>
                <w:szCs w:val="18"/>
                <w:lang w:val="en-GB"/>
              </w:rPr>
            </w:pPr>
            <w:r w:rsidRPr="0053351E">
              <w:rPr>
                <w:sz w:val="18"/>
                <w:szCs w:val="18"/>
                <w:vertAlign w:val="superscript"/>
                <w:lang w:val="en-GB"/>
              </w:rPr>
              <w:t xml:space="preserve">b </w:t>
            </w:r>
            <w:r w:rsidRPr="0053351E">
              <w:rPr>
                <w:sz w:val="18"/>
                <w:szCs w:val="18"/>
                <w:lang w:val="en-GB"/>
              </w:rPr>
              <w:t xml:space="preserve">See </w:t>
            </w:r>
            <w:proofErr w:type="spellStart"/>
            <w:r w:rsidRPr="0053351E">
              <w:rPr>
                <w:sz w:val="18"/>
                <w:szCs w:val="18"/>
                <w:lang w:val="en-GB"/>
              </w:rPr>
              <w:t>Radaelli</w:t>
            </w:r>
            <w:proofErr w:type="spellEnd"/>
            <w:r w:rsidRPr="0053351E">
              <w:rPr>
                <w:sz w:val="18"/>
                <w:szCs w:val="18"/>
                <w:lang w:val="en-GB"/>
              </w:rPr>
              <w:t xml:space="preserve"> (1999: 768) on ‘exogenous shocks’ and learning within the policy process and </w:t>
            </w:r>
            <w:proofErr w:type="spellStart"/>
            <w:r w:rsidRPr="0053351E">
              <w:rPr>
                <w:sz w:val="18"/>
                <w:szCs w:val="18"/>
                <w:lang w:val="en-GB"/>
              </w:rPr>
              <w:t>Meijerink</w:t>
            </w:r>
            <w:proofErr w:type="spellEnd"/>
            <w:r w:rsidRPr="0053351E">
              <w:rPr>
                <w:sz w:val="18"/>
                <w:szCs w:val="18"/>
                <w:lang w:val="en-GB"/>
              </w:rPr>
              <w:t xml:space="preserve"> (2005: 1062) on unresponsive coalitions resistant to change and conditions for learning between coalitions; c.f. Sabatier and Jenkins-Smith </w:t>
            </w:r>
            <w:r w:rsidR="009E2E53" w:rsidRPr="0053351E">
              <w:rPr>
                <w:sz w:val="18"/>
                <w:szCs w:val="18"/>
                <w:lang w:val="en-GB"/>
              </w:rPr>
              <w:t xml:space="preserve">(1993; </w:t>
            </w:r>
            <w:r w:rsidRPr="0053351E">
              <w:rPr>
                <w:sz w:val="18"/>
                <w:szCs w:val="18"/>
                <w:lang w:val="en-GB"/>
              </w:rPr>
              <w:t>original definition) and Sabatier (1998) for redress of largely exogenous explanation of policy change.</w:t>
            </w:r>
          </w:p>
          <w:p w:rsidR="001F3AE8" w:rsidRPr="0053351E" w:rsidRDefault="001F3AE8" w:rsidP="001F3AE8">
            <w:pPr>
              <w:rPr>
                <w:sz w:val="18"/>
                <w:szCs w:val="18"/>
                <w:lang w:val="en-GB"/>
              </w:rPr>
            </w:pPr>
            <w:r w:rsidRPr="0053351E">
              <w:rPr>
                <w:sz w:val="18"/>
                <w:szCs w:val="18"/>
                <w:vertAlign w:val="superscript"/>
                <w:lang w:val="en-GB"/>
              </w:rPr>
              <w:t>c</w:t>
            </w:r>
            <w:r w:rsidRPr="0053351E">
              <w:rPr>
                <w:sz w:val="18"/>
                <w:szCs w:val="18"/>
                <w:lang w:val="en-GB"/>
              </w:rPr>
              <w:t xml:space="preserve"> Roberts (2006); Handley</w:t>
            </w:r>
            <w:r w:rsidR="009E33E3">
              <w:rPr>
                <w:sz w:val="18"/>
                <w:szCs w:val="18"/>
                <w:lang w:val="en-GB"/>
              </w:rPr>
              <w:t xml:space="preserve"> </w:t>
            </w:r>
            <w:r w:rsidR="009E33E3" w:rsidRPr="00FD3A65">
              <w:rPr>
                <w:i/>
                <w:sz w:val="18"/>
                <w:szCs w:val="18"/>
                <w:lang w:val="en-GB"/>
              </w:rPr>
              <w:t>et al</w:t>
            </w:r>
            <w:r w:rsidRPr="0053351E">
              <w:rPr>
                <w:sz w:val="18"/>
                <w:szCs w:val="18"/>
                <w:lang w:val="en-GB"/>
              </w:rPr>
              <w:t xml:space="preserve"> (2006); see also flexible, shifting and porous nature of the boundaries on communities of practice in 'networks of practice' (Brown and </w:t>
            </w:r>
            <w:proofErr w:type="spellStart"/>
            <w:r w:rsidRPr="0053351E">
              <w:rPr>
                <w:sz w:val="18"/>
                <w:szCs w:val="18"/>
                <w:lang w:val="en-GB"/>
              </w:rPr>
              <w:t>Duguid</w:t>
            </w:r>
            <w:proofErr w:type="spellEnd"/>
            <w:r w:rsidRPr="0053351E">
              <w:rPr>
                <w:sz w:val="18"/>
                <w:szCs w:val="18"/>
                <w:lang w:val="en-GB"/>
              </w:rPr>
              <w:t xml:space="preserve"> 2001) 'constellations of practice' (Roberts 2006:631); and links between local knowledge and expert knowledge (</w:t>
            </w:r>
            <w:proofErr w:type="spellStart"/>
            <w:r w:rsidRPr="0053351E">
              <w:rPr>
                <w:sz w:val="18"/>
                <w:szCs w:val="18"/>
                <w:lang w:val="en-GB"/>
              </w:rPr>
              <w:t>Yanow</w:t>
            </w:r>
            <w:proofErr w:type="spellEnd"/>
            <w:r w:rsidRPr="0053351E">
              <w:rPr>
                <w:sz w:val="18"/>
                <w:szCs w:val="18"/>
                <w:lang w:val="en-GB"/>
              </w:rPr>
              <w:t xml:space="preserve"> 2004) and change and innovation of shared ‘ways of doing’ things (Fox 2000)</w:t>
            </w:r>
          </w:p>
        </w:tc>
      </w:tr>
    </w:tbl>
    <w:p w:rsidR="007C4B26" w:rsidRPr="0053351E" w:rsidRDefault="007C4B26" w:rsidP="007C4B2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jc w:val="both"/>
        <w:rPr>
          <w:sz w:val="18"/>
          <w:szCs w:val="18"/>
          <w:lang w:val="en-GB"/>
        </w:rPr>
      </w:pPr>
      <w:r w:rsidRPr="0053351E">
        <w:rPr>
          <w:sz w:val="18"/>
          <w:szCs w:val="18"/>
          <w:lang w:val="en-GB"/>
        </w:rPr>
        <w:t>Source: Adams, et al 2011</w:t>
      </w:r>
    </w:p>
    <w:p w:rsidR="001F3AE8" w:rsidRPr="0053351E" w:rsidRDefault="001F3AE8" w:rsidP="0015130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jc w:val="both"/>
        <w:rPr>
          <w:sz w:val="18"/>
          <w:szCs w:val="18"/>
          <w:lang w:val="en-GB"/>
        </w:rPr>
        <w:sectPr w:rsidR="001F3AE8" w:rsidRPr="0053351E" w:rsidSect="00ED6441">
          <w:pgSz w:w="16840" w:h="11900" w:orient="landscape"/>
          <w:pgMar w:top="1418" w:right="1418" w:bottom="1418" w:left="1134" w:header="709" w:footer="709" w:gutter="0"/>
          <w:cols w:space="720"/>
        </w:sectPr>
      </w:pPr>
    </w:p>
    <w:p w:rsidR="00151303" w:rsidRPr="0053351E" w:rsidRDefault="00151303" w:rsidP="00151303">
      <w:pPr>
        <w:pStyle w:val="Didascalia"/>
        <w:spacing w:after="60"/>
        <w:rPr>
          <w:b w:val="0"/>
          <w:sz w:val="18"/>
          <w:szCs w:val="18"/>
          <w:lang w:val="en-GB"/>
        </w:rPr>
      </w:pPr>
      <w:r w:rsidRPr="0053351E">
        <w:rPr>
          <w:b w:val="0"/>
          <w:i/>
          <w:sz w:val="18"/>
          <w:szCs w:val="18"/>
          <w:lang w:val="en-GB"/>
        </w:rPr>
        <w:lastRenderedPageBreak/>
        <w:t xml:space="preserve">Table </w:t>
      </w:r>
      <w:r w:rsidR="00D31807" w:rsidRPr="0053351E">
        <w:rPr>
          <w:b w:val="0"/>
          <w:i/>
          <w:sz w:val="18"/>
          <w:szCs w:val="18"/>
          <w:lang w:val="en-GB"/>
        </w:rPr>
        <w:t>3</w:t>
      </w:r>
      <w:r w:rsidRPr="0053351E">
        <w:rPr>
          <w:b w:val="0"/>
          <w:sz w:val="18"/>
          <w:szCs w:val="18"/>
          <w:lang w:val="en-GB"/>
        </w:rPr>
        <w:t>. Commonalities and differences in the Estonian, Latvian and Lithuanian national responses to the Green Paper on territorial cohesion</w:t>
      </w:r>
    </w:p>
    <w:tbl>
      <w:tblPr>
        <w:tblpPr w:leftFromText="180" w:rightFromText="180" w:vertAnchor="text" w:tblpY="1"/>
        <w:tblOverlap w:val="never"/>
        <w:tblW w:w="9322" w:type="dxa"/>
        <w:tblLook w:val="04A0" w:firstRow="1" w:lastRow="0" w:firstColumn="1" w:lastColumn="0" w:noHBand="0" w:noVBand="1"/>
      </w:tblPr>
      <w:tblGrid>
        <w:gridCol w:w="1585"/>
        <w:gridCol w:w="3201"/>
        <w:gridCol w:w="4536"/>
      </w:tblGrid>
      <w:tr w:rsidR="00F56640" w:rsidRPr="0053351E" w:rsidTr="009E2E53">
        <w:trPr>
          <w:trHeight w:val="232"/>
        </w:trPr>
        <w:tc>
          <w:tcPr>
            <w:tcW w:w="1585" w:type="dxa"/>
            <w:tcBorders>
              <w:top w:val="single" w:sz="4" w:space="0" w:color="auto"/>
              <w:bottom w:val="single" w:sz="4" w:space="0" w:color="auto"/>
            </w:tcBorders>
          </w:tcPr>
          <w:p w:rsidR="00F56640" w:rsidRPr="0053351E" w:rsidRDefault="00F56640">
            <w:pPr>
              <w:spacing w:before="60" w:after="60"/>
              <w:jc w:val="center"/>
              <w:rPr>
                <w:b/>
                <w:sz w:val="18"/>
                <w:szCs w:val="18"/>
                <w:lang w:val="en-GB"/>
              </w:rPr>
            </w:pPr>
            <w:r w:rsidRPr="0053351E">
              <w:rPr>
                <w:b/>
                <w:sz w:val="18"/>
                <w:szCs w:val="18"/>
                <w:lang w:val="en-GB"/>
              </w:rPr>
              <w:t>Theme</w:t>
            </w:r>
          </w:p>
        </w:tc>
        <w:tc>
          <w:tcPr>
            <w:tcW w:w="3201" w:type="dxa"/>
            <w:tcBorders>
              <w:top w:val="single" w:sz="4" w:space="0" w:color="auto"/>
              <w:bottom w:val="single" w:sz="4" w:space="0" w:color="auto"/>
            </w:tcBorders>
          </w:tcPr>
          <w:p w:rsidR="00F56640" w:rsidRPr="0053351E" w:rsidRDefault="00F56640">
            <w:pPr>
              <w:spacing w:before="60" w:after="60"/>
              <w:jc w:val="center"/>
              <w:rPr>
                <w:b/>
                <w:sz w:val="18"/>
                <w:szCs w:val="18"/>
                <w:lang w:val="en-GB"/>
              </w:rPr>
            </w:pPr>
            <w:r w:rsidRPr="0053351E">
              <w:rPr>
                <w:b/>
                <w:sz w:val="18"/>
                <w:szCs w:val="18"/>
                <w:lang w:val="en-GB"/>
              </w:rPr>
              <w:t>Commonalities between all national responses</w:t>
            </w:r>
          </w:p>
        </w:tc>
        <w:tc>
          <w:tcPr>
            <w:tcW w:w="4536" w:type="dxa"/>
            <w:tcBorders>
              <w:top w:val="single" w:sz="4" w:space="0" w:color="auto"/>
              <w:bottom w:val="single" w:sz="4" w:space="0" w:color="auto"/>
            </w:tcBorders>
          </w:tcPr>
          <w:p w:rsidR="00F56640" w:rsidRPr="0053351E" w:rsidRDefault="00F56640">
            <w:pPr>
              <w:spacing w:before="60" w:after="60"/>
              <w:jc w:val="center"/>
              <w:rPr>
                <w:b/>
                <w:sz w:val="18"/>
                <w:szCs w:val="18"/>
                <w:lang w:val="en-GB"/>
              </w:rPr>
            </w:pPr>
            <w:r w:rsidRPr="0053351E">
              <w:rPr>
                <w:b/>
                <w:sz w:val="18"/>
                <w:szCs w:val="18"/>
                <w:lang w:val="en-GB"/>
              </w:rPr>
              <w:t>Country specific recommendations and practical measures</w:t>
            </w:r>
          </w:p>
        </w:tc>
      </w:tr>
      <w:tr w:rsidR="00F56640" w:rsidRPr="0053351E" w:rsidTr="009E2E53">
        <w:tc>
          <w:tcPr>
            <w:tcW w:w="1585" w:type="dxa"/>
            <w:tcBorders>
              <w:top w:val="single" w:sz="4" w:space="0" w:color="auto"/>
            </w:tcBorders>
          </w:tcPr>
          <w:p w:rsidR="00F56640" w:rsidRPr="0053351E" w:rsidRDefault="00F56640">
            <w:pPr>
              <w:spacing w:before="60" w:after="60"/>
              <w:rPr>
                <w:b/>
                <w:sz w:val="18"/>
                <w:szCs w:val="18"/>
                <w:lang w:val="en-GB"/>
              </w:rPr>
            </w:pPr>
            <w:r w:rsidRPr="0053351E">
              <w:rPr>
                <w:b/>
                <w:sz w:val="18"/>
                <w:szCs w:val="18"/>
                <w:lang w:val="en-GB"/>
              </w:rPr>
              <w:t>Definition and overall attitude to territorial cohesion</w:t>
            </w:r>
          </w:p>
        </w:tc>
        <w:tc>
          <w:tcPr>
            <w:tcW w:w="3201" w:type="dxa"/>
            <w:tcBorders>
              <w:top w:val="single" w:sz="4" w:space="0" w:color="auto"/>
            </w:tcBorders>
          </w:tcPr>
          <w:p w:rsidR="00F56640" w:rsidRPr="0053351E" w:rsidRDefault="00F56640">
            <w:pPr>
              <w:spacing w:before="60" w:after="60"/>
              <w:rPr>
                <w:sz w:val="18"/>
                <w:szCs w:val="18"/>
                <w:lang w:val="en-GB"/>
              </w:rPr>
            </w:pPr>
            <w:r w:rsidRPr="0053351E">
              <w:rPr>
                <w:sz w:val="18"/>
                <w:szCs w:val="18"/>
                <w:lang w:val="en-GB"/>
              </w:rPr>
              <w:t xml:space="preserve">Identification of similar range of themes encapsulated in the concept </w:t>
            </w:r>
          </w:p>
          <w:p w:rsidR="00F56640" w:rsidRPr="0053351E" w:rsidRDefault="00F56640">
            <w:pPr>
              <w:spacing w:before="60" w:after="60"/>
              <w:rPr>
                <w:sz w:val="18"/>
                <w:szCs w:val="18"/>
                <w:lang w:val="en-GB"/>
              </w:rPr>
            </w:pPr>
            <w:r w:rsidRPr="0053351E">
              <w:rPr>
                <w:sz w:val="18"/>
                <w:szCs w:val="18"/>
                <w:lang w:val="en-GB"/>
              </w:rPr>
              <w:t>Positive attitude to the concept</w:t>
            </w:r>
          </w:p>
        </w:tc>
        <w:tc>
          <w:tcPr>
            <w:tcW w:w="4536" w:type="dxa"/>
            <w:tcBorders>
              <w:top w:val="single" w:sz="4" w:space="0" w:color="auto"/>
            </w:tcBorders>
          </w:tcPr>
          <w:p w:rsidR="00F56640" w:rsidRPr="0053351E" w:rsidRDefault="00F56640">
            <w:pPr>
              <w:spacing w:before="60" w:after="60"/>
              <w:rPr>
                <w:sz w:val="18"/>
                <w:szCs w:val="18"/>
                <w:lang w:val="en-GB"/>
              </w:rPr>
            </w:pPr>
          </w:p>
        </w:tc>
      </w:tr>
      <w:tr w:rsidR="00F56640" w:rsidRPr="0053351E" w:rsidTr="009E2E53">
        <w:tc>
          <w:tcPr>
            <w:tcW w:w="1585" w:type="dxa"/>
            <w:tcBorders>
              <w:bottom w:val="single" w:sz="4" w:space="0" w:color="auto"/>
            </w:tcBorders>
          </w:tcPr>
          <w:p w:rsidR="00F56640" w:rsidRPr="0053351E" w:rsidRDefault="00F56640">
            <w:pPr>
              <w:spacing w:before="60" w:after="60"/>
              <w:rPr>
                <w:b/>
                <w:sz w:val="18"/>
                <w:szCs w:val="18"/>
                <w:lang w:val="en-GB"/>
              </w:rPr>
            </w:pPr>
          </w:p>
        </w:tc>
        <w:tc>
          <w:tcPr>
            <w:tcW w:w="3201" w:type="dxa"/>
            <w:tcBorders>
              <w:bottom w:val="single" w:sz="4" w:space="0" w:color="auto"/>
            </w:tcBorders>
          </w:tcPr>
          <w:p w:rsidR="00F56640" w:rsidRPr="0053351E" w:rsidRDefault="00F56640">
            <w:pPr>
              <w:spacing w:before="60" w:after="60"/>
              <w:rPr>
                <w:sz w:val="18"/>
                <w:szCs w:val="18"/>
                <w:lang w:val="en-GB"/>
              </w:rPr>
            </w:pPr>
            <w:r w:rsidRPr="0053351E">
              <w:rPr>
                <w:sz w:val="18"/>
                <w:szCs w:val="18"/>
                <w:lang w:val="en-GB"/>
              </w:rPr>
              <w:t xml:space="preserve">Strong link to quality of life and access to services of general interest </w:t>
            </w:r>
          </w:p>
        </w:tc>
        <w:tc>
          <w:tcPr>
            <w:tcW w:w="4536" w:type="dxa"/>
            <w:tcBorders>
              <w:bottom w:val="single" w:sz="4" w:space="0" w:color="auto"/>
            </w:tcBorders>
          </w:tcPr>
          <w:p w:rsidR="00F56640" w:rsidRPr="0053351E" w:rsidRDefault="00F56640">
            <w:pPr>
              <w:spacing w:before="60" w:after="60"/>
              <w:rPr>
                <w:sz w:val="18"/>
                <w:szCs w:val="18"/>
                <w:lang w:val="en-GB"/>
              </w:rPr>
            </w:pPr>
            <w:r w:rsidRPr="0053351E">
              <w:rPr>
                <w:b/>
                <w:sz w:val="18"/>
                <w:szCs w:val="18"/>
                <w:lang w:val="en-GB"/>
              </w:rPr>
              <w:t>Latvian</w:t>
            </w:r>
            <w:r w:rsidRPr="0053351E">
              <w:rPr>
                <w:sz w:val="18"/>
                <w:szCs w:val="18"/>
                <w:lang w:val="en-GB"/>
              </w:rPr>
              <w:t xml:space="preserve"> response emphasises equal access whereas </w:t>
            </w:r>
            <w:r w:rsidRPr="0053351E">
              <w:rPr>
                <w:b/>
                <w:sz w:val="18"/>
                <w:szCs w:val="18"/>
                <w:lang w:val="en-GB"/>
              </w:rPr>
              <w:t>Estonian</w:t>
            </w:r>
            <w:r w:rsidRPr="0053351E">
              <w:rPr>
                <w:sz w:val="18"/>
                <w:szCs w:val="18"/>
                <w:lang w:val="en-GB"/>
              </w:rPr>
              <w:t xml:space="preserve"> response advocates fair access.</w:t>
            </w:r>
          </w:p>
        </w:tc>
      </w:tr>
      <w:tr w:rsidR="00F56640" w:rsidRPr="0053351E" w:rsidTr="009E2E53">
        <w:tc>
          <w:tcPr>
            <w:tcW w:w="1585" w:type="dxa"/>
            <w:tcBorders>
              <w:top w:val="single" w:sz="4" w:space="0" w:color="auto"/>
            </w:tcBorders>
          </w:tcPr>
          <w:p w:rsidR="00F56640" w:rsidRPr="0053351E" w:rsidRDefault="00F56640">
            <w:pPr>
              <w:spacing w:before="60" w:after="60"/>
              <w:rPr>
                <w:b/>
                <w:sz w:val="18"/>
                <w:szCs w:val="18"/>
                <w:lang w:val="en-GB"/>
              </w:rPr>
            </w:pPr>
            <w:r w:rsidRPr="0053351E">
              <w:rPr>
                <w:b/>
                <w:sz w:val="18"/>
                <w:szCs w:val="18"/>
                <w:lang w:val="en-GB"/>
              </w:rPr>
              <w:t>Scale and scope of territorial action</w:t>
            </w:r>
          </w:p>
        </w:tc>
        <w:tc>
          <w:tcPr>
            <w:tcW w:w="3201" w:type="dxa"/>
            <w:tcBorders>
              <w:top w:val="single" w:sz="4" w:space="0" w:color="auto"/>
            </w:tcBorders>
          </w:tcPr>
          <w:p w:rsidR="00F56640" w:rsidRPr="0053351E" w:rsidRDefault="00F56640">
            <w:pPr>
              <w:spacing w:before="60" w:after="60"/>
              <w:rPr>
                <w:sz w:val="18"/>
                <w:szCs w:val="18"/>
                <w:lang w:val="en-GB"/>
              </w:rPr>
            </w:pPr>
            <w:r w:rsidRPr="0053351E">
              <w:rPr>
                <w:sz w:val="18"/>
                <w:szCs w:val="18"/>
                <w:lang w:val="en-GB"/>
              </w:rPr>
              <w:t xml:space="preserve">Importance of subsidiarity </w:t>
            </w:r>
          </w:p>
        </w:tc>
        <w:tc>
          <w:tcPr>
            <w:tcW w:w="4536" w:type="dxa"/>
            <w:tcBorders>
              <w:top w:val="single" w:sz="4" w:space="0" w:color="auto"/>
            </w:tcBorders>
          </w:tcPr>
          <w:p w:rsidR="00F56640" w:rsidRPr="0053351E" w:rsidRDefault="00F56640">
            <w:pPr>
              <w:spacing w:before="60" w:after="60"/>
              <w:rPr>
                <w:sz w:val="18"/>
                <w:szCs w:val="18"/>
                <w:lang w:val="en-GB"/>
              </w:rPr>
            </w:pPr>
            <w:r w:rsidRPr="0053351E">
              <w:rPr>
                <w:b/>
                <w:sz w:val="18"/>
                <w:szCs w:val="18"/>
                <w:lang w:val="en-GB"/>
              </w:rPr>
              <w:t>Lithuanian</w:t>
            </w:r>
            <w:r w:rsidRPr="0053351E">
              <w:rPr>
                <w:sz w:val="18"/>
                <w:szCs w:val="18"/>
                <w:lang w:val="en-GB"/>
              </w:rPr>
              <w:t xml:space="preserve"> response appears to advocate a stronger role for the EU in setting objectives, co-ordination implementation and monitoring</w:t>
            </w:r>
          </w:p>
        </w:tc>
      </w:tr>
      <w:tr w:rsidR="00F56640" w:rsidRPr="0053351E" w:rsidTr="009E2E53">
        <w:tc>
          <w:tcPr>
            <w:tcW w:w="1585" w:type="dxa"/>
          </w:tcPr>
          <w:p w:rsidR="00F56640" w:rsidRPr="0053351E" w:rsidRDefault="00F56640">
            <w:pPr>
              <w:spacing w:before="60" w:after="60"/>
              <w:rPr>
                <w:b/>
                <w:sz w:val="18"/>
                <w:szCs w:val="18"/>
                <w:lang w:val="en-GB"/>
              </w:rPr>
            </w:pPr>
          </w:p>
        </w:tc>
        <w:tc>
          <w:tcPr>
            <w:tcW w:w="3201" w:type="dxa"/>
          </w:tcPr>
          <w:p w:rsidR="00F56640" w:rsidRPr="0053351E" w:rsidRDefault="00F56640">
            <w:pPr>
              <w:spacing w:before="60" w:after="60"/>
              <w:rPr>
                <w:sz w:val="18"/>
                <w:szCs w:val="18"/>
                <w:lang w:val="en-GB"/>
              </w:rPr>
            </w:pPr>
          </w:p>
        </w:tc>
        <w:tc>
          <w:tcPr>
            <w:tcW w:w="4536" w:type="dxa"/>
          </w:tcPr>
          <w:p w:rsidR="00F56640" w:rsidRPr="0053351E" w:rsidRDefault="00F56640">
            <w:pPr>
              <w:spacing w:before="60" w:after="60"/>
              <w:rPr>
                <w:b/>
                <w:sz w:val="18"/>
                <w:szCs w:val="18"/>
                <w:lang w:val="en-GB"/>
              </w:rPr>
            </w:pPr>
            <w:r w:rsidRPr="0053351E">
              <w:rPr>
                <w:b/>
                <w:sz w:val="18"/>
                <w:szCs w:val="18"/>
                <w:lang w:val="en-GB"/>
              </w:rPr>
              <w:t>Estonian</w:t>
            </w:r>
            <w:r w:rsidRPr="0053351E">
              <w:rPr>
                <w:sz w:val="18"/>
                <w:szCs w:val="18"/>
                <w:lang w:val="en-GB"/>
              </w:rPr>
              <w:t xml:space="preserve"> response emphasises the importance of territorial cohesion offering European added value</w:t>
            </w:r>
          </w:p>
        </w:tc>
      </w:tr>
      <w:tr w:rsidR="00F56640" w:rsidRPr="0053351E" w:rsidTr="009E2E53">
        <w:tc>
          <w:tcPr>
            <w:tcW w:w="1585" w:type="dxa"/>
            <w:tcBorders>
              <w:bottom w:val="single" w:sz="4" w:space="0" w:color="auto"/>
            </w:tcBorders>
          </w:tcPr>
          <w:p w:rsidR="00F56640" w:rsidRPr="0053351E" w:rsidRDefault="00F56640">
            <w:pPr>
              <w:spacing w:before="60" w:after="60"/>
              <w:rPr>
                <w:b/>
                <w:sz w:val="18"/>
                <w:szCs w:val="18"/>
                <w:lang w:val="en-GB"/>
              </w:rPr>
            </w:pPr>
          </w:p>
        </w:tc>
        <w:tc>
          <w:tcPr>
            <w:tcW w:w="3201" w:type="dxa"/>
            <w:tcBorders>
              <w:bottom w:val="single" w:sz="4" w:space="0" w:color="auto"/>
            </w:tcBorders>
          </w:tcPr>
          <w:p w:rsidR="00F56640" w:rsidRPr="0053351E" w:rsidRDefault="00F56640">
            <w:pPr>
              <w:spacing w:before="60" w:after="60"/>
              <w:rPr>
                <w:sz w:val="18"/>
                <w:szCs w:val="18"/>
                <w:lang w:val="en-GB"/>
              </w:rPr>
            </w:pPr>
          </w:p>
        </w:tc>
        <w:tc>
          <w:tcPr>
            <w:tcW w:w="4536" w:type="dxa"/>
            <w:tcBorders>
              <w:bottom w:val="single" w:sz="4" w:space="0" w:color="auto"/>
            </w:tcBorders>
          </w:tcPr>
          <w:p w:rsidR="00F56640" w:rsidRPr="0053351E" w:rsidRDefault="00F56640">
            <w:pPr>
              <w:spacing w:before="60" w:after="60"/>
              <w:rPr>
                <w:sz w:val="18"/>
                <w:szCs w:val="18"/>
                <w:lang w:val="en-GB"/>
              </w:rPr>
            </w:pPr>
            <w:r w:rsidRPr="0053351E">
              <w:rPr>
                <w:b/>
                <w:sz w:val="18"/>
                <w:szCs w:val="18"/>
                <w:lang w:val="en-GB"/>
              </w:rPr>
              <w:t>Latvian and Lithuanian</w:t>
            </w:r>
            <w:r w:rsidRPr="0053351E">
              <w:rPr>
                <w:sz w:val="18"/>
                <w:szCs w:val="18"/>
                <w:lang w:val="en-GB"/>
              </w:rPr>
              <w:t xml:space="preserve"> responses emphasise importance of retaining socio-economic characteristics as the basis for allocating EU funding</w:t>
            </w:r>
          </w:p>
        </w:tc>
      </w:tr>
      <w:tr w:rsidR="00F56640" w:rsidRPr="0053351E" w:rsidTr="009E2E53">
        <w:tc>
          <w:tcPr>
            <w:tcW w:w="1585" w:type="dxa"/>
            <w:tcBorders>
              <w:top w:val="single" w:sz="4" w:space="0" w:color="auto"/>
            </w:tcBorders>
          </w:tcPr>
          <w:p w:rsidR="00F56640" w:rsidRPr="0053351E" w:rsidRDefault="00F56640">
            <w:pPr>
              <w:spacing w:before="60" w:after="60"/>
              <w:rPr>
                <w:b/>
                <w:sz w:val="18"/>
                <w:szCs w:val="18"/>
                <w:lang w:val="en-GB"/>
              </w:rPr>
            </w:pPr>
            <w:r w:rsidRPr="0053351E">
              <w:rPr>
                <w:b/>
                <w:sz w:val="18"/>
                <w:szCs w:val="18"/>
                <w:lang w:val="en-GB"/>
              </w:rPr>
              <w:t>Better co-operation and co-ordination</w:t>
            </w:r>
          </w:p>
        </w:tc>
        <w:tc>
          <w:tcPr>
            <w:tcW w:w="3201" w:type="dxa"/>
            <w:tcBorders>
              <w:top w:val="single" w:sz="4" w:space="0" w:color="auto"/>
            </w:tcBorders>
          </w:tcPr>
          <w:p w:rsidR="00F56640" w:rsidRPr="0053351E" w:rsidRDefault="00F56640">
            <w:pPr>
              <w:spacing w:before="60" w:after="60"/>
              <w:rPr>
                <w:sz w:val="18"/>
                <w:szCs w:val="18"/>
                <w:lang w:val="en-GB"/>
              </w:rPr>
            </w:pPr>
            <w:r w:rsidRPr="0053351E">
              <w:rPr>
                <w:sz w:val="18"/>
                <w:szCs w:val="18"/>
                <w:lang w:val="en-GB"/>
              </w:rPr>
              <w:t>Emphasising policy integration and the importance of horizontal and vertical co-operation</w:t>
            </w:r>
          </w:p>
        </w:tc>
        <w:tc>
          <w:tcPr>
            <w:tcW w:w="4536" w:type="dxa"/>
            <w:tcBorders>
              <w:top w:val="single" w:sz="4" w:space="0" w:color="auto"/>
            </w:tcBorders>
          </w:tcPr>
          <w:p w:rsidR="00F56640" w:rsidRPr="0053351E" w:rsidRDefault="00F56640">
            <w:pPr>
              <w:spacing w:before="60" w:after="60"/>
              <w:rPr>
                <w:sz w:val="18"/>
                <w:szCs w:val="18"/>
                <w:lang w:val="en-GB"/>
              </w:rPr>
            </w:pPr>
            <w:r w:rsidRPr="0053351E">
              <w:rPr>
                <w:b/>
                <w:sz w:val="18"/>
                <w:szCs w:val="18"/>
                <w:lang w:val="en-GB"/>
              </w:rPr>
              <w:t>Estonian</w:t>
            </w:r>
            <w:r w:rsidRPr="0053351E">
              <w:rPr>
                <w:sz w:val="18"/>
                <w:szCs w:val="18"/>
                <w:lang w:val="en-GB"/>
              </w:rPr>
              <w:t xml:space="preserve"> and </w:t>
            </w:r>
            <w:r w:rsidRPr="0053351E">
              <w:rPr>
                <w:b/>
                <w:sz w:val="18"/>
                <w:szCs w:val="18"/>
                <w:lang w:val="en-GB"/>
              </w:rPr>
              <w:t>Lithuanian</w:t>
            </w:r>
            <w:r w:rsidRPr="0053351E">
              <w:rPr>
                <w:sz w:val="18"/>
                <w:szCs w:val="18"/>
                <w:lang w:val="en-GB"/>
              </w:rPr>
              <w:t xml:space="preserve"> responses identify the EU Strategy for the BSR as a good example of integrated action </w:t>
            </w:r>
          </w:p>
        </w:tc>
      </w:tr>
      <w:tr w:rsidR="00F56640" w:rsidRPr="0053351E" w:rsidTr="009E2E53">
        <w:tc>
          <w:tcPr>
            <w:tcW w:w="1585" w:type="dxa"/>
          </w:tcPr>
          <w:p w:rsidR="00F56640" w:rsidRPr="0053351E" w:rsidRDefault="00F56640">
            <w:pPr>
              <w:spacing w:before="60" w:after="60"/>
              <w:rPr>
                <w:b/>
                <w:sz w:val="18"/>
                <w:szCs w:val="18"/>
                <w:lang w:val="en-GB"/>
              </w:rPr>
            </w:pPr>
          </w:p>
        </w:tc>
        <w:tc>
          <w:tcPr>
            <w:tcW w:w="3201" w:type="dxa"/>
          </w:tcPr>
          <w:p w:rsidR="00F56640" w:rsidRPr="0053351E" w:rsidRDefault="00F56640">
            <w:pPr>
              <w:spacing w:before="60" w:after="60"/>
              <w:rPr>
                <w:sz w:val="18"/>
                <w:szCs w:val="18"/>
                <w:lang w:val="en-GB"/>
              </w:rPr>
            </w:pPr>
            <w:r w:rsidRPr="0053351E">
              <w:rPr>
                <w:sz w:val="18"/>
                <w:szCs w:val="18"/>
                <w:lang w:val="en-GB"/>
              </w:rPr>
              <w:t>Advocating strategic role for the EU level with the Member States having flexibility in application of territorial cohesion to allow for context sensitive policy responses and interventions</w:t>
            </w:r>
          </w:p>
        </w:tc>
        <w:tc>
          <w:tcPr>
            <w:tcW w:w="4536" w:type="dxa"/>
          </w:tcPr>
          <w:p w:rsidR="00F56640" w:rsidRPr="0053351E" w:rsidRDefault="00F56640">
            <w:pPr>
              <w:spacing w:before="60" w:after="60"/>
              <w:rPr>
                <w:sz w:val="18"/>
                <w:szCs w:val="18"/>
                <w:lang w:val="en-GB"/>
              </w:rPr>
            </w:pPr>
            <w:r w:rsidRPr="0053351E">
              <w:rPr>
                <w:b/>
                <w:sz w:val="18"/>
                <w:szCs w:val="18"/>
                <w:lang w:val="en-GB"/>
              </w:rPr>
              <w:t>Estonian</w:t>
            </w:r>
            <w:r w:rsidRPr="0053351E">
              <w:rPr>
                <w:sz w:val="18"/>
                <w:szCs w:val="18"/>
                <w:lang w:val="en-GB"/>
              </w:rPr>
              <w:t xml:space="preserve"> recommendations include integration of cohesion and rural policy with integrated community strategic guidelines</w:t>
            </w:r>
          </w:p>
          <w:p w:rsidR="00F56640" w:rsidRPr="0053351E" w:rsidRDefault="00F56640">
            <w:pPr>
              <w:spacing w:before="60" w:after="60"/>
              <w:rPr>
                <w:sz w:val="18"/>
                <w:szCs w:val="18"/>
                <w:lang w:val="en-GB"/>
              </w:rPr>
            </w:pPr>
            <w:r w:rsidRPr="0053351E">
              <w:rPr>
                <w:b/>
                <w:sz w:val="18"/>
                <w:szCs w:val="18"/>
                <w:lang w:val="en-GB"/>
              </w:rPr>
              <w:t>Latvian</w:t>
            </w:r>
            <w:r w:rsidRPr="0053351E">
              <w:rPr>
                <w:sz w:val="18"/>
                <w:szCs w:val="18"/>
                <w:lang w:val="en-GB"/>
              </w:rPr>
              <w:t xml:space="preserve"> recommendations include stronger role of Informal Council of Ministers responsible for Regional Development, EU Guidelines followed by national strategies promoting territorial cohesion and territorial impact assessment of sector policies </w:t>
            </w:r>
          </w:p>
        </w:tc>
      </w:tr>
      <w:tr w:rsidR="00F56640" w:rsidRPr="0053351E" w:rsidTr="009E2E53">
        <w:tc>
          <w:tcPr>
            <w:tcW w:w="1585" w:type="dxa"/>
          </w:tcPr>
          <w:p w:rsidR="00F56640" w:rsidRPr="0053351E" w:rsidRDefault="00F56640">
            <w:pPr>
              <w:spacing w:before="60" w:after="60"/>
              <w:rPr>
                <w:b/>
                <w:sz w:val="18"/>
                <w:szCs w:val="18"/>
                <w:lang w:val="en-GB"/>
              </w:rPr>
            </w:pPr>
          </w:p>
        </w:tc>
        <w:tc>
          <w:tcPr>
            <w:tcW w:w="3201" w:type="dxa"/>
          </w:tcPr>
          <w:p w:rsidR="00F56640" w:rsidRPr="0053351E" w:rsidRDefault="00F56640">
            <w:pPr>
              <w:spacing w:before="60" w:after="60"/>
              <w:rPr>
                <w:sz w:val="18"/>
                <w:szCs w:val="18"/>
                <w:lang w:val="en-GB"/>
              </w:rPr>
            </w:pPr>
            <w:r w:rsidRPr="0053351E">
              <w:rPr>
                <w:sz w:val="18"/>
                <w:szCs w:val="18"/>
                <w:lang w:val="en-GB"/>
              </w:rPr>
              <w:t>Promoting more efficient and effective use of existing mechanisms rather than introduction of new mechanisms</w:t>
            </w:r>
          </w:p>
        </w:tc>
        <w:tc>
          <w:tcPr>
            <w:tcW w:w="4536" w:type="dxa"/>
          </w:tcPr>
          <w:p w:rsidR="00F56640" w:rsidRPr="0053351E" w:rsidRDefault="00F56640">
            <w:pPr>
              <w:spacing w:before="60" w:after="60"/>
              <w:rPr>
                <w:sz w:val="18"/>
                <w:szCs w:val="18"/>
                <w:lang w:val="en-GB"/>
              </w:rPr>
            </w:pPr>
            <w:r w:rsidRPr="0053351E">
              <w:rPr>
                <w:b/>
                <w:sz w:val="18"/>
                <w:szCs w:val="18"/>
                <w:lang w:val="en-GB"/>
              </w:rPr>
              <w:t>Estonian</w:t>
            </w:r>
            <w:r w:rsidRPr="0053351E">
              <w:rPr>
                <w:sz w:val="18"/>
                <w:szCs w:val="18"/>
                <w:lang w:val="en-GB"/>
              </w:rPr>
              <w:t xml:space="preserve"> response promotes stronger role for territorial cooperation, transnational spatial planning and increased support for administrative reform</w:t>
            </w:r>
          </w:p>
        </w:tc>
      </w:tr>
      <w:tr w:rsidR="00F56640" w:rsidRPr="0053351E" w:rsidTr="009E2E53">
        <w:tc>
          <w:tcPr>
            <w:tcW w:w="1585" w:type="dxa"/>
          </w:tcPr>
          <w:p w:rsidR="00F56640" w:rsidRPr="0053351E" w:rsidRDefault="00F56640">
            <w:pPr>
              <w:spacing w:before="60" w:after="60"/>
              <w:rPr>
                <w:b/>
                <w:sz w:val="18"/>
                <w:szCs w:val="18"/>
                <w:lang w:val="en-GB"/>
              </w:rPr>
            </w:pPr>
          </w:p>
        </w:tc>
        <w:tc>
          <w:tcPr>
            <w:tcW w:w="3201" w:type="dxa"/>
          </w:tcPr>
          <w:p w:rsidR="00F56640" w:rsidRPr="0053351E" w:rsidRDefault="00F56640">
            <w:pPr>
              <w:spacing w:before="60" w:after="60"/>
              <w:rPr>
                <w:sz w:val="18"/>
                <w:szCs w:val="18"/>
                <w:lang w:val="en-GB"/>
              </w:rPr>
            </w:pPr>
            <w:r w:rsidRPr="0053351E">
              <w:rPr>
                <w:sz w:val="18"/>
                <w:szCs w:val="18"/>
                <w:lang w:val="en-GB"/>
              </w:rPr>
              <w:t xml:space="preserve">Promoting facilitation of co-operation over external EU borders </w:t>
            </w:r>
          </w:p>
        </w:tc>
        <w:tc>
          <w:tcPr>
            <w:tcW w:w="4536" w:type="dxa"/>
          </w:tcPr>
          <w:p w:rsidR="00F56640" w:rsidRPr="0053351E" w:rsidRDefault="00F56640">
            <w:pPr>
              <w:spacing w:before="60" w:after="60"/>
              <w:rPr>
                <w:sz w:val="18"/>
                <w:szCs w:val="18"/>
                <w:lang w:val="en-GB"/>
              </w:rPr>
            </w:pPr>
          </w:p>
        </w:tc>
      </w:tr>
      <w:tr w:rsidR="00F56640" w:rsidRPr="0053351E" w:rsidTr="009E2E53">
        <w:tc>
          <w:tcPr>
            <w:tcW w:w="1585" w:type="dxa"/>
          </w:tcPr>
          <w:p w:rsidR="00F56640" w:rsidRPr="0053351E" w:rsidRDefault="00F56640">
            <w:pPr>
              <w:spacing w:before="60" w:after="60"/>
              <w:rPr>
                <w:b/>
                <w:sz w:val="18"/>
                <w:szCs w:val="18"/>
                <w:lang w:val="en-GB"/>
              </w:rPr>
            </w:pPr>
          </w:p>
        </w:tc>
        <w:tc>
          <w:tcPr>
            <w:tcW w:w="3201" w:type="dxa"/>
          </w:tcPr>
          <w:p w:rsidR="00F56640" w:rsidRPr="0053351E" w:rsidRDefault="00F56640">
            <w:pPr>
              <w:spacing w:before="60" w:after="60"/>
              <w:rPr>
                <w:sz w:val="18"/>
                <w:szCs w:val="18"/>
                <w:lang w:val="en-GB"/>
              </w:rPr>
            </w:pPr>
            <w:r w:rsidRPr="0053351E">
              <w:rPr>
                <w:sz w:val="18"/>
                <w:szCs w:val="18"/>
                <w:lang w:val="en-GB"/>
              </w:rPr>
              <w:t xml:space="preserve">Emphasising importance of addressing regional disparities </w:t>
            </w:r>
          </w:p>
        </w:tc>
        <w:tc>
          <w:tcPr>
            <w:tcW w:w="4536" w:type="dxa"/>
          </w:tcPr>
          <w:p w:rsidR="00F56640" w:rsidRPr="0053351E" w:rsidRDefault="00F56640">
            <w:pPr>
              <w:spacing w:before="60" w:after="60"/>
              <w:rPr>
                <w:sz w:val="18"/>
                <w:szCs w:val="18"/>
                <w:lang w:val="en-GB"/>
              </w:rPr>
            </w:pPr>
          </w:p>
        </w:tc>
      </w:tr>
      <w:tr w:rsidR="00F56640" w:rsidRPr="0053351E" w:rsidTr="009E2E53">
        <w:tc>
          <w:tcPr>
            <w:tcW w:w="1585" w:type="dxa"/>
            <w:tcBorders>
              <w:bottom w:val="single" w:sz="4" w:space="0" w:color="auto"/>
            </w:tcBorders>
          </w:tcPr>
          <w:p w:rsidR="00F56640" w:rsidRPr="0053351E" w:rsidRDefault="00F56640">
            <w:pPr>
              <w:spacing w:before="60" w:after="60"/>
              <w:rPr>
                <w:b/>
                <w:sz w:val="18"/>
                <w:szCs w:val="18"/>
                <w:lang w:val="en-GB"/>
              </w:rPr>
            </w:pPr>
          </w:p>
        </w:tc>
        <w:tc>
          <w:tcPr>
            <w:tcW w:w="3201" w:type="dxa"/>
            <w:tcBorders>
              <w:bottom w:val="single" w:sz="4" w:space="0" w:color="auto"/>
            </w:tcBorders>
          </w:tcPr>
          <w:p w:rsidR="00F56640" w:rsidRPr="0053351E" w:rsidRDefault="00F56640">
            <w:pPr>
              <w:spacing w:before="60" w:after="60"/>
              <w:rPr>
                <w:sz w:val="18"/>
                <w:szCs w:val="18"/>
                <w:lang w:val="en-GB"/>
              </w:rPr>
            </w:pPr>
            <w:r w:rsidRPr="0053351E">
              <w:rPr>
                <w:sz w:val="18"/>
                <w:szCs w:val="18"/>
                <w:lang w:val="en-GB"/>
              </w:rPr>
              <w:t xml:space="preserve">Sectors where it is important to consider the territorial impacts: transport, energy, environment and rural development </w:t>
            </w:r>
          </w:p>
        </w:tc>
        <w:tc>
          <w:tcPr>
            <w:tcW w:w="4536" w:type="dxa"/>
            <w:tcBorders>
              <w:bottom w:val="single" w:sz="4" w:space="0" w:color="auto"/>
            </w:tcBorders>
          </w:tcPr>
          <w:p w:rsidR="00F56640" w:rsidRPr="0053351E" w:rsidRDefault="00F56640">
            <w:pPr>
              <w:spacing w:before="60" w:after="60"/>
              <w:rPr>
                <w:sz w:val="18"/>
                <w:szCs w:val="18"/>
                <w:lang w:val="en-GB"/>
              </w:rPr>
            </w:pPr>
            <w:r w:rsidRPr="0053351E">
              <w:rPr>
                <w:b/>
                <w:sz w:val="18"/>
                <w:szCs w:val="18"/>
                <w:lang w:val="en-GB"/>
              </w:rPr>
              <w:t>Estonian and Latvian</w:t>
            </w:r>
            <w:r w:rsidRPr="0053351E">
              <w:rPr>
                <w:sz w:val="18"/>
                <w:szCs w:val="18"/>
                <w:lang w:val="en-GB"/>
              </w:rPr>
              <w:t xml:space="preserve"> responses identify science policy and research</w:t>
            </w:r>
          </w:p>
          <w:p w:rsidR="00F56640" w:rsidRPr="0053351E" w:rsidRDefault="00F56640">
            <w:pPr>
              <w:spacing w:before="60" w:after="60"/>
              <w:rPr>
                <w:sz w:val="18"/>
                <w:szCs w:val="18"/>
                <w:lang w:val="en-GB"/>
              </w:rPr>
            </w:pPr>
            <w:r w:rsidRPr="0053351E">
              <w:rPr>
                <w:b/>
                <w:sz w:val="18"/>
                <w:szCs w:val="18"/>
                <w:lang w:val="en-GB"/>
              </w:rPr>
              <w:t xml:space="preserve">Latvian </w:t>
            </w:r>
            <w:r w:rsidRPr="0053351E">
              <w:rPr>
                <w:sz w:val="18"/>
                <w:szCs w:val="18"/>
                <w:lang w:val="en-GB"/>
              </w:rPr>
              <w:t>and</w:t>
            </w:r>
            <w:r w:rsidRPr="0053351E">
              <w:rPr>
                <w:b/>
                <w:sz w:val="18"/>
                <w:szCs w:val="18"/>
                <w:lang w:val="en-GB"/>
              </w:rPr>
              <w:t xml:space="preserve"> Lithuanian</w:t>
            </w:r>
            <w:r w:rsidRPr="0053351E">
              <w:rPr>
                <w:sz w:val="18"/>
                <w:szCs w:val="18"/>
                <w:lang w:val="en-GB"/>
              </w:rPr>
              <w:t xml:space="preserve"> responses identify innovation, competitiveness, ITC and the knowledge society</w:t>
            </w:r>
          </w:p>
          <w:p w:rsidR="00F56640" w:rsidRPr="0053351E" w:rsidRDefault="00F56640">
            <w:pPr>
              <w:spacing w:before="60" w:after="60"/>
              <w:rPr>
                <w:sz w:val="18"/>
                <w:szCs w:val="18"/>
                <w:lang w:val="en-GB"/>
              </w:rPr>
            </w:pPr>
            <w:r w:rsidRPr="0053351E">
              <w:rPr>
                <w:b/>
                <w:sz w:val="18"/>
                <w:szCs w:val="18"/>
                <w:lang w:val="en-GB"/>
              </w:rPr>
              <w:t>Estonian</w:t>
            </w:r>
            <w:r w:rsidRPr="0053351E">
              <w:rPr>
                <w:sz w:val="18"/>
                <w:szCs w:val="18"/>
                <w:lang w:val="en-GB"/>
              </w:rPr>
              <w:t xml:space="preserve"> response identifies neighbourhood policy</w:t>
            </w:r>
          </w:p>
          <w:p w:rsidR="00F56640" w:rsidRPr="0053351E" w:rsidRDefault="00F56640">
            <w:pPr>
              <w:spacing w:before="60" w:after="60"/>
              <w:rPr>
                <w:sz w:val="18"/>
                <w:szCs w:val="18"/>
                <w:lang w:val="en-GB"/>
              </w:rPr>
            </w:pPr>
            <w:r w:rsidRPr="0053351E">
              <w:rPr>
                <w:b/>
                <w:sz w:val="18"/>
                <w:szCs w:val="18"/>
                <w:lang w:val="en-GB"/>
              </w:rPr>
              <w:t>Latvian</w:t>
            </w:r>
            <w:r w:rsidRPr="0053351E">
              <w:rPr>
                <w:sz w:val="18"/>
                <w:szCs w:val="18"/>
                <w:lang w:val="en-GB"/>
              </w:rPr>
              <w:t xml:space="preserve"> response identifies maritime policy</w:t>
            </w:r>
          </w:p>
          <w:p w:rsidR="00F56640" w:rsidRPr="0053351E" w:rsidRDefault="00F56640">
            <w:pPr>
              <w:spacing w:before="60" w:after="60"/>
              <w:rPr>
                <w:sz w:val="18"/>
                <w:szCs w:val="18"/>
                <w:lang w:val="en-GB"/>
              </w:rPr>
            </w:pPr>
            <w:r w:rsidRPr="0053351E">
              <w:rPr>
                <w:b/>
                <w:sz w:val="18"/>
                <w:szCs w:val="18"/>
                <w:lang w:val="en-GB"/>
              </w:rPr>
              <w:t>Lithuanian</w:t>
            </w:r>
            <w:r w:rsidRPr="0053351E">
              <w:rPr>
                <w:sz w:val="18"/>
                <w:szCs w:val="18"/>
                <w:lang w:val="en-GB"/>
              </w:rPr>
              <w:t xml:space="preserve"> response identifies social policy including health and education</w:t>
            </w:r>
          </w:p>
        </w:tc>
      </w:tr>
      <w:tr w:rsidR="00F56640" w:rsidRPr="0053351E" w:rsidTr="009E2E53">
        <w:tc>
          <w:tcPr>
            <w:tcW w:w="1585" w:type="dxa"/>
            <w:tcBorders>
              <w:top w:val="single" w:sz="4" w:space="0" w:color="auto"/>
            </w:tcBorders>
          </w:tcPr>
          <w:p w:rsidR="00F56640" w:rsidRPr="0053351E" w:rsidRDefault="00F56640">
            <w:pPr>
              <w:spacing w:before="60" w:after="60"/>
              <w:rPr>
                <w:b/>
                <w:sz w:val="18"/>
                <w:szCs w:val="18"/>
                <w:lang w:val="en-GB"/>
              </w:rPr>
            </w:pPr>
            <w:r w:rsidRPr="0053351E">
              <w:rPr>
                <w:b/>
                <w:sz w:val="18"/>
                <w:szCs w:val="18"/>
                <w:lang w:val="en-GB"/>
              </w:rPr>
              <w:t>New territorial partnerships</w:t>
            </w:r>
          </w:p>
        </w:tc>
        <w:tc>
          <w:tcPr>
            <w:tcW w:w="3201" w:type="dxa"/>
            <w:tcBorders>
              <w:top w:val="single" w:sz="4" w:space="0" w:color="auto"/>
            </w:tcBorders>
          </w:tcPr>
          <w:p w:rsidR="00F56640" w:rsidRPr="0053351E" w:rsidRDefault="00F56640">
            <w:pPr>
              <w:spacing w:before="60" w:after="60"/>
              <w:rPr>
                <w:sz w:val="18"/>
                <w:szCs w:val="18"/>
                <w:lang w:val="en-GB"/>
              </w:rPr>
            </w:pPr>
            <w:r w:rsidRPr="0053351E">
              <w:rPr>
                <w:sz w:val="18"/>
                <w:szCs w:val="18"/>
                <w:lang w:val="en-GB"/>
              </w:rPr>
              <w:t>Engaging a broad coalition of actors in the territorial cohesion debate</w:t>
            </w:r>
          </w:p>
        </w:tc>
        <w:tc>
          <w:tcPr>
            <w:tcW w:w="4536" w:type="dxa"/>
            <w:tcBorders>
              <w:top w:val="single" w:sz="4" w:space="0" w:color="auto"/>
            </w:tcBorders>
          </w:tcPr>
          <w:p w:rsidR="00F56640" w:rsidRPr="0053351E" w:rsidRDefault="00F56640">
            <w:pPr>
              <w:spacing w:before="60" w:after="60"/>
              <w:rPr>
                <w:sz w:val="18"/>
                <w:szCs w:val="18"/>
                <w:lang w:val="en-GB"/>
              </w:rPr>
            </w:pPr>
            <w:r w:rsidRPr="0053351E">
              <w:rPr>
                <w:b/>
                <w:sz w:val="18"/>
                <w:szCs w:val="18"/>
                <w:lang w:val="en-GB"/>
              </w:rPr>
              <w:t>Estonian</w:t>
            </w:r>
            <w:r w:rsidRPr="0053351E">
              <w:rPr>
                <w:sz w:val="18"/>
                <w:szCs w:val="18"/>
                <w:lang w:val="en-GB"/>
              </w:rPr>
              <w:t xml:space="preserve"> response suggests reallocating part of structural funds through focused macro-regional strategies and using such strategies as a means of pursuing territorial cohesion </w:t>
            </w:r>
          </w:p>
        </w:tc>
      </w:tr>
      <w:tr w:rsidR="00F56640" w:rsidRPr="0053351E" w:rsidTr="009E2E53">
        <w:tc>
          <w:tcPr>
            <w:tcW w:w="1585" w:type="dxa"/>
            <w:tcBorders>
              <w:bottom w:val="single" w:sz="4" w:space="0" w:color="auto"/>
            </w:tcBorders>
          </w:tcPr>
          <w:p w:rsidR="00F56640" w:rsidRPr="0053351E" w:rsidRDefault="00F56640">
            <w:pPr>
              <w:spacing w:before="60" w:after="60"/>
              <w:rPr>
                <w:b/>
                <w:sz w:val="18"/>
                <w:szCs w:val="18"/>
                <w:lang w:val="en-GB"/>
              </w:rPr>
            </w:pPr>
          </w:p>
        </w:tc>
        <w:tc>
          <w:tcPr>
            <w:tcW w:w="3201" w:type="dxa"/>
            <w:tcBorders>
              <w:bottom w:val="single" w:sz="4" w:space="0" w:color="auto"/>
            </w:tcBorders>
          </w:tcPr>
          <w:p w:rsidR="00F56640" w:rsidRPr="0053351E" w:rsidRDefault="00F56640">
            <w:pPr>
              <w:spacing w:before="60" w:after="60"/>
              <w:rPr>
                <w:sz w:val="18"/>
                <w:szCs w:val="18"/>
                <w:lang w:val="en-GB"/>
              </w:rPr>
            </w:pPr>
          </w:p>
        </w:tc>
        <w:tc>
          <w:tcPr>
            <w:tcW w:w="4536" w:type="dxa"/>
            <w:tcBorders>
              <w:bottom w:val="single" w:sz="4" w:space="0" w:color="auto"/>
            </w:tcBorders>
          </w:tcPr>
          <w:p w:rsidR="00F56640" w:rsidRPr="0053351E" w:rsidRDefault="00F56640">
            <w:pPr>
              <w:spacing w:before="60" w:after="60"/>
              <w:rPr>
                <w:sz w:val="18"/>
                <w:szCs w:val="18"/>
                <w:lang w:val="en-GB"/>
              </w:rPr>
            </w:pPr>
            <w:r w:rsidRPr="0053351E">
              <w:rPr>
                <w:b/>
                <w:sz w:val="18"/>
                <w:szCs w:val="18"/>
                <w:lang w:val="en-GB"/>
              </w:rPr>
              <w:t>Lithuanian</w:t>
            </w:r>
            <w:r w:rsidRPr="0053351E">
              <w:rPr>
                <w:sz w:val="18"/>
                <w:szCs w:val="18"/>
                <w:lang w:val="en-GB"/>
              </w:rPr>
              <w:t xml:space="preserve"> response is concerned with raising awareness and knowledge about territorial cohesion and more specifically its practical application</w:t>
            </w:r>
          </w:p>
        </w:tc>
      </w:tr>
      <w:tr w:rsidR="00F56640" w:rsidRPr="0053351E" w:rsidTr="009E2E53">
        <w:tc>
          <w:tcPr>
            <w:tcW w:w="1585" w:type="dxa"/>
            <w:tcBorders>
              <w:top w:val="single" w:sz="4" w:space="0" w:color="auto"/>
              <w:bottom w:val="single" w:sz="4" w:space="0" w:color="auto"/>
            </w:tcBorders>
          </w:tcPr>
          <w:p w:rsidR="00F56640" w:rsidRPr="0053351E" w:rsidRDefault="00F56640">
            <w:pPr>
              <w:spacing w:before="60" w:after="60"/>
              <w:rPr>
                <w:b/>
                <w:sz w:val="18"/>
                <w:szCs w:val="18"/>
                <w:lang w:val="en-GB"/>
              </w:rPr>
            </w:pPr>
            <w:r w:rsidRPr="0053351E">
              <w:rPr>
                <w:b/>
                <w:sz w:val="18"/>
                <w:szCs w:val="18"/>
                <w:lang w:val="en-GB"/>
              </w:rPr>
              <w:t>Improving the understanding of territorial cohesion</w:t>
            </w:r>
          </w:p>
        </w:tc>
        <w:tc>
          <w:tcPr>
            <w:tcW w:w="3201" w:type="dxa"/>
            <w:tcBorders>
              <w:top w:val="single" w:sz="4" w:space="0" w:color="auto"/>
              <w:bottom w:val="single" w:sz="4" w:space="0" w:color="auto"/>
            </w:tcBorders>
          </w:tcPr>
          <w:p w:rsidR="00F56640" w:rsidRPr="0053351E" w:rsidRDefault="00F56640">
            <w:pPr>
              <w:spacing w:before="60" w:after="60"/>
              <w:rPr>
                <w:sz w:val="18"/>
                <w:szCs w:val="18"/>
                <w:lang w:val="en-GB"/>
              </w:rPr>
            </w:pPr>
            <w:r w:rsidRPr="0053351E">
              <w:rPr>
                <w:sz w:val="18"/>
                <w:szCs w:val="18"/>
                <w:lang w:val="en-GB"/>
              </w:rPr>
              <w:t>Developing effective and meaningful territorial cohesion goals and indicators</w:t>
            </w:r>
          </w:p>
        </w:tc>
        <w:tc>
          <w:tcPr>
            <w:tcW w:w="4536" w:type="dxa"/>
            <w:tcBorders>
              <w:top w:val="single" w:sz="4" w:space="0" w:color="auto"/>
              <w:bottom w:val="single" w:sz="4" w:space="0" w:color="auto"/>
            </w:tcBorders>
          </w:tcPr>
          <w:p w:rsidR="00F56640" w:rsidRPr="0053351E" w:rsidRDefault="00F56640">
            <w:pPr>
              <w:spacing w:before="60" w:after="60"/>
              <w:rPr>
                <w:sz w:val="18"/>
                <w:szCs w:val="18"/>
                <w:lang w:val="en-GB"/>
              </w:rPr>
            </w:pPr>
          </w:p>
        </w:tc>
      </w:tr>
    </w:tbl>
    <w:p w:rsidR="009E2E53" w:rsidRPr="0053351E" w:rsidRDefault="00A24D78" w:rsidP="0015130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60" w:line="480" w:lineRule="auto"/>
        <w:jc w:val="both"/>
        <w:rPr>
          <w:sz w:val="18"/>
          <w:szCs w:val="18"/>
          <w:lang w:val="en-GB"/>
        </w:rPr>
      </w:pPr>
      <w:r w:rsidRPr="0053351E">
        <w:rPr>
          <w:sz w:val="18"/>
          <w:szCs w:val="18"/>
          <w:lang w:val="en-GB"/>
        </w:rPr>
        <w:t>S</w:t>
      </w:r>
      <w:r w:rsidR="00151303" w:rsidRPr="0053351E">
        <w:rPr>
          <w:sz w:val="18"/>
          <w:szCs w:val="18"/>
          <w:lang w:val="en-GB"/>
        </w:rPr>
        <w:t>ource: authors’ own elaboration.</w:t>
      </w:r>
    </w:p>
    <w:p w:rsidR="009E2E53" w:rsidRPr="0053351E" w:rsidRDefault="009E2E53">
      <w:pPr>
        <w:rPr>
          <w:sz w:val="18"/>
          <w:szCs w:val="18"/>
          <w:lang w:val="en-GB"/>
        </w:rPr>
      </w:pPr>
      <w:r w:rsidRPr="0053351E">
        <w:rPr>
          <w:sz w:val="18"/>
          <w:szCs w:val="18"/>
          <w:lang w:val="en-GB"/>
        </w:rPr>
        <w:br w:type="page"/>
      </w:r>
    </w:p>
    <w:p w:rsidR="00335A26" w:rsidRPr="0053351E" w:rsidRDefault="00335A26" w:rsidP="0015130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284" w:hanging="284"/>
        <w:jc w:val="both"/>
        <w:rPr>
          <w:sz w:val="18"/>
          <w:szCs w:val="18"/>
          <w:lang w:val="en-GB"/>
        </w:rPr>
      </w:pPr>
      <w:r w:rsidRPr="0053351E">
        <w:rPr>
          <w:i/>
          <w:sz w:val="18"/>
          <w:szCs w:val="18"/>
          <w:lang w:val="en-GB"/>
        </w:rPr>
        <w:lastRenderedPageBreak/>
        <w:t>Table 4</w:t>
      </w:r>
      <w:r w:rsidRPr="0053351E">
        <w:rPr>
          <w:sz w:val="18"/>
          <w:szCs w:val="18"/>
          <w:lang w:val="en-GB"/>
        </w:rPr>
        <w:t>. Commonalities and differences in responses of selected interest groups to the Green Paper on territorial cohesion</w:t>
      </w:r>
    </w:p>
    <w:tbl>
      <w:tblPr>
        <w:tblW w:w="9230" w:type="dxa"/>
        <w:tblInd w:w="93" w:type="dxa"/>
        <w:tblLook w:val="04A0" w:firstRow="1" w:lastRow="0" w:firstColumn="1" w:lastColumn="0" w:noHBand="0" w:noVBand="1"/>
      </w:tblPr>
      <w:tblGrid>
        <w:gridCol w:w="1433"/>
        <w:gridCol w:w="3898"/>
        <w:gridCol w:w="3899"/>
      </w:tblGrid>
      <w:tr w:rsidR="005313BC" w:rsidRPr="0053351E" w:rsidTr="009E2E53">
        <w:trPr>
          <w:trHeight w:val="495"/>
        </w:trPr>
        <w:tc>
          <w:tcPr>
            <w:tcW w:w="1433" w:type="dxa"/>
            <w:tcBorders>
              <w:top w:val="single" w:sz="8" w:space="0" w:color="auto"/>
              <w:left w:val="nil"/>
              <w:bottom w:val="single" w:sz="8" w:space="0" w:color="auto"/>
              <w:right w:val="nil"/>
            </w:tcBorders>
            <w:shd w:val="clear" w:color="auto" w:fill="auto"/>
            <w:hideMark/>
          </w:tcPr>
          <w:p w:rsidR="005313BC" w:rsidRPr="0053351E" w:rsidRDefault="005313BC" w:rsidP="005313BC">
            <w:pPr>
              <w:jc w:val="center"/>
              <w:rPr>
                <w:rFonts w:eastAsia="Times New Roman"/>
                <w:b/>
                <w:bCs/>
                <w:sz w:val="18"/>
                <w:szCs w:val="18"/>
                <w:lang w:val="en-GB" w:eastAsia="en-GB"/>
              </w:rPr>
            </w:pPr>
            <w:r w:rsidRPr="0053351E">
              <w:rPr>
                <w:rFonts w:eastAsia="Times New Roman"/>
                <w:b/>
                <w:bCs/>
                <w:sz w:val="18"/>
                <w:szCs w:val="18"/>
                <w:lang w:val="en-GB" w:eastAsia="en-GB"/>
              </w:rPr>
              <w:t>Theme</w:t>
            </w:r>
          </w:p>
        </w:tc>
        <w:tc>
          <w:tcPr>
            <w:tcW w:w="3898" w:type="dxa"/>
            <w:tcBorders>
              <w:top w:val="single" w:sz="8" w:space="0" w:color="auto"/>
              <w:left w:val="nil"/>
              <w:bottom w:val="single" w:sz="8" w:space="0" w:color="auto"/>
              <w:right w:val="nil"/>
            </w:tcBorders>
            <w:shd w:val="clear" w:color="auto" w:fill="auto"/>
            <w:hideMark/>
          </w:tcPr>
          <w:p w:rsidR="005313BC" w:rsidRPr="0053351E" w:rsidRDefault="005313BC" w:rsidP="005313BC">
            <w:pPr>
              <w:jc w:val="center"/>
              <w:rPr>
                <w:rFonts w:eastAsia="Times New Roman"/>
                <w:b/>
                <w:bCs/>
                <w:sz w:val="18"/>
                <w:szCs w:val="18"/>
                <w:lang w:val="en-GB" w:eastAsia="en-GB"/>
              </w:rPr>
            </w:pPr>
            <w:r w:rsidRPr="0053351E">
              <w:rPr>
                <w:rFonts w:eastAsia="Times New Roman"/>
                <w:b/>
                <w:bCs/>
                <w:sz w:val="18"/>
                <w:szCs w:val="18"/>
                <w:lang w:val="en-GB" w:eastAsia="en-GB"/>
              </w:rPr>
              <w:t>Commonalities between selected interest groups</w:t>
            </w:r>
          </w:p>
        </w:tc>
        <w:tc>
          <w:tcPr>
            <w:tcW w:w="3899" w:type="dxa"/>
            <w:tcBorders>
              <w:top w:val="single" w:sz="8" w:space="0" w:color="auto"/>
              <w:left w:val="nil"/>
              <w:bottom w:val="single" w:sz="8" w:space="0" w:color="auto"/>
              <w:right w:val="nil"/>
            </w:tcBorders>
            <w:shd w:val="clear" w:color="auto" w:fill="auto"/>
            <w:hideMark/>
          </w:tcPr>
          <w:p w:rsidR="005313BC" w:rsidRPr="0053351E" w:rsidRDefault="005313BC" w:rsidP="005313BC">
            <w:pPr>
              <w:jc w:val="center"/>
              <w:rPr>
                <w:rFonts w:eastAsia="Times New Roman"/>
                <w:b/>
                <w:bCs/>
                <w:sz w:val="18"/>
                <w:szCs w:val="18"/>
                <w:lang w:val="en-GB" w:eastAsia="en-GB"/>
              </w:rPr>
            </w:pPr>
            <w:r w:rsidRPr="0053351E">
              <w:rPr>
                <w:rFonts w:eastAsia="Times New Roman"/>
                <w:b/>
                <w:bCs/>
                <w:sz w:val="18"/>
                <w:szCs w:val="18"/>
                <w:lang w:val="en-GB" w:eastAsia="en-GB"/>
              </w:rPr>
              <w:t>Group specific recommendations and practical measures</w:t>
            </w:r>
          </w:p>
        </w:tc>
      </w:tr>
      <w:tr w:rsidR="005313BC" w:rsidRPr="0053351E" w:rsidTr="009E2E53">
        <w:trPr>
          <w:trHeight w:val="480"/>
        </w:trPr>
        <w:tc>
          <w:tcPr>
            <w:tcW w:w="1433" w:type="dxa"/>
            <w:vMerge w:val="restart"/>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Definition and overall attitude to territorial cohesion</w:t>
            </w: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 xml:space="preserve">Identification of similar range of themes encapsulated in the concept </w:t>
            </w:r>
          </w:p>
        </w:tc>
        <w:tc>
          <w:tcPr>
            <w:tcW w:w="3899" w:type="dxa"/>
            <w:vMerge w:val="restart"/>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b/>
                <w:bCs/>
                <w:sz w:val="18"/>
                <w:szCs w:val="18"/>
                <w:lang w:val="en-GB" w:eastAsia="en-GB"/>
              </w:rPr>
              <w:t>VASAB</w:t>
            </w:r>
            <w:r w:rsidRPr="0053351E">
              <w:rPr>
                <w:rFonts w:eastAsia="Times New Roman"/>
                <w:sz w:val="18"/>
                <w:szCs w:val="18"/>
                <w:lang w:val="en-GB" w:eastAsia="en-GB"/>
              </w:rPr>
              <w:t xml:space="preserve"> defines territorial cohesion as a long term goal to work towards</w:t>
            </w:r>
          </w:p>
        </w:tc>
      </w:tr>
      <w:tr w:rsidR="005313BC" w:rsidRPr="0053351E" w:rsidTr="009E2E53">
        <w:trPr>
          <w:trHeight w:val="300"/>
        </w:trPr>
        <w:tc>
          <w:tcPr>
            <w:tcW w:w="1433" w:type="dxa"/>
            <w:vMerge/>
            <w:tcBorders>
              <w:top w:val="nil"/>
              <w:left w:val="nil"/>
              <w:bottom w:val="nil"/>
              <w:right w:val="nil"/>
            </w:tcBorders>
            <w:vAlign w:val="center"/>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Positive attitude to the concept</w:t>
            </w:r>
          </w:p>
        </w:tc>
        <w:tc>
          <w:tcPr>
            <w:tcW w:w="3899" w:type="dxa"/>
            <w:vMerge/>
            <w:tcBorders>
              <w:top w:val="nil"/>
              <w:left w:val="nil"/>
              <w:bottom w:val="nil"/>
              <w:right w:val="nil"/>
            </w:tcBorders>
            <w:vAlign w:val="center"/>
            <w:hideMark/>
          </w:tcPr>
          <w:p w:rsidR="005313BC" w:rsidRPr="0053351E" w:rsidRDefault="005313BC" w:rsidP="005313BC">
            <w:pPr>
              <w:rPr>
                <w:rFonts w:eastAsia="Times New Roman"/>
                <w:sz w:val="18"/>
                <w:szCs w:val="18"/>
                <w:lang w:val="en-GB" w:eastAsia="en-GB"/>
              </w:rPr>
            </w:pPr>
          </w:p>
        </w:tc>
      </w:tr>
      <w:tr w:rsidR="005313BC" w:rsidRPr="0053351E" w:rsidTr="009E2E53">
        <w:trPr>
          <w:trHeight w:val="72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Strong link to balanced, polycentric and sustainable development, equality and access to services and turning diversity into strength</w:t>
            </w: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b/>
                <w:sz w:val="18"/>
                <w:szCs w:val="18"/>
                <w:lang w:val="en-GB" w:eastAsia="en-GB"/>
              </w:rPr>
              <w:t>B7, CPMR and NEEBOR</w:t>
            </w:r>
            <w:r w:rsidRPr="0053351E">
              <w:rPr>
                <w:rFonts w:eastAsia="Times New Roman"/>
                <w:sz w:val="18"/>
                <w:szCs w:val="18"/>
                <w:lang w:val="en-GB" w:eastAsia="en-GB"/>
              </w:rPr>
              <w:t xml:space="preserve"> focus more strongly on areas with specific geographical challenges</w:t>
            </w:r>
          </w:p>
        </w:tc>
      </w:tr>
      <w:tr w:rsidR="005313BC" w:rsidRPr="0053351E" w:rsidTr="009E2E53">
        <w:trPr>
          <w:trHeight w:val="315"/>
        </w:trPr>
        <w:tc>
          <w:tcPr>
            <w:tcW w:w="1433" w:type="dxa"/>
            <w:tcBorders>
              <w:top w:val="nil"/>
              <w:left w:val="nil"/>
              <w:bottom w:val="single" w:sz="8" w:space="0" w:color="auto"/>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 </w:t>
            </w:r>
          </w:p>
        </w:tc>
        <w:tc>
          <w:tcPr>
            <w:tcW w:w="3898" w:type="dxa"/>
            <w:tcBorders>
              <w:top w:val="nil"/>
              <w:left w:val="nil"/>
              <w:bottom w:val="single" w:sz="8" w:space="0" w:color="auto"/>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Strong focus on maritime aspects</w:t>
            </w:r>
          </w:p>
        </w:tc>
        <w:tc>
          <w:tcPr>
            <w:tcW w:w="3899" w:type="dxa"/>
            <w:tcBorders>
              <w:top w:val="nil"/>
              <w:left w:val="nil"/>
              <w:bottom w:val="single" w:sz="8" w:space="0" w:color="auto"/>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 </w:t>
            </w:r>
          </w:p>
        </w:tc>
      </w:tr>
      <w:tr w:rsidR="005313BC" w:rsidRPr="0053351E" w:rsidTr="009E2E53">
        <w:trPr>
          <w:trHeight w:val="96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Scale and scope of territorial action</w:t>
            </w: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Strong focus on issues relevant to geographically peripheral areas, reflecting the nature of the focus of the groups</w:t>
            </w: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b/>
                <w:bCs/>
                <w:sz w:val="18"/>
                <w:szCs w:val="18"/>
                <w:lang w:val="en-GB" w:eastAsia="en-GB"/>
              </w:rPr>
              <w:t>Innovation Circle</w:t>
            </w:r>
            <w:r w:rsidRPr="0053351E">
              <w:rPr>
                <w:rFonts w:eastAsia="Times New Roman"/>
                <w:sz w:val="18"/>
                <w:szCs w:val="18"/>
                <w:lang w:val="en-GB" w:eastAsia="en-GB"/>
              </w:rPr>
              <w:t xml:space="preserve"> focus on innovative actions and investments in modern infrastructure as means of making periphery more attractive to high quality human resources</w:t>
            </w:r>
          </w:p>
        </w:tc>
      </w:tr>
      <w:tr w:rsidR="005313BC" w:rsidRPr="0053351E" w:rsidTr="009E2E53">
        <w:trPr>
          <w:trHeight w:val="72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 xml:space="preserve">Strong emphasis on local and flexible solutions and role of local knowledge in understanding complexities of local challenges </w:t>
            </w: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
        </w:tc>
      </w:tr>
      <w:tr w:rsidR="005313BC" w:rsidRPr="0053351E" w:rsidTr="009E2E53">
        <w:trPr>
          <w:trHeight w:val="315"/>
        </w:trPr>
        <w:tc>
          <w:tcPr>
            <w:tcW w:w="1433" w:type="dxa"/>
            <w:tcBorders>
              <w:top w:val="nil"/>
              <w:left w:val="nil"/>
              <w:bottom w:val="single" w:sz="8" w:space="0" w:color="auto"/>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 </w:t>
            </w:r>
          </w:p>
        </w:tc>
        <w:tc>
          <w:tcPr>
            <w:tcW w:w="3898" w:type="dxa"/>
            <w:tcBorders>
              <w:top w:val="nil"/>
              <w:left w:val="nil"/>
              <w:bottom w:val="single" w:sz="8" w:space="0" w:color="auto"/>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 xml:space="preserve">Importance of subsidiarity </w:t>
            </w:r>
          </w:p>
        </w:tc>
        <w:tc>
          <w:tcPr>
            <w:tcW w:w="3899" w:type="dxa"/>
            <w:tcBorders>
              <w:top w:val="nil"/>
              <w:left w:val="nil"/>
              <w:bottom w:val="single" w:sz="8" w:space="0" w:color="auto"/>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 </w:t>
            </w:r>
          </w:p>
        </w:tc>
      </w:tr>
      <w:tr w:rsidR="005313BC" w:rsidRPr="0053351E" w:rsidTr="009E2E53">
        <w:trPr>
          <w:trHeight w:val="72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Better co-operation and co-ordination</w:t>
            </w: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Emphasising policy integration and the importance of horizontal and vertical co-operation</w:t>
            </w: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 xml:space="preserve">Innovation Circle and CPMR </w:t>
            </w:r>
            <w:r w:rsidRPr="0053351E">
              <w:rPr>
                <w:rFonts w:eastAsia="Times New Roman"/>
                <w:sz w:val="18"/>
                <w:szCs w:val="18"/>
                <w:lang w:val="en-GB" w:eastAsia="en-GB"/>
              </w:rPr>
              <w:t>strongly advocate an increasingly bottom up approach</w:t>
            </w:r>
          </w:p>
        </w:tc>
      </w:tr>
      <w:tr w:rsidR="005313BC" w:rsidRPr="0053351E" w:rsidTr="009E2E53">
        <w:trPr>
          <w:trHeight w:val="1695"/>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Advocating strong role for sub-national levels</w:t>
            </w: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roofErr w:type="spellStart"/>
            <w:r w:rsidRPr="0053351E">
              <w:rPr>
                <w:rFonts w:eastAsia="Times New Roman"/>
                <w:b/>
                <w:bCs/>
                <w:sz w:val="18"/>
                <w:szCs w:val="18"/>
                <w:lang w:val="en-GB" w:eastAsia="en-GB"/>
              </w:rPr>
              <w:t>Euroregion</w:t>
            </w:r>
            <w:proofErr w:type="spellEnd"/>
            <w:r w:rsidRPr="0053351E">
              <w:rPr>
                <w:rFonts w:eastAsia="Times New Roman"/>
                <w:b/>
                <w:bCs/>
                <w:sz w:val="18"/>
                <w:szCs w:val="18"/>
                <w:lang w:val="en-GB" w:eastAsia="en-GB"/>
              </w:rPr>
              <w:t xml:space="preserve"> Baltic and B7 Islands </w:t>
            </w:r>
            <w:r w:rsidRPr="0053351E">
              <w:rPr>
                <w:rFonts w:eastAsia="Times New Roman"/>
                <w:sz w:val="18"/>
                <w:szCs w:val="18"/>
                <w:lang w:val="en-GB" w:eastAsia="en-GB"/>
              </w:rPr>
              <w:t xml:space="preserve">both advocate better use of existing co-operation structures such as the </w:t>
            </w:r>
            <w:proofErr w:type="spellStart"/>
            <w:r w:rsidRPr="0053351E">
              <w:rPr>
                <w:rFonts w:eastAsia="Times New Roman"/>
                <w:sz w:val="18"/>
                <w:szCs w:val="18"/>
                <w:lang w:val="en-GB" w:eastAsia="en-GB"/>
              </w:rPr>
              <w:t>Euroregions</w:t>
            </w:r>
            <w:proofErr w:type="spellEnd"/>
            <w:r w:rsidRPr="0053351E">
              <w:rPr>
                <w:rFonts w:eastAsia="Times New Roman"/>
                <w:sz w:val="18"/>
                <w:szCs w:val="18"/>
                <w:lang w:val="en-GB" w:eastAsia="en-GB"/>
              </w:rPr>
              <w:t xml:space="preserve"> and cross-border co-operation structures. Both also advocate increased co-operation through more efficient use of European Groupings of Territorial Co-operation and territorial Pacts to promote more effective territorial governance between actors from local to EU level</w:t>
            </w:r>
          </w:p>
        </w:tc>
      </w:tr>
      <w:tr w:rsidR="005313BC" w:rsidRPr="0053351E" w:rsidTr="009E2E53">
        <w:trPr>
          <w:trHeight w:val="96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 xml:space="preserve">Promoting facilitation of co-operation over external EU borders </w:t>
            </w: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roofErr w:type="spellStart"/>
            <w:r w:rsidRPr="0053351E">
              <w:rPr>
                <w:rFonts w:eastAsia="Times New Roman"/>
                <w:b/>
                <w:bCs/>
                <w:sz w:val="18"/>
                <w:szCs w:val="18"/>
                <w:lang w:val="en-GB" w:eastAsia="en-GB"/>
              </w:rPr>
              <w:t>Euroregion</w:t>
            </w:r>
            <w:proofErr w:type="spellEnd"/>
            <w:r w:rsidRPr="0053351E">
              <w:rPr>
                <w:rFonts w:eastAsia="Times New Roman"/>
                <w:b/>
                <w:bCs/>
                <w:sz w:val="18"/>
                <w:szCs w:val="18"/>
                <w:lang w:val="en-GB" w:eastAsia="en-GB"/>
              </w:rPr>
              <w:t xml:space="preserve"> Baltic and NEEBOR </w:t>
            </w:r>
            <w:r w:rsidRPr="0053351E">
              <w:rPr>
                <w:rFonts w:eastAsia="Times New Roman"/>
                <w:sz w:val="18"/>
                <w:szCs w:val="18"/>
                <w:lang w:val="en-GB" w:eastAsia="en-GB"/>
              </w:rPr>
              <w:t>specifically promote the use of macro-regional strategies such as the EU Strategy for the BSR as good practice in terms of governance and co-operation</w:t>
            </w:r>
          </w:p>
        </w:tc>
      </w:tr>
      <w:tr w:rsidR="005313BC" w:rsidRPr="0053351E" w:rsidTr="009E2E53">
        <w:trPr>
          <w:trHeight w:val="72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Sectors where it is important to consider the territorial impacts: rural development, transport, energy, environment and  culture</w:t>
            </w: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proofErr w:type="spellStart"/>
            <w:r w:rsidRPr="0053351E">
              <w:rPr>
                <w:rFonts w:eastAsia="Times New Roman"/>
                <w:b/>
                <w:bCs/>
                <w:sz w:val="18"/>
                <w:szCs w:val="18"/>
                <w:lang w:val="en-GB" w:eastAsia="en-GB"/>
              </w:rPr>
              <w:t>Euroregion</w:t>
            </w:r>
            <w:proofErr w:type="spellEnd"/>
            <w:r w:rsidRPr="0053351E">
              <w:rPr>
                <w:rFonts w:eastAsia="Times New Roman"/>
                <w:b/>
                <w:bCs/>
                <w:sz w:val="18"/>
                <w:szCs w:val="18"/>
                <w:lang w:val="en-GB" w:eastAsia="en-GB"/>
              </w:rPr>
              <w:t xml:space="preserve"> Baltic and B7 Islands</w:t>
            </w:r>
            <w:r w:rsidRPr="0053351E">
              <w:rPr>
                <w:rFonts w:eastAsia="Times New Roman"/>
                <w:sz w:val="18"/>
                <w:szCs w:val="18"/>
                <w:lang w:val="en-GB" w:eastAsia="en-GB"/>
              </w:rPr>
              <w:t xml:space="preserve"> both identify the importance of an integrated maritime policy</w:t>
            </w:r>
          </w:p>
        </w:tc>
      </w:tr>
      <w:tr w:rsidR="005313BC" w:rsidRPr="0053351E" w:rsidTr="009E2E53">
        <w:trPr>
          <w:trHeight w:val="30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proofErr w:type="spellStart"/>
            <w:r w:rsidRPr="0053351E">
              <w:rPr>
                <w:rFonts w:eastAsia="Times New Roman"/>
                <w:b/>
                <w:bCs/>
                <w:sz w:val="18"/>
                <w:szCs w:val="18"/>
                <w:lang w:val="en-GB" w:eastAsia="en-GB"/>
              </w:rPr>
              <w:t>Euroregion</w:t>
            </w:r>
            <w:proofErr w:type="spellEnd"/>
            <w:r w:rsidRPr="0053351E">
              <w:rPr>
                <w:rFonts w:eastAsia="Times New Roman"/>
                <w:b/>
                <w:bCs/>
                <w:sz w:val="18"/>
                <w:szCs w:val="18"/>
                <w:lang w:val="en-GB" w:eastAsia="en-GB"/>
              </w:rPr>
              <w:t xml:space="preserve"> Baltic and CPMR</w:t>
            </w:r>
            <w:r w:rsidRPr="0053351E">
              <w:rPr>
                <w:rFonts w:eastAsia="Times New Roman"/>
                <w:sz w:val="18"/>
                <w:szCs w:val="18"/>
                <w:lang w:val="en-GB" w:eastAsia="en-GB"/>
              </w:rPr>
              <w:t xml:space="preserve"> both identify state aid</w:t>
            </w:r>
          </w:p>
        </w:tc>
      </w:tr>
      <w:tr w:rsidR="005313BC" w:rsidRPr="0053351E" w:rsidTr="009E2E53">
        <w:trPr>
          <w:trHeight w:val="48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proofErr w:type="spellStart"/>
            <w:r w:rsidRPr="0053351E">
              <w:rPr>
                <w:rFonts w:eastAsia="Times New Roman"/>
                <w:b/>
                <w:bCs/>
                <w:sz w:val="18"/>
                <w:szCs w:val="18"/>
                <w:lang w:val="en-GB" w:eastAsia="en-GB"/>
              </w:rPr>
              <w:t>Euroregion</w:t>
            </w:r>
            <w:proofErr w:type="spellEnd"/>
            <w:r w:rsidRPr="0053351E">
              <w:rPr>
                <w:rFonts w:eastAsia="Times New Roman"/>
                <w:b/>
                <w:bCs/>
                <w:sz w:val="18"/>
                <w:szCs w:val="18"/>
                <w:lang w:val="en-GB" w:eastAsia="en-GB"/>
              </w:rPr>
              <w:t xml:space="preserve"> Baltic</w:t>
            </w:r>
            <w:r w:rsidRPr="0053351E">
              <w:rPr>
                <w:rFonts w:eastAsia="Times New Roman"/>
                <w:sz w:val="18"/>
                <w:szCs w:val="18"/>
                <w:lang w:val="en-GB" w:eastAsia="en-GB"/>
              </w:rPr>
              <w:t xml:space="preserve"> identifies access to services and climate change</w:t>
            </w:r>
          </w:p>
        </w:tc>
      </w:tr>
      <w:tr w:rsidR="005313BC" w:rsidRPr="0053351E" w:rsidTr="009E2E53">
        <w:trPr>
          <w:trHeight w:val="300"/>
        </w:trPr>
        <w:tc>
          <w:tcPr>
            <w:tcW w:w="1433" w:type="dxa"/>
            <w:tcBorders>
              <w:top w:val="nil"/>
              <w:left w:val="nil"/>
              <w:bottom w:val="single" w:sz="4" w:space="0" w:color="auto"/>
              <w:right w:val="nil"/>
            </w:tcBorders>
            <w:shd w:val="clear" w:color="auto" w:fill="auto"/>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single" w:sz="4" w:space="0" w:color="auto"/>
              <w:right w:val="nil"/>
            </w:tcBorders>
            <w:shd w:val="clear" w:color="auto" w:fill="auto"/>
            <w:hideMark/>
          </w:tcPr>
          <w:p w:rsidR="005313BC" w:rsidRPr="0053351E" w:rsidRDefault="005313BC" w:rsidP="005313BC">
            <w:pPr>
              <w:rPr>
                <w:rFonts w:eastAsia="Times New Roman"/>
                <w:sz w:val="18"/>
                <w:szCs w:val="18"/>
                <w:lang w:val="en-GB" w:eastAsia="en-GB"/>
              </w:rPr>
            </w:pPr>
          </w:p>
        </w:tc>
        <w:tc>
          <w:tcPr>
            <w:tcW w:w="3899" w:type="dxa"/>
            <w:tcBorders>
              <w:top w:val="nil"/>
              <w:left w:val="nil"/>
              <w:bottom w:val="single" w:sz="4" w:space="0" w:color="auto"/>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b/>
                <w:bCs/>
                <w:sz w:val="18"/>
                <w:szCs w:val="18"/>
                <w:lang w:val="en-GB" w:eastAsia="en-GB"/>
              </w:rPr>
              <w:t>CPMR</w:t>
            </w:r>
            <w:r w:rsidRPr="0053351E">
              <w:rPr>
                <w:rFonts w:eastAsia="Times New Roman"/>
                <w:sz w:val="18"/>
                <w:szCs w:val="18"/>
                <w:lang w:val="en-GB" w:eastAsia="en-GB"/>
              </w:rPr>
              <w:t xml:space="preserve"> identify ICT infrastructure</w:t>
            </w:r>
          </w:p>
        </w:tc>
      </w:tr>
      <w:tr w:rsidR="005313BC" w:rsidRPr="0053351E" w:rsidTr="009E2E53">
        <w:trPr>
          <w:trHeight w:val="315"/>
        </w:trPr>
        <w:tc>
          <w:tcPr>
            <w:tcW w:w="1433" w:type="dxa"/>
            <w:tcBorders>
              <w:top w:val="single" w:sz="4" w:space="0" w:color="auto"/>
              <w:left w:val="nil"/>
              <w:bottom w:val="single" w:sz="8" w:space="0" w:color="auto"/>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New territorial partnerships</w:t>
            </w:r>
          </w:p>
        </w:tc>
        <w:tc>
          <w:tcPr>
            <w:tcW w:w="3898" w:type="dxa"/>
            <w:tcBorders>
              <w:top w:val="single" w:sz="4" w:space="0" w:color="auto"/>
              <w:left w:val="nil"/>
              <w:bottom w:val="single" w:sz="8" w:space="0" w:color="auto"/>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Key role for established territorial partnerships</w:t>
            </w:r>
          </w:p>
        </w:tc>
        <w:tc>
          <w:tcPr>
            <w:tcW w:w="3899" w:type="dxa"/>
            <w:tcBorders>
              <w:top w:val="single" w:sz="4" w:space="0" w:color="auto"/>
              <w:left w:val="nil"/>
              <w:bottom w:val="single" w:sz="8" w:space="0" w:color="auto"/>
              <w:right w:val="nil"/>
            </w:tcBorders>
            <w:shd w:val="clear" w:color="auto" w:fill="auto"/>
            <w:noWrap/>
            <w:vAlign w:val="bottom"/>
            <w:hideMark/>
          </w:tcPr>
          <w:p w:rsidR="005313BC" w:rsidRPr="0053351E" w:rsidRDefault="005313BC" w:rsidP="005313BC">
            <w:pPr>
              <w:rPr>
                <w:rFonts w:ascii="Calibri" w:eastAsia="Times New Roman" w:hAnsi="Calibri"/>
                <w:sz w:val="22"/>
                <w:szCs w:val="22"/>
                <w:lang w:val="en-GB" w:eastAsia="en-GB"/>
              </w:rPr>
            </w:pPr>
            <w:r w:rsidRPr="0053351E">
              <w:rPr>
                <w:rFonts w:ascii="Calibri" w:eastAsia="Times New Roman" w:hAnsi="Calibri"/>
                <w:sz w:val="22"/>
                <w:szCs w:val="22"/>
                <w:lang w:val="en-GB" w:eastAsia="en-GB"/>
              </w:rPr>
              <w:t> </w:t>
            </w:r>
          </w:p>
        </w:tc>
      </w:tr>
      <w:tr w:rsidR="005313BC" w:rsidRPr="0053351E" w:rsidTr="009E2E53">
        <w:trPr>
          <w:trHeight w:val="144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Improving the understanding of territorial cohesion</w:t>
            </w: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Developing more diverse effective and meaningful territorial cohesion goals and indicators</w:t>
            </w: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roofErr w:type="spellStart"/>
            <w:r w:rsidRPr="0053351E">
              <w:rPr>
                <w:rFonts w:eastAsia="Times New Roman"/>
                <w:b/>
                <w:bCs/>
                <w:sz w:val="18"/>
                <w:szCs w:val="18"/>
                <w:lang w:val="en-GB" w:eastAsia="en-GB"/>
              </w:rPr>
              <w:t>Euroregion</w:t>
            </w:r>
            <w:proofErr w:type="spellEnd"/>
            <w:r w:rsidRPr="0053351E">
              <w:rPr>
                <w:rFonts w:eastAsia="Times New Roman"/>
                <w:b/>
                <w:bCs/>
                <w:sz w:val="18"/>
                <w:szCs w:val="18"/>
                <w:lang w:val="en-GB" w:eastAsia="en-GB"/>
              </w:rPr>
              <w:t xml:space="preserve"> Baltic, CPMR and B7 Islands </w:t>
            </w:r>
            <w:r w:rsidRPr="0053351E">
              <w:rPr>
                <w:rFonts w:eastAsia="Times New Roman"/>
                <w:sz w:val="18"/>
                <w:szCs w:val="18"/>
                <w:lang w:val="en-GB" w:eastAsia="en-GB"/>
              </w:rPr>
              <w:t xml:space="preserve">identify the importance of qualitative and quantitative indicators focusing on geographical </w:t>
            </w:r>
            <w:proofErr w:type="spellStart"/>
            <w:r w:rsidRPr="0053351E">
              <w:rPr>
                <w:rFonts w:eastAsia="Times New Roman"/>
                <w:sz w:val="18"/>
                <w:szCs w:val="18"/>
                <w:lang w:val="en-GB" w:eastAsia="en-GB"/>
              </w:rPr>
              <w:t>peripherality</w:t>
            </w:r>
            <w:proofErr w:type="spellEnd"/>
            <w:r w:rsidRPr="0053351E">
              <w:rPr>
                <w:rFonts w:eastAsia="Times New Roman"/>
                <w:sz w:val="18"/>
                <w:szCs w:val="18"/>
                <w:lang w:val="en-GB" w:eastAsia="en-GB"/>
              </w:rPr>
              <w:t xml:space="preserve"> and associated challenges relating to accessibility, access to services, demographic trends, quality of life and quality of the environment </w:t>
            </w:r>
          </w:p>
        </w:tc>
      </w:tr>
      <w:tr w:rsidR="005313BC" w:rsidRPr="0053351E" w:rsidTr="009E2E53">
        <w:trPr>
          <w:trHeight w:val="720"/>
        </w:trPr>
        <w:tc>
          <w:tcPr>
            <w:tcW w:w="1433"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p>
        </w:tc>
        <w:tc>
          <w:tcPr>
            <w:tcW w:w="3898" w:type="dxa"/>
            <w:tcBorders>
              <w:top w:val="nil"/>
              <w:left w:val="nil"/>
              <w:bottom w:val="nil"/>
              <w:right w:val="nil"/>
            </w:tcBorders>
            <w:shd w:val="clear" w:color="auto" w:fill="auto"/>
            <w:hideMark/>
          </w:tcPr>
          <w:p w:rsidR="005313BC" w:rsidRPr="0053351E" w:rsidRDefault="005313BC" w:rsidP="005313BC">
            <w:pPr>
              <w:rPr>
                <w:rFonts w:eastAsia="Times New Roman"/>
                <w:sz w:val="18"/>
                <w:szCs w:val="18"/>
                <w:lang w:val="en-GB" w:eastAsia="en-GB"/>
              </w:rPr>
            </w:pPr>
          </w:p>
        </w:tc>
        <w:tc>
          <w:tcPr>
            <w:tcW w:w="3899" w:type="dxa"/>
            <w:tcBorders>
              <w:top w:val="nil"/>
              <w:left w:val="nil"/>
              <w:bottom w:val="nil"/>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 xml:space="preserve">NEEBOR </w:t>
            </w:r>
            <w:r w:rsidRPr="0053351E">
              <w:rPr>
                <w:rFonts w:eastAsia="Times New Roman"/>
                <w:sz w:val="18"/>
                <w:szCs w:val="18"/>
                <w:lang w:val="en-GB" w:eastAsia="en-GB"/>
              </w:rPr>
              <w:t xml:space="preserve">call for more diverse indicators and </w:t>
            </w:r>
            <w:r w:rsidRPr="0053351E">
              <w:rPr>
                <w:rFonts w:eastAsia="Times New Roman"/>
                <w:b/>
                <w:bCs/>
                <w:sz w:val="18"/>
                <w:szCs w:val="18"/>
                <w:lang w:val="en-GB" w:eastAsia="en-GB"/>
              </w:rPr>
              <w:t>Innovation Circle</w:t>
            </w:r>
            <w:r w:rsidRPr="0053351E">
              <w:rPr>
                <w:rFonts w:eastAsia="Times New Roman"/>
                <w:sz w:val="18"/>
                <w:szCs w:val="18"/>
                <w:lang w:val="en-GB" w:eastAsia="en-GB"/>
              </w:rPr>
              <w:t xml:space="preserve"> emphasise the importance of local distinctiveness</w:t>
            </w:r>
          </w:p>
        </w:tc>
      </w:tr>
      <w:tr w:rsidR="005313BC" w:rsidRPr="0053351E" w:rsidTr="009E2E53">
        <w:trPr>
          <w:trHeight w:val="975"/>
        </w:trPr>
        <w:tc>
          <w:tcPr>
            <w:tcW w:w="1433" w:type="dxa"/>
            <w:tcBorders>
              <w:top w:val="nil"/>
              <w:left w:val="nil"/>
              <w:bottom w:val="single" w:sz="8" w:space="0" w:color="auto"/>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 </w:t>
            </w:r>
          </w:p>
        </w:tc>
        <w:tc>
          <w:tcPr>
            <w:tcW w:w="3898" w:type="dxa"/>
            <w:tcBorders>
              <w:top w:val="nil"/>
              <w:left w:val="nil"/>
              <w:bottom w:val="single" w:sz="8" w:space="0" w:color="auto"/>
              <w:right w:val="nil"/>
            </w:tcBorders>
            <w:shd w:val="clear" w:color="auto" w:fill="auto"/>
            <w:hideMark/>
          </w:tcPr>
          <w:p w:rsidR="005313BC" w:rsidRPr="0053351E" w:rsidRDefault="005313BC" w:rsidP="005313BC">
            <w:pPr>
              <w:rPr>
                <w:rFonts w:eastAsia="Times New Roman"/>
                <w:sz w:val="18"/>
                <w:szCs w:val="18"/>
                <w:lang w:val="en-GB" w:eastAsia="en-GB"/>
              </w:rPr>
            </w:pPr>
            <w:r w:rsidRPr="0053351E">
              <w:rPr>
                <w:rFonts w:eastAsia="Times New Roman"/>
                <w:sz w:val="18"/>
                <w:szCs w:val="18"/>
                <w:lang w:val="en-GB" w:eastAsia="en-GB"/>
              </w:rPr>
              <w:t> </w:t>
            </w:r>
          </w:p>
        </w:tc>
        <w:tc>
          <w:tcPr>
            <w:tcW w:w="3899" w:type="dxa"/>
            <w:tcBorders>
              <w:top w:val="nil"/>
              <w:left w:val="nil"/>
              <w:bottom w:val="single" w:sz="8" w:space="0" w:color="auto"/>
              <w:right w:val="nil"/>
            </w:tcBorders>
            <w:shd w:val="clear" w:color="auto" w:fill="auto"/>
            <w:hideMark/>
          </w:tcPr>
          <w:p w:rsidR="005313BC" w:rsidRPr="0053351E" w:rsidRDefault="005313BC" w:rsidP="005313BC">
            <w:pPr>
              <w:rPr>
                <w:rFonts w:eastAsia="Times New Roman"/>
                <w:b/>
                <w:bCs/>
                <w:sz w:val="18"/>
                <w:szCs w:val="18"/>
                <w:lang w:val="en-GB" w:eastAsia="en-GB"/>
              </w:rPr>
            </w:pPr>
            <w:r w:rsidRPr="0053351E">
              <w:rPr>
                <w:rFonts w:eastAsia="Times New Roman"/>
                <w:b/>
                <w:bCs/>
                <w:sz w:val="18"/>
                <w:szCs w:val="18"/>
                <w:lang w:val="en-GB" w:eastAsia="en-GB"/>
              </w:rPr>
              <w:t xml:space="preserve">CPMR </w:t>
            </w:r>
            <w:r w:rsidRPr="0053351E">
              <w:rPr>
                <w:rFonts w:eastAsia="Times New Roman"/>
                <w:sz w:val="18"/>
                <w:szCs w:val="18"/>
                <w:lang w:val="en-GB" w:eastAsia="en-GB"/>
              </w:rPr>
              <w:t xml:space="preserve">call for a central role for ESPON in generating knowledge resources necessary to inform decision making but also emphasise the importance of local/regional knowledge </w:t>
            </w:r>
          </w:p>
        </w:tc>
      </w:tr>
    </w:tbl>
    <w:p w:rsidR="00F56640" w:rsidRPr="0053351E" w:rsidRDefault="00F56640" w:rsidP="0015130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480" w:lineRule="auto"/>
        <w:ind w:left="284" w:hanging="284"/>
        <w:jc w:val="both"/>
        <w:rPr>
          <w:rFonts w:eastAsia="Times New Roman"/>
          <w:b/>
          <w:color w:val="auto"/>
          <w:sz w:val="22"/>
          <w:szCs w:val="22"/>
          <w:lang w:val="en-GB"/>
        </w:rPr>
      </w:pPr>
      <w:r w:rsidRPr="0053351E">
        <w:rPr>
          <w:sz w:val="18"/>
          <w:szCs w:val="18"/>
          <w:lang w:val="en-GB"/>
        </w:rPr>
        <w:t>Source: authors’ own elaboration.</w:t>
      </w:r>
    </w:p>
    <w:sectPr w:rsidR="00F56640" w:rsidRPr="0053351E" w:rsidSect="00ED6441">
      <w:pgSz w:w="11900" w:h="16840"/>
      <w:pgMar w:top="1418" w:right="1418" w:bottom="1134" w:left="1418"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2B18" w:rsidRDefault="00982B18">
      <w:r>
        <w:separator/>
      </w:r>
    </w:p>
  </w:endnote>
  <w:endnote w:type="continuationSeparator" w:id="0">
    <w:p w:rsidR="00982B18" w:rsidRDefault="00982B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altName w:val="Arial"/>
    <w:charset w:val="00"/>
    <w:family w:val="auto"/>
    <w:pitch w:val="variable"/>
    <w:sig w:usb0="E1000AEF" w:usb1="5000A1FF" w:usb2="00000000" w:usb3="00000000" w:csb0="000001BF" w:csb1="00000000"/>
  </w:font>
  <w:font w:name="ヒラギノ角ゴ Pro W3">
    <w:altName w:val="MS Mincho"/>
    <w:charset w:val="4E"/>
    <w:family w:val="auto"/>
    <w:pitch w:val="variable"/>
    <w:sig w:usb0="00000000" w:usb1="08070000" w:usb2="00000010" w:usb3="00000000" w:csb0="0002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2EB" w:rsidRDefault="001B6321">
    <w:pPr>
      <w:pStyle w:val="Footer1"/>
      <w:jc w:val="right"/>
    </w:pPr>
    <w:r>
      <w:fldChar w:fldCharType="begin"/>
    </w:r>
    <w:r>
      <w:instrText xml:space="preserve"> PAGE </w:instrText>
    </w:r>
    <w:r>
      <w:fldChar w:fldCharType="separate"/>
    </w:r>
    <w:r>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2EB" w:rsidRDefault="001B6321">
    <w:pPr>
      <w:pStyle w:val="Footer1"/>
      <w:jc w:val="right"/>
    </w:pPr>
    <w:r>
      <w:fldChar w:fldCharType="begin"/>
    </w:r>
    <w:r>
      <w:instrText xml:space="preserve"> PAGE </w:instrText>
    </w:r>
    <w:r>
      <w:fldChar w:fldCharType="separate"/>
    </w:r>
    <w:r>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2B18" w:rsidRDefault="00982B18">
      <w:r>
        <w:separator/>
      </w:r>
    </w:p>
  </w:footnote>
  <w:footnote w:type="continuationSeparator" w:id="0">
    <w:p w:rsidR="00982B18" w:rsidRDefault="00982B18">
      <w:r>
        <w:continuationSeparator/>
      </w:r>
    </w:p>
  </w:footnote>
  <w:footnote w:id="1">
    <w:p w:rsidR="000E42EB" w:rsidRPr="00944E2E" w:rsidRDefault="000E42EB" w:rsidP="005D1FDA">
      <w:pPr>
        <w:pStyle w:val="Testonotaapidipagina"/>
        <w:jc w:val="both"/>
        <w:rPr>
          <w:sz w:val="18"/>
          <w:szCs w:val="18"/>
        </w:rPr>
      </w:pPr>
      <w:r w:rsidRPr="00944E2E">
        <w:rPr>
          <w:rStyle w:val="Rimandonotaapidipagina"/>
          <w:sz w:val="18"/>
          <w:szCs w:val="18"/>
        </w:rPr>
        <w:footnoteRef/>
      </w:r>
      <w:r>
        <w:rPr>
          <w:sz w:val="18"/>
          <w:szCs w:val="18"/>
          <w:lang w:val="en-GB"/>
        </w:rPr>
        <w:t>T</w:t>
      </w:r>
      <w:r w:rsidRPr="00944E2E">
        <w:rPr>
          <w:sz w:val="18"/>
          <w:szCs w:val="18"/>
          <w:lang w:val="en-GB"/>
        </w:rPr>
        <w:t>he methodology for this paper involved a series of semi-structured interviews undertaken in late 2010 and early 2011 with some of the key spatial planning and regional development actors in the Baltic States</w:t>
      </w:r>
      <w:r>
        <w:rPr>
          <w:sz w:val="18"/>
          <w:szCs w:val="18"/>
          <w:lang w:val="en-GB"/>
        </w:rPr>
        <w:t>,</w:t>
      </w:r>
      <w:r w:rsidRPr="00944E2E">
        <w:rPr>
          <w:sz w:val="18"/>
          <w:szCs w:val="18"/>
          <w:lang w:val="en-GB"/>
        </w:rPr>
        <w:t xml:space="preserve"> including academics, civil servants and practitioners active at the national and sub-national levels in both the public and private sector. </w:t>
      </w:r>
      <w:r>
        <w:rPr>
          <w:sz w:val="18"/>
          <w:szCs w:val="18"/>
          <w:lang w:val="en-GB"/>
        </w:rPr>
        <w:t xml:space="preserve">Identities have been concealed upon request of the interviewees. </w:t>
      </w:r>
      <w:r w:rsidRPr="00944E2E">
        <w:rPr>
          <w:sz w:val="18"/>
          <w:szCs w:val="18"/>
          <w:lang w:val="en-GB"/>
        </w:rPr>
        <w:t xml:space="preserve">The data generated during this process has supplemented desktop analysis of relevant documents and databases, with a particular focus on the responses to the Green Paper on Territorial Cohesion and the relevant websites for </w:t>
      </w:r>
      <w:proofErr w:type="spellStart"/>
      <w:r w:rsidRPr="00944E2E">
        <w:rPr>
          <w:sz w:val="18"/>
          <w:szCs w:val="18"/>
          <w:lang w:val="en-GB"/>
        </w:rPr>
        <w:t>Interreg</w:t>
      </w:r>
      <w:proofErr w:type="spellEnd"/>
      <w:r w:rsidRPr="00944E2E">
        <w:rPr>
          <w:sz w:val="18"/>
          <w:szCs w:val="18"/>
          <w:lang w:val="en-GB"/>
        </w:rPr>
        <w:t xml:space="preserve"> and ESPON programmes and projects</w:t>
      </w:r>
      <w:r>
        <w:rPr>
          <w:sz w:val="18"/>
          <w:szCs w:val="18"/>
          <w:lang w:val="en-GB"/>
        </w:rPr>
        <w:t>.</w:t>
      </w:r>
    </w:p>
  </w:footnote>
  <w:footnote w:id="2">
    <w:p w:rsidR="000E42EB" w:rsidRPr="00151303" w:rsidRDefault="000E42EB" w:rsidP="00704790">
      <w:pPr>
        <w:pStyle w:val="FootnoteText1"/>
        <w:rPr>
          <w:rFonts w:eastAsia="Times New Roman"/>
          <w:color w:val="auto"/>
          <w:sz w:val="18"/>
          <w:szCs w:val="18"/>
          <w:lang w:eastAsia="en-US"/>
        </w:rPr>
      </w:pPr>
      <w:r w:rsidRPr="005A65A5">
        <w:rPr>
          <w:rStyle w:val="FootnoteReference1"/>
          <w:sz w:val="18"/>
          <w:szCs w:val="18"/>
        </w:rPr>
        <w:footnoteRef/>
      </w:r>
      <w:r w:rsidRPr="005A65A5">
        <w:rPr>
          <w:sz w:val="18"/>
          <w:szCs w:val="18"/>
        </w:rPr>
        <w:t xml:space="preserve"> Chief Planner for Riga City in the inter-war period, whose ideas were influenced by the English Garden City movement and resulted in proposals for low density suburban development.</w:t>
      </w:r>
    </w:p>
  </w:footnote>
  <w:footnote w:id="3">
    <w:p w:rsidR="000E42EB" w:rsidRPr="00DF75C0" w:rsidRDefault="000E42EB" w:rsidP="00917F91">
      <w:pPr>
        <w:pStyle w:val="Testonotaapidipagina"/>
        <w:jc w:val="both"/>
        <w:rPr>
          <w:lang w:val="en-GB"/>
        </w:rPr>
      </w:pPr>
      <w:r w:rsidRPr="00151303">
        <w:rPr>
          <w:rStyle w:val="Rimandonotaapidipagina"/>
          <w:sz w:val="18"/>
          <w:szCs w:val="18"/>
        </w:rPr>
        <w:footnoteRef/>
      </w:r>
      <w:r w:rsidRPr="00151303">
        <w:rPr>
          <w:sz w:val="18"/>
          <w:szCs w:val="18"/>
        </w:rPr>
        <w:t xml:space="preserve"> </w:t>
      </w:r>
      <w:r w:rsidRPr="00151303">
        <w:rPr>
          <w:sz w:val="18"/>
          <w:szCs w:val="18"/>
          <w:lang w:val="en-GB"/>
        </w:rPr>
        <w:t>There is only one dedicated postgraduate programme in spatial planning available in the Baltic States (started at the University of Latvia in 2007)</w:t>
      </w:r>
    </w:p>
  </w:footnote>
  <w:footnote w:id="4">
    <w:p w:rsidR="000E42EB" w:rsidRDefault="000E42EB" w:rsidP="00704790">
      <w:pPr>
        <w:pStyle w:val="FootnoteText1"/>
        <w:jc w:val="both"/>
        <w:rPr>
          <w:rFonts w:eastAsia="Times New Roman"/>
          <w:color w:val="auto"/>
          <w:lang w:eastAsia="en-US"/>
        </w:rPr>
      </w:pPr>
      <w:r>
        <w:rPr>
          <w:rStyle w:val="FootnoteReference1"/>
          <w:sz w:val="18"/>
        </w:rPr>
        <w:footnoteRef/>
      </w:r>
      <w:r>
        <w:rPr>
          <w:sz w:val="18"/>
        </w:rPr>
        <w:t xml:space="preserve"> The Estonian Association, for example, is a full member of the European Council of Spatial Planners, which provides opportunities for exposure to and engagement in European debates.</w:t>
      </w:r>
    </w:p>
  </w:footnote>
  <w:footnote w:id="5">
    <w:p w:rsidR="00E86CB6" w:rsidRDefault="00E86CB6" w:rsidP="00E86CB6">
      <w:pPr>
        <w:pStyle w:val="FootnoteText1"/>
        <w:tabs>
          <w:tab w:val="left" w:pos="0"/>
        </w:tabs>
        <w:jc w:val="both"/>
        <w:rPr>
          <w:rFonts w:eastAsia="Times New Roman"/>
          <w:color w:val="auto"/>
          <w:lang w:eastAsia="en-US"/>
        </w:rPr>
      </w:pPr>
      <w:r>
        <w:rPr>
          <w:rStyle w:val="FootnoteReference1"/>
        </w:rPr>
        <w:footnoteRef/>
      </w:r>
      <w:r>
        <w:rPr>
          <w:sz w:val="18"/>
        </w:rPr>
        <w:t xml:space="preserve"> List of VASAB achievements identified at the 2009 Vilnius conference: 1) Defined common vision and principles for sustainable spatial development in the BSR; 2) Inspired transnational spatial planning policy documents within the framework of CEMAT and the EU; 3) Provided a forum for discussion on spatial policy issues within the BSR; 4) Improved basic knowledge on spatial development processes and challenges in the BSR; 5) Initiated integrate coastal zone management and maritime spatial planning processes in BSR; 6) Strengthened spatial planning at national and regional level (with the emphasis on new EU countries); 7) Generated transnational co-operation projects; 8) Contributed to </w:t>
      </w:r>
      <w:proofErr w:type="spellStart"/>
      <w:r>
        <w:rPr>
          <w:sz w:val="18"/>
        </w:rPr>
        <w:t>InterreegIIC</w:t>
      </w:r>
      <w:proofErr w:type="spellEnd"/>
      <w:r>
        <w:rPr>
          <w:sz w:val="18"/>
        </w:rPr>
        <w:t xml:space="preserve"> and </w:t>
      </w:r>
      <w:proofErr w:type="spellStart"/>
      <w:r>
        <w:rPr>
          <w:sz w:val="18"/>
        </w:rPr>
        <w:t>Interreg</w:t>
      </w:r>
      <w:proofErr w:type="spellEnd"/>
      <w:r>
        <w:rPr>
          <w:sz w:val="18"/>
        </w:rPr>
        <w:t xml:space="preserve"> IIIB operational programmes for BSR ad to overcoming incompatibilities among </w:t>
      </w:r>
      <w:proofErr w:type="spellStart"/>
      <w:r>
        <w:rPr>
          <w:sz w:val="18"/>
        </w:rPr>
        <w:t>Interreg</w:t>
      </w:r>
      <w:proofErr w:type="spellEnd"/>
      <w:r>
        <w:rPr>
          <w:sz w:val="18"/>
        </w:rPr>
        <w:t>, PHARE and TACIS programmes.</w:t>
      </w:r>
    </w:p>
  </w:footnote>
  <w:footnote w:id="6">
    <w:p w:rsidR="000E42EB" w:rsidRDefault="000E42EB" w:rsidP="003F6B44">
      <w:pPr>
        <w:pStyle w:val="FootnoteText1"/>
        <w:jc w:val="both"/>
        <w:rPr>
          <w:rFonts w:eastAsia="Times New Roman"/>
          <w:color w:val="auto"/>
          <w:lang w:eastAsia="en-US"/>
        </w:rPr>
      </w:pPr>
      <w:r>
        <w:rPr>
          <w:rStyle w:val="FootnoteReference1"/>
          <w:sz w:val="18"/>
        </w:rPr>
        <w:footnoteRef/>
      </w:r>
      <w:r>
        <w:rPr>
          <w:sz w:val="18"/>
        </w:rPr>
        <w:t xml:space="preserve"> Estonian stakeholders confirmed during interviews that the Estonia 2030 process has been informed and influenced by the VASAB LTP and that the influence of the latter could be seen clearly in many local and county level planning documents.</w:t>
      </w:r>
    </w:p>
  </w:footnote>
  <w:footnote w:id="7">
    <w:p w:rsidR="000E42EB" w:rsidRPr="00CA15B8" w:rsidRDefault="000E42EB" w:rsidP="00CA15B8">
      <w:pPr>
        <w:pStyle w:val="Testonotaapidipagina"/>
        <w:jc w:val="both"/>
        <w:rPr>
          <w:sz w:val="18"/>
          <w:szCs w:val="18"/>
          <w:lang w:val="en-GB" w:eastAsia="en-GB"/>
        </w:rPr>
      </w:pPr>
      <w:r w:rsidRPr="00CA15B8">
        <w:rPr>
          <w:sz w:val="18"/>
          <w:szCs w:val="18"/>
          <w:lang w:val="en-GB" w:eastAsia="en-GB"/>
        </w:rPr>
        <w:footnoteRef/>
      </w:r>
      <w:r w:rsidRPr="00CA15B8">
        <w:rPr>
          <w:sz w:val="18"/>
          <w:szCs w:val="18"/>
          <w:lang w:val="en-GB" w:eastAsia="en-GB"/>
        </w:rPr>
        <w:t xml:space="preserve"> Creative </w:t>
      </w:r>
      <w:proofErr w:type="spellStart"/>
      <w:r w:rsidRPr="00CA15B8">
        <w:rPr>
          <w:sz w:val="18"/>
          <w:szCs w:val="18"/>
          <w:lang w:val="en-GB" w:eastAsia="en-GB"/>
        </w:rPr>
        <w:t>Metropoles</w:t>
      </w:r>
      <w:proofErr w:type="spellEnd"/>
      <w:r w:rsidRPr="00CA15B8">
        <w:rPr>
          <w:sz w:val="18"/>
          <w:szCs w:val="18"/>
          <w:lang w:val="en-GB" w:eastAsia="en-GB"/>
        </w:rPr>
        <w:t xml:space="preserve"> led by Riga City Council and includi</w:t>
      </w:r>
      <w:r>
        <w:rPr>
          <w:sz w:val="18"/>
          <w:szCs w:val="18"/>
          <w:lang w:val="en-GB" w:eastAsia="en-GB"/>
        </w:rPr>
        <w:t>ng all three Baltic capitals and</w:t>
      </w:r>
      <w:r w:rsidRPr="00CA15B8">
        <w:rPr>
          <w:sz w:val="18"/>
          <w:szCs w:val="18"/>
          <w:lang w:val="en-GB" w:eastAsia="en-GB"/>
        </w:rPr>
        <w:t xml:space="preserve"> CITIES led by Klaipeda City (Lithuania)</w:t>
      </w:r>
      <w:r>
        <w:rPr>
          <w:sz w:val="18"/>
          <w:szCs w:val="18"/>
          <w:lang w:val="en-GB" w:eastAsia="en-GB"/>
        </w:rPr>
        <w:t>.</w:t>
      </w:r>
    </w:p>
  </w:footnote>
  <w:footnote w:id="8">
    <w:p w:rsidR="000E42EB" w:rsidRPr="009963FF" w:rsidRDefault="000E42EB" w:rsidP="00CA15B8">
      <w:pPr>
        <w:pStyle w:val="Testonotaapidipagina"/>
        <w:jc w:val="both"/>
        <w:rPr>
          <w:sz w:val="18"/>
          <w:szCs w:val="18"/>
        </w:rPr>
      </w:pPr>
      <w:r w:rsidRPr="00CA15B8">
        <w:rPr>
          <w:rStyle w:val="Rimandonotaapidipagina"/>
          <w:sz w:val="18"/>
          <w:szCs w:val="18"/>
        </w:rPr>
        <w:footnoteRef/>
      </w:r>
      <w:r w:rsidRPr="00CA15B8">
        <w:rPr>
          <w:sz w:val="18"/>
          <w:szCs w:val="18"/>
        </w:rPr>
        <w:t xml:space="preserve"> </w:t>
      </w:r>
      <w:r w:rsidRPr="00CA15B8">
        <w:rPr>
          <w:sz w:val="18"/>
          <w:szCs w:val="18"/>
          <w:lang w:val="en-GB"/>
        </w:rPr>
        <w:t>Much ES</w:t>
      </w:r>
      <w:r>
        <w:rPr>
          <w:sz w:val="18"/>
          <w:szCs w:val="18"/>
          <w:lang w:val="en-GB"/>
        </w:rPr>
        <w:t>PON data is presented at NUTS2 or NUTS3</w:t>
      </w:r>
      <w:r w:rsidRPr="00CA15B8">
        <w:rPr>
          <w:sz w:val="18"/>
          <w:szCs w:val="18"/>
          <w:lang w:val="en-GB"/>
        </w:rPr>
        <w:t xml:space="preserve"> levels and therefore provides only limited insights in terms of sub-national </w:t>
      </w:r>
      <w:r w:rsidRPr="009963FF">
        <w:rPr>
          <w:sz w:val="18"/>
          <w:szCs w:val="18"/>
          <w:lang w:val="en-GB"/>
        </w:rPr>
        <w:t xml:space="preserve">issues for the individual Baltic States, that in the ESPON space constitute as many NUTS2 regions, </w:t>
      </w:r>
    </w:p>
  </w:footnote>
  <w:footnote w:id="9">
    <w:p w:rsidR="000E42EB" w:rsidRPr="009963FF" w:rsidRDefault="000E42EB" w:rsidP="00CA15B8">
      <w:pPr>
        <w:pStyle w:val="Testonotaapidipagina"/>
        <w:jc w:val="both"/>
        <w:rPr>
          <w:rFonts w:eastAsia="Times New Roman"/>
          <w:color w:val="auto"/>
          <w:sz w:val="18"/>
          <w:szCs w:val="18"/>
          <w:lang w:val="en-GB"/>
        </w:rPr>
      </w:pPr>
      <w:r w:rsidRPr="009963FF">
        <w:rPr>
          <w:rStyle w:val="Rimandonotaapidipagina"/>
          <w:sz w:val="18"/>
          <w:szCs w:val="18"/>
        </w:rPr>
        <w:footnoteRef/>
      </w:r>
      <w:r w:rsidRPr="009963FF">
        <w:rPr>
          <w:sz w:val="18"/>
          <w:szCs w:val="18"/>
        </w:rPr>
        <w:t xml:space="preserve"> The role of the national contact points is essential in terms of disseminating information and providing advice about the </w:t>
      </w:r>
      <w:proofErr w:type="spellStart"/>
      <w:r w:rsidRPr="009963FF">
        <w:rPr>
          <w:sz w:val="18"/>
          <w:szCs w:val="18"/>
        </w:rPr>
        <w:t>Programme</w:t>
      </w:r>
      <w:proofErr w:type="spellEnd"/>
      <w:r w:rsidRPr="009963FF">
        <w:rPr>
          <w:sz w:val="18"/>
          <w:szCs w:val="18"/>
        </w:rPr>
        <w:t xml:space="preserve"> to potential participants and the lack of an effective contact point provides a significant barrier to participation.</w:t>
      </w:r>
    </w:p>
  </w:footnote>
  <w:footnote w:id="10">
    <w:p w:rsidR="000E42EB" w:rsidRPr="009963FF" w:rsidRDefault="000E42EB" w:rsidP="00CA15B8">
      <w:pPr>
        <w:pStyle w:val="Testonotaapidipagina"/>
        <w:jc w:val="both"/>
        <w:rPr>
          <w:rFonts w:eastAsia="Times New Roman"/>
          <w:color w:val="auto"/>
          <w:sz w:val="18"/>
          <w:szCs w:val="18"/>
          <w:lang w:val="en-GB"/>
        </w:rPr>
      </w:pPr>
      <w:r w:rsidRPr="009963FF">
        <w:rPr>
          <w:rStyle w:val="Rimandonotaapidipagina"/>
          <w:sz w:val="18"/>
          <w:szCs w:val="18"/>
        </w:rPr>
        <w:footnoteRef/>
      </w:r>
      <w:r w:rsidRPr="009963FF">
        <w:rPr>
          <w:sz w:val="18"/>
          <w:szCs w:val="18"/>
        </w:rPr>
        <w:t xml:space="preserve"> EUROSILANDS project focusing on the sustainable development of the European islands included </w:t>
      </w:r>
      <w:proofErr w:type="spellStart"/>
      <w:r w:rsidRPr="009963FF">
        <w:rPr>
          <w:sz w:val="18"/>
          <w:szCs w:val="18"/>
        </w:rPr>
        <w:t>Saarema</w:t>
      </w:r>
      <w:proofErr w:type="spellEnd"/>
      <w:r w:rsidRPr="009963FF">
        <w:rPr>
          <w:sz w:val="18"/>
          <w:szCs w:val="18"/>
        </w:rPr>
        <w:t xml:space="preserve"> County in Estonia and the PURR: Potential of Rural Regions has stakeholder regions in the UK, Norway and Latvia</w:t>
      </w:r>
    </w:p>
  </w:footnote>
  <w:footnote w:id="11">
    <w:p w:rsidR="000E42EB" w:rsidRPr="004A29F8" w:rsidRDefault="000E42EB">
      <w:pPr>
        <w:pStyle w:val="Testonotaapidipagina"/>
      </w:pPr>
      <w:r w:rsidRPr="009963FF">
        <w:rPr>
          <w:rStyle w:val="Rimandonotaapidipagina"/>
          <w:sz w:val="18"/>
          <w:szCs w:val="18"/>
        </w:rPr>
        <w:footnoteRef/>
      </w:r>
      <w:r w:rsidRPr="009963FF">
        <w:rPr>
          <w:sz w:val="18"/>
          <w:szCs w:val="18"/>
        </w:rPr>
        <w:t>All responses to the consultation are availa</w:t>
      </w:r>
      <w:r>
        <w:rPr>
          <w:sz w:val="18"/>
          <w:szCs w:val="18"/>
        </w:rPr>
        <w:t xml:space="preserve">ble at </w:t>
      </w:r>
      <w:hyperlink r:id="rId1" w:history="1">
        <w:r w:rsidRPr="009963FF">
          <w:rPr>
            <w:rStyle w:val="Collegamentoipertestuale"/>
            <w:sz w:val="18"/>
            <w:szCs w:val="18"/>
          </w:rPr>
          <w:t>http://ec.europa.eu/regional_policy/archive/consultation/terco/consultation_en.htm</w:t>
        </w:r>
      </w:hyperlink>
    </w:p>
  </w:footnote>
  <w:footnote w:id="12">
    <w:p w:rsidR="000E42EB" w:rsidRPr="00187258" w:rsidRDefault="000E42EB" w:rsidP="00187258">
      <w:pPr>
        <w:pStyle w:val="Testonotaapidipagina"/>
        <w:jc w:val="both"/>
      </w:pPr>
      <w:r w:rsidRPr="00187258">
        <w:rPr>
          <w:rStyle w:val="Rimandonotaapidipagina"/>
          <w:sz w:val="18"/>
          <w:szCs w:val="18"/>
        </w:rPr>
        <w:footnoteRef/>
      </w:r>
      <w:r w:rsidRPr="00187258">
        <w:rPr>
          <w:sz w:val="18"/>
          <w:szCs w:val="18"/>
        </w:rPr>
        <w:t xml:space="preserve"> The Committee of Spatial Development is the coordinating o</w:t>
      </w:r>
      <w:r>
        <w:rPr>
          <w:sz w:val="18"/>
          <w:szCs w:val="18"/>
        </w:rPr>
        <w:t>rgan of VASAB, and may be close</w:t>
      </w:r>
      <w:r w:rsidRPr="00187258">
        <w:rPr>
          <w:sz w:val="18"/>
          <w:szCs w:val="18"/>
        </w:rPr>
        <w:t>ly associated to an epistemic community</w:t>
      </w:r>
      <w:r>
        <w:rPr>
          <w:sz w:val="18"/>
          <w:szCs w:val="18"/>
        </w:rPr>
        <w:t xml:space="preserve"> composed </w:t>
      </w:r>
      <w:r w:rsidR="00BF5628">
        <w:rPr>
          <w:sz w:val="18"/>
          <w:szCs w:val="18"/>
        </w:rPr>
        <w:t>of</w:t>
      </w:r>
      <w:r>
        <w:rPr>
          <w:sz w:val="18"/>
          <w:szCs w:val="18"/>
        </w:rPr>
        <w:t xml:space="preserve"> experts from the different countries, whose expertise focuses</w:t>
      </w:r>
      <w:r w:rsidRPr="00187258">
        <w:rPr>
          <w:sz w:val="18"/>
          <w:szCs w:val="18"/>
        </w:rPr>
        <w:t xml:space="preserve"> on spatial planning and development </w:t>
      </w:r>
      <w:r>
        <w:rPr>
          <w:sz w:val="18"/>
          <w:szCs w:val="18"/>
        </w:rPr>
        <w:t>in BSR.</w:t>
      </w:r>
    </w:p>
  </w:footnote>
  <w:footnote w:id="13">
    <w:p w:rsidR="000E42EB" w:rsidRPr="00913455" w:rsidRDefault="000E42EB" w:rsidP="002E57A1">
      <w:pPr>
        <w:pStyle w:val="Testonotaapidipagina"/>
        <w:rPr>
          <w:lang w:val="en-GB"/>
        </w:rPr>
      </w:pPr>
      <w:r>
        <w:rPr>
          <w:rStyle w:val="Rimandonotaapidipagina"/>
        </w:rPr>
        <w:footnoteRef/>
      </w:r>
      <w:r>
        <w:t xml:space="preserve"> </w:t>
      </w:r>
      <w:r>
        <w:rPr>
          <w:lang w:val="en-GB"/>
        </w:rPr>
        <w:t xml:space="preserve">Klaipeda County in Lithuania was a member of both </w:t>
      </w:r>
      <w:proofErr w:type="spellStart"/>
      <w:r>
        <w:rPr>
          <w:lang w:val="en-GB"/>
        </w:rPr>
        <w:t>Euroregion</w:t>
      </w:r>
      <w:proofErr w:type="spellEnd"/>
      <w:r>
        <w:rPr>
          <w:lang w:val="en-GB"/>
        </w:rPr>
        <w:t xml:space="preserve"> Baltic and the Baltic Sea Commission and Riga Region in Latvia was a member of the Baltic Sea Commission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2EB" w:rsidRDefault="000E42EB">
    <w:pPr>
      <w:pStyle w:val="FreeForm"/>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Times New Roman" w:eastAsia="Times New Roman" w:hAnsi="Times New Roman"/>
        <w:color w:val="auto"/>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2EB" w:rsidRDefault="000E42EB">
    <w:pPr>
      <w:pStyle w:val="FreeForm"/>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Times New Roman" w:eastAsia="Times New Roman" w:hAnsi="Times New Roman"/>
        <w:color w:val="auto"/>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7B0AA2D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894EE873"/>
    <w:lvl w:ilvl="0">
      <w:start w:val="1"/>
      <w:numFmt w:val="bullet"/>
      <w:lvlText w:val="·"/>
      <w:lvlJc w:val="left"/>
      <w:pPr>
        <w:tabs>
          <w:tab w:val="num" w:pos="360"/>
        </w:tabs>
        <w:ind w:left="360" w:firstLine="0"/>
      </w:pPr>
      <w:rPr>
        <w:rFonts w:ascii="Lucida Grande" w:eastAsia="ヒラギノ角ゴ Pro W3" w:hAnsi="Symbol" w:hint="default"/>
        <w:color w:val="000000"/>
        <w:position w:val="0"/>
        <w:sz w:val="24"/>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4"/>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4"/>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4"/>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4"/>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4"/>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4"/>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4"/>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4"/>
      </w:rPr>
    </w:lvl>
  </w:abstractNum>
  <w:abstractNum w:abstractNumId="2">
    <w:nsid w:val="00143C91"/>
    <w:multiLevelType w:val="hybridMultilevel"/>
    <w:tmpl w:val="A3B02284"/>
    <w:lvl w:ilvl="0" w:tplc="FF365192">
      <w:start w:val="1"/>
      <w:numFmt w:val="bullet"/>
      <w:lvlText w:val="-"/>
      <w:lvlJc w:val="left"/>
      <w:pPr>
        <w:ind w:left="720" w:hanging="360"/>
      </w:pPr>
      <w:rPr>
        <w:rFonts w:ascii="Times New Roman" w:eastAsia="ヒラギノ角ゴ Pro W3"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37894444"/>
    <w:multiLevelType w:val="hybridMultilevel"/>
    <w:tmpl w:val="370AE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43E44A1"/>
    <w:multiLevelType w:val="hybridMultilevel"/>
    <w:tmpl w:val="AE80F736"/>
    <w:lvl w:ilvl="0" w:tplc="7B34DD2C">
      <w:start w:val="1"/>
      <w:numFmt w:val="decimal"/>
      <w:pStyle w:val="Paragrafoelenco"/>
      <w:lvlText w:val="%1."/>
      <w:lvlJc w:val="left"/>
      <w:pPr>
        <w:ind w:left="360" w:hanging="360"/>
      </w:pPr>
      <w:rPr>
        <w:rFonts w:ascii="Calibri" w:hAnsi="Calibri" w:cs="Times New Roman" w:hint="default"/>
        <w:b w:val="0"/>
        <w:i w:val="0"/>
        <w:sz w:val="22"/>
        <w:szCs w:val="24"/>
      </w:rPr>
    </w:lvl>
    <w:lvl w:ilvl="1" w:tplc="08090003">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283"/>
  <w:defaultTableStyle w:val="Normale"/>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4D46"/>
    <w:rsid w:val="00000280"/>
    <w:rsid w:val="00002E7C"/>
    <w:rsid w:val="00012F3B"/>
    <w:rsid w:val="00016045"/>
    <w:rsid w:val="00024413"/>
    <w:rsid w:val="00034332"/>
    <w:rsid w:val="00034C56"/>
    <w:rsid w:val="00035681"/>
    <w:rsid w:val="00041A16"/>
    <w:rsid w:val="00046105"/>
    <w:rsid w:val="0005151A"/>
    <w:rsid w:val="0005249B"/>
    <w:rsid w:val="000559A3"/>
    <w:rsid w:val="00055A50"/>
    <w:rsid w:val="00060227"/>
    <w:rsid w:val="00061F7F"/>
    <w:rsid w:val="00062086"/>
    <w:rsid w:val="00067786"/>
    <w:rsid w:val="00067869"/>
    <w:rsid w:val="00073CAC"/>
    <w:rsid w:val="00075F64"/>
    <w:rsid w:val="00077B16"/>
    <w:rsid w:val="00080487"/>
    <w:rsid w:val="00084463"/>
    <w:rsid w:val="000941FC"/>
    <w:rsid w:val="000A0155"/>
    <w:rsid w:val="000A0261"/>
    <w:rsid w:val="000A3C83"/>
    <w:rsid w:val="000B665D"/>
    <w:rsid w:val="000C0BE0"/>
    <w:rsid w:val="000C2508"/>
    <w:rsid w:val="000C294F"/>
    <w:rsid w:val="000C2A70"/>
    <w:rsid w:val="000C4D9C"/>
    <w:rsid w:val="000C4DB2"/>
    <w:rsid w:val="000D0AA7"/>
    <w:rsid w:val="000D2A76"/>
    <w:rsid w:val="000D476F"/>
    <w:rsid w:val="000D7AAE"/>
    <w:rsid w:val="000D7FDE"/>
    <w:rsid w:val="000E1D72"/>
    <w:rsid w:val="000E42EB"/>
    <w:rsid w:val="000E579E"/>
    <w:rsid w:val="000F21D7"/>
    <w:rsid w:val="00112DBB"/>
    <w:rsid w:val="00116EC1"/>
    <w:rsid w:val="00117326"/>
    <w:rsid w:val="00117591"/>
    <w:rsid w:val="00117D6A"/>
    <w:rsid w:val="001200C4"/>
    <w:rsid w:val="001238D3"/>
    <w:rsid w:val="00125C4C"/>
    <w:rsid w:val="00126FFE"/>
    <w:rsid w:val="001305E6"/>
    <w:rsid w:val="001308A2"/>
    <w:rsid w:val="001330F0"/>
    <w:rsid w:val="00133CBB"/>
    <w:rsid w:val="00134D0F"/>
    <w:rsid w:val="00135CAD"/>
    <w:rsid w:val="00136AA1"/>
    <w:rsid w:val="00140FA5"/>
    <w:rsid w:val="0014411B"/>
    <w:rsid w:val="0014432A"/>
    <w:rsid w:val="00145A97"/>
    <w:rsid w:val="00145E15"/>
    <w:rsid w:val="0014791E"/>
    <w:rsid w:val="00151303"/>
    <w:rsid w:val="0015270A"/>
    <w:rsid w:val="00152829"/>
    <w:rsid w:val="0015487F"/>
    <w:rsid w:val="001605AA"/>
    <w:rsid w:val="0017062D"/>
    <w:rsid w:val="0018644F"/>
    <w:rsid w:val="00187258"/>
    <w:rsid w:val="00187620"/>
    <w:rsid w:val="0019175B"/>
    <w:rsid w:val="001A01D9"/>
    <w:rsid w:val="001A0643"/>
    <w:rsid w:val="001A12DB"/>
    <w:rsid w:val="001A3F26"/>
    <w:rsid w:val="001A6B16"/>
    <w:rsid w:val="001B1981"/>
    <w:rsid w:val="001B5964"/>
    <w:rsid w:val="001B6321"/>
    <w:rsid w:val="001C0264"/>
    <w:rsid w:val="001C291A"/>
    <w:rsid w:val="001D17D5"/>
    <w:rsid w:val="001D28DB"/>
    <w:rsid w:val="001D79B0"/>
    <w:rsid w:val="001E48D6"/>
    <w:rsid w:val="001F10C4"/>
    <w:rsid w:val="001F3AE8"/>
    <w:rsid w:val="001F784E"/>
    <w:rsid w:val="002040B0"/>
    <w:rsid w:val="00204BE0"/>
    <w:rsid w:val="00210599"/>
    <w:rsid w:val="0021189E"/>
    <w:rsid w:val="002134D0"/>
    <w:rsid w:val="00224DD7"/>
    <w:rsid w:val="002257C9"/>
    <w:rsid w:val="00227226"/>
    <w:rsid w:val="00227BF7"/>
    <w:rsid w:val="00236DDE"/>
    <w:rsid w:val="00250072"/>
    <w:rsid w:val="00255ACE"/>
    <w:rsid w:val="00257645"/>
    <w:rsid w:val="0026166B"/>
    <w:rsid w:val="00267D85"/>
    <w:rsid w:val="00274E15"/>
    <w:rsid w:val="00275599"/>
    <w:rsid w:val="00276A61"/>
    <w:rsid w:val="00276E69"/>
    <w:rsid w:val="00284465"/>
    <w:rsid w:val="002855AE"/>
    <w:rsid w:val="00285A93"/>
    <w:rsid w:val="00294813"/>
    <w:rsid w:val="00297730"/>
    <w:rsid w:val="002A2127"/>
    <w:rsid w:val="002A3878"/>
    <w:rsid w:val="002B5019"/>
    <w:rsid w:val="002B6EBD"/>
    <w:rsid w:val="002C71FA"/>
    <w:rsid w:val="002D220E"/>
    <w:rsid w:val="002D421A"/>
    <w:rsid w:val="002D4F34"/>
    <w:rsid w:val="002E0432"/>
    <w:rsid w:val="002E071E"/>
    <w:rsid w:val="002E0C2F"/>
    <w:rsid w:val="002E57A1"/>
    <w:rsid w:val="0030639E"/>
    <w:rsid w:val="00306653"/>
    <w:rsid w:val="003154C9"/>
    <w:rsid w:val="003268C6"/>
    <w:rsid w:val="00334463"/>
    <w:rsid w:val="00335A26"/>
    <w:rsid w:val="003428D5"/>
    <w:rsid w:val="003435AC"/>
    <w:rsid w:val="003477E2"/>
    <w:rsid w:val="0035437C"/>
    <w:rsid w:val="003568E7"/>
    <w:rsid w:val="00363AA4"/>
    <w:rsid w:val="003722A2"/>
    <w:rsid w:val="00375553"/>
    <w:rsid w:val="00381C95"/>
    <w:rsid w:val="0038299E"/>
    <w:rsid w:val="00383633"/>
    <w:rsid w:val="00386EFF"/>
    <w:rsid w:val="00391374"/>
    <w:rsid w:val="00393BCA"/>
    <w:rsid w:val="00395190"/>
    <w:rsid w:val="00395C0C"/>
    <w:rsid w:val="00395FE8"/>
    <w:rsid w:val="003970F1"/>
    <w:rsid w:val="003A06A6"/>
    <w:rsid w:val="003A60E2"/>
    <w:rsid w:val="003B2197"/>
    <w:rsid w:val="003B2C5A"/>
    <w:rsid w:val="003B331F"/>
    <w:rsid w:val="003B4DD2"/>
    <w:rsid w:val="003B7684"/>
    <w:rsid w:val="003C3207"/>
    <w:rsid w:val="003C49DD"/>
    <w:rsid w:val="003C4D46"/>
    <w:rsid w:val="003D1381"/>
    <w:rsid w:val="003D3BC3"/>
    <w:rsid w:val="003D520A"/>
    <w:rsid w:val="003D6A19"/>
    <w:rsid w:val="003E727B"/>
    <w:rsid w:val="003F13BF"/>
    <w:rsid w:val="003F5477"/>
    <w:rsid w:val="003F6B44"/>
    <w:rsid w:val="00402DC3"/>
    <w:rsid w:val="004053B2"/>
    <w:rsid w:val="00405C6E"/>
    <w:rsid w:val="00405FC1"/>
    <w:rsid w:val="00410968"/>
    <w:rsid w:val="00414790"/>
    <w:rsid w:val="00414DED"/>
    <w:rsid w:val="00414EEF"/>
    <w:rsid w:val="00415DF1"/>
    <w:rsid w:val="00416A04"/>
    <w:rsid w:val="00431EC7"/>
    <w:rsid w:val="0043421D"/>
    <w:rsid w:val="004400B6"/>
    <w:rsid w:val="00444082"/>
    <w:rsid w:val="00445E2B"/>
    <w:rsid w:val="004466AE"/>
    <w:rsid w:val="0045145B"/>
    <w:rsid w:val="004538C6"/>
    <w:rsid w:val="00471207"/>
    <w:rsid w:val="0047456C"/>
    <w:rsid w:val="00481FBF"/>
    <w:rsid w:val="00487554"/>
    <w:rsid w:val="00494C7A"/>
    <w:rsid w:val="00494FDE"/>
    <w:rsid w:val="004A29F8"/>
    <w:rsid w:val="004A77FD"/>
    <w:rsid w:val="004B133B"/>
    <w:rsid w:val="004B2163"/>
    <w:rsid w:val="004B38F7"/>
    <w:rsid w:val="004B7B50"/>
    <w:rsid w:val="004C37A7"/>
    <w:rsid w:val="004D12FE"/>
    <w:rsid w:val="004D6924"/>
    <w:rsid w:val="004E267F"/>
    <w:rsid w:val="004F0BF8"/>
    <w:rsid w:val="004F103E"/>
    <w:rsid w:val="004F40DE"/>
    <w:rsid w:val="004F4707"/>
    <w:rsid w:val="00506000"/>
    <w:rsid w:val="00516661"/>
    <w:rsid w:val="00517152"/>
    <w:rsid w:val="005213EF"/>
    <w:rsid w:val="00526066"/>
    <w:rsid w:val="005313BC"/>
    <w:rsid w:val="0053351E"/>
    <w:rsid w:val="00535AD1"/>
    <w:rsid w:val="00536CBC"/>
    <w:rsid w:val="00540ABC"/>
    <w:rsid w:val="00540BCE"/>
    <w:rsid w:val="00542294"/>
    <w:rsid w:val="00544041"/>
    <w:rsid w:val="005449B1"/>
    <w:rsid w:val="00562829"/>
    <w:rsid w:val="00565313"/>
    <w:rsid w:val="0057152F"/>
    <w:rsid w:val="00571AB5"/>
    <w:rsid w:val="00575E01"/>
    <w:rsid w:val="00575EB9"/>
    <w:rsid w:val="00584A66"/>
    <w:rsid w:val="00586151"/>
    <w:rsid w:val="00593CA2"/>
    <w:rsid w:val="005A0585"/>
    <w:rsid w:val="005A65A5"/>
    <w:rsid w:val="005B0356"/>
    <w:rsid w:val="005C026E"/>
    <w:rsid w:val="005C0EE6"/>
    <w:rsid w:val="005C6499"/>
    <w:rsid w:val="005D085D"/>
    <w:rsid w:val="005D1FDA"/>
    <w:rsid w:val="005D3ED5"/>
    <w:rsid w:val="005E5F25"/>
    <w:rsid w:val="005F6CED"/>
    <w:rsid w:val="005F6D78"/>
    <w:rsid w:val="006022FB"/>
    <w:rsid w:val="00602FC1"/>
    <w:rsid w:val="00603486"/>
    <w:rsid w:val="00603BBA"/>
    <w:rsid w:val="006048C8"/>
    <w:rsid w:val="00612409"/>
    <w:rsid w:val="00613FF0"/>
    <w:rsid w:val="006145B3"/>
    <w:rsid w:val="00615006"/>
    <w:rsid w:val="00617FAA"/>
    <w:rsid w:val="00622B1F"/>
    <w:rsid w:val="00623803"/>
    <w:rsid w:val="00633791"/>
    <w:rsid w:val="00635A72"/>
    <w:rsid w:val="00646489"/>
    <w:rsid w:val="0064779A"/>
    <w:rsid w:val="006530DB"/>
    <w:rsid w:val="0066063F"/>
    <w:rsid w:val="006611F9"/>
    <w:rsid w:val="00662EC5"/>
    <w:rsid w:val="00663149"/>
    <w:rsid w:val="00665376"/>
    <w:rsid w:val="00666A12"/>
    <w:rsid w:val="0067120A"/>
    <w:rsid w:val="00674C83"/>
    <w:rsid w:val="006765C3"/>
    <w:rsid w:val="00677096"/>
    <w:rsid w:val="00677C5F"/>
    <w:rsid w:val="00682C7C"/>
    <w:rsid w:val="0068332C"/>
    <w:rsid w:val="00687164"/>
    <w:rsid w:val="00687458"/>
    <w:rsid w:val="00691116"/>
    <w:rsid w:val="00692AAB"/>
    <w:rsid w:val="00693416"/>
    <w:rsid w:val="006943D5"/>
    <w:rsid w:val="00695431"/>
    <w:rsid w:val="00695AF2"/>
    <w:rsid w:val="006A6887"/>
    <w:rsid w:val="006C3970"/>
    <w:rsid w:val="006D2522"/>
    <w:rsid w:val="006E0929"/>
    <w:rsid w:val="006E0FC8"/>
    <w:rsid w:val="006E5CAA"/>
    <w:rsid w:val="006E6698"/>
    <w:rsid w:val="006E6E95"/>
    <w:rsid w:val="00701237"/>
    <w:rsid w:val="00704790"/>
    <w:rsid w:val="00705E15"/>
    <w:rsid w:val="00706F00"/>
    <w:rsid w:val="00710B35"/>
    <w:rsid w:val="007135BA"/>
    <w:rsid w:val="0071457F"/>
    <w:rsid w:val="0071578C"/>
    <w:rsid w:val="007238AA"/>
    <w:rsid w:val="007325D5"/>
    <w:rsid w:val="00737598"/>
    <w:rsid w:val="00737C45"/>
    <w:rsid w:val="00742123"/>
    <w:rsid w:val="007440C3"/>
    <w:rsid w:val="00745B45"/>
    <w:rsid w:val="00747CF2"/>
    <w:rsid w:val="007500EA"/>
    <w:rsid w:val="00753B89"/>
    <w:rsid w:val="00755A79"/>
    <w:rsid w:val="00756460"/>
    <w:rsid w:val="00756A78"/>
    <w:rsid w:val="007732D9"/>
    <w:rsid w:val="00775492"/>
    <w:rsid w:val="007806FA"/>
    <w:rsid w:val="0078121E"/>
    <w:rsid w:val="00782A63"/>
    <w:rsid w:val="00791FD6"/>
    <w:rsid w:val="00794243"/>
    <w:rsid w:val="00796C8D"/>
    <w:rsid w:val="007A1E20"/>
    <w:rsid w:val="007A4B69"/>
    <w:rsid w:val="007B11C1"/>
    <w:rsid w:val="007B192A"/>
    <w:rsid w:val="007B3403"/>
    <w:rsid w:val="007B3C3D"/>
    <w:rsid w:val="007C25F9"/>
    <w:rsid w:val="007C3647"/>
    <w:rsid w:val="007C4742"/>
    <w:rsid w:val="007C4B26"/>
    <w:rsid w:val="007E2A9F"/>
    <w:rsid w:val="007E4464"/>
    <w:rsid w:val="007E497C"/>
    <w:rsid w:val="007E7496"/>
    <w:rsid w:val="007F06DB"/>
    <w:rsid w:val="007F2818"/>
    <w:rsid w:val="007F324F"/>
    <w:rsid w:val="007F360B"/>
    <w:rsid w:val="008201D1"/>
    <w:rsid w:val="00820B79"/>
    <w:rsid w:val="00823C71"/>
    <w:rsid w:val="00834F8C"/>
    <w:rsid w:val="0083511F"/>
    <w:rsid w:val="0083709C"/>
    <w:rsid w:val="00844DDC"/>
    <w:rsid w:val="00854398"/>
    <w:rsid w:val="00860DF4"/>
    <w:rsid w:val="0086104C"/>
    <w:rsid w:val="008612E6"/>
    <w:rsid w:val="00861AC3"/>
    <w:rsid w:val="008734C0"/>
    <w:rsid w:val="008841CA"/>
    <w:rsid w:val="008A1754"/>
    <w:rsid w:val="008A3C62"/>
    <w:rsid w:val="008B15E9"/>
    <w:rsid w:val="008C140E"/>
    <w:rsid w:val="008E0559"/>
    <w:rsid w:val="008E7D88"/>
    <w:rsid w:val="008F1D26"/>
    <w:rsid w:val="008F7224"/>
    <w:rsid w:val="0090668F"/>
    <w:rsid w:val="00913455"/>
    <w:rsid w:val="009154A5"/>
    <w:rsid w:val="00917F91"/>
    <w:rsid w:val="00922C07"/>
    <w:rsid w:val="00925EA5"/>
    <w:rsid w:val="00926F5A"/>
    <w:rsid w:val="00930F84"/>
    <w:rsid w:val="00935F47"/>
    <w:rsid w:val="00936206"/>
    <w:rsid w:val="009420E0"/>
    <w:rsid w:val="00944E2E"/>
    <w:rsid w:val="009475DB"/>
    <w:rsid w:val="00947B5E"/>
    <w:rsid w:val="009524ED"/>
    <w:rsid w:val="00956DEB"/>
    <w:rsid w:val="00962795"/>
    <w:rsid w:val="00963D18"/>
    <w:rsid w:val="00966C2B"/>
    <w:rsid w:val="00971C75"/>
    <w:rsid w:val="009750C2"/>
    <w:rsid w:val="00980E33"/>
    <w:rsid w:val="00981A4B"/>
    <w:rsid w:val="009820E1"/>
    <w:rsid w:val="00982B18"/>
    <w:rsid w:val="0098643F"/>
    <w:rsid w:val="0099549C"/>
    <w:rsid w:val="009963FF"/>
    <w:rsid w:val="00996C38"/>
    <w:rsid w:val="00996CA4"/>
    <w:rsid w:val="009A312A"/>
    <w:rsid w:val="009A3797"/>
    <w:rsid w:val="009A7BC2"/>
    <w:rsid w:val="009C4222"/>
    <w:rsid w:val="009C58C4"/>
    <w:rsid w:val="009D7C81"/>
    <w:rsid w:val="009E2E53"/>
    <w:rsid w:val="009E33E3"/>
    <w:rsid w:val="009E6BA7"/>
    <w:rsid w:val="009F30EC"/>
    <w:rsid w:val="009F31DB"/>
    <w:rsid w:val="009F3B4E"/>
    <w:rsid w:val="009F4DA9"/>
    <w:rsid w:val="00A01545"/>
    <w:rsid w:val="00A01B50"/>
    <w:rsid w:val="00A06800"/>
    <w:rsid w:val="00A15F03"/>
    <w:rsid w:val="00A203A7"/>
    <w:rsid w:val="00A24036"/>
    <w:rsid w:val="00A24D78"/>
    <w:rsid w:val="00A352AE"/>
    <w:rsid w:val="00A3571D"/>
    <w:rsid w:val="00A37EB6"/>
    <w:rsid w:val="00A40F0E"/>
    <w:rsid w:val="00A44E4F"/>
    <w:rsid w:val="00A462C3"/>
    <w:rsid w:val="00A51529"/>
    <w:rsid w:val="00A5452D"/>
    <w:rsid w:val="00A54DBC"/>
    <w:rsid w:val="00A57D27"/>
    <w:rsid w:val="00A638D6"/>
    <w:rsid w:val="00A736D5"/>
    <w:rsid w:val="00A74335"/>
    <w:rsid w:val="00A75F5C"/>
    <w:rsid w:val="00A8177B"/>
    <w:rsid w:val="00A83672"/>
    <w:rsid w:val="00A87B4A"/>
    <w:rsid w:val="00A94DF8"/>
    <w:rsid w:val="00AA3510"/>
    <w:rsid w:val="00AA4DA0"/>
    <w:rsid w:val="00AA7B25"/>
    <w:rsid w:val="00AC5414"/>
    <w:rsid w:val="00AC7963"/>
    <w:rsid w:val="00AD05E4"/>
    <w:rsid w:val="00AD37C6"/>
    <w:rsid w:val="00AD4881"/>
    <w:rsid w:val="00AD5EA2"/>
    <w:rsid w:val="00AE19E6"/>
    <w:rsid w:val="00AF109F"/>
    <w:rsid w:val="00AF512E"/>
    <w:rsid w:val="00AF5DC6"/>
    <w:rsid w:val="00B060B3"/>
    <w:rsid w:val="00B2299B"/>
    <w:rsid w:val="00B3210C"/>
    <w:rsid w:val="00B34283"/>
    <w:rsid w:val="00B4057C"/>
    <w:rsid w:val="00B46EB6"/>
    <w:rsid w:val="00B4781D"/>
    <w:rsid w:val="00B51787"/>
    <w:rsid w:val="00B54FF0"/>
    <w:rsid w:val="00B61B72"/>
    <w:rsid w:val="00B67C2A"/>
    <w:rsid w:val="00B81880"/>
    <w:rsid w:val="00B82533"/>
    <w:rsid w:val="00B84612"/>
    <w:rsid w:val="00B855CE"/>
    <w:rsid w:val="00B86846"/>
    <w:rsid w:val="00B87199"/>
    <w:rsid w:val="00B946AB"/>
    <w:rsid w:val="00B953E4"/>
    <w:rsid w:val="00B97E19"/>
    <w:rsid w:val="00BA394B"/>
    <w:rsid w:val="00BA3CA4"/>
    <w:rsid w:val="00BA3EC8"/>
    <w:rsid w:val="00BA41D2"/>
    <w:rsid w:val="00BB51EF"/>
    <w:rsid w:val="00BB7575"/>
    <w:rsid w:val="00BC190D"/>
    <w:rsid w:val="00BC1A1F"/>
    <w:rsid w:val="00BC23FC"/>
    <w:rsid w:val="00BC69ED"/>
    <w:rsid w:val="00BC6D01"/>
    <w:rsid w:val="00BD244D"/>
    <w:rsid w:val="00BD3FBE"/>
    <w:rsid w:val="00BE1E9A"/>
    <w:rsid w:val="00BE5ECA"/>
    <w:rsid w:val="00BF5628"/>
    <w:rsid w:val="00BF7AFB"/>
    <w:rsid w:val="00C04114"/>
    <w:rsid w:val="00C117FF"/>
    <w:rsid w:val="00C161CD"/>
    <w:rsid w:val="00C16A54"/>
    <w:rsid w:val="00C16CCC"/>
    <w:rsid w:val="00C26447"/>
    <w:rsid w:val="00C26CB3"/>
    <w:rsid w:val="00C35A89"/>
    <w:rsid w:val="00C41241"/>
    <w:rsid w:val="00C45F46"/>
    <w:rsid w:val="00C46018"/>
    <w:rsid w:val="00C471FF"/>
    <w:rsid w:val="00C541AF"/>
    <w:rsid w:val="00C6354D"/>
    <w:rsid w:val="00C63909"/>
    <w:rsid w:val="00C66271"/>
    <w:rsid w:val="00C70989"/>
    <w:rsid w:val="00C718C9"/>
    <w:rsid w:val="00C72DBA"/>
    <w:rsid w:val="00C74D5A"/>
    <w:rsid w:val="00C75BF4"/>
    <w:rsid w:val="00C86DD7"/>
    <w:rsid w:val="00C903C6"/>
    <w:rsid w:val="00C90729"/>
    <w:rsid w:val="00C9384F"/>
    <w:rsid w:val="00C93CB0"/>
    <w:rsid w:val="00C9449C"/>
    <w:rsid w:val="00CA15B8"/>
    <w:rsid w:val="00CB14D7"/>
    <w:rsid w:val="00CB418D"/>
    <w:rsid w:val="00CB673D"/>
    <w:rsid w:val="00CB78E2"/>
    <w:rsid w:val="00CC298F"/>
    <w:rsid w:val="00CC3B7C"/>
    <w:rsid w:val="00CC529C"/>
    <w:rsid w:val="00CD105F"/>
    <w:rsid w:val="00CD73D0"/>
    <w:rsid w:val="00CE1DFB"/>
    <w:rsid w:val="00CE64D7"/>
    <w:rsid w:val="00CE6745"/>
    <w:rsid w:val="00CE6B64"/>
    <w:rsid w:val="00CE7BC5"/>
    <w:rsid w:val="00CF2DCD"/>
    <w:rsid w:val="00CF39AA"/>
    <w:rsid w:val="00D002BD"/>
    <w:rsid w:val="00D06AB4"/>
    <w:rsid w:val="00D07435"/>
    <w:rsid w:val="00D15A34"/>
    <w:rsid w:val="00D166EF"/>
    <w:rsid w:val="00D23402"/>
    <w:rsid w:val="00D25D98"/>
    <w:rsid w:val="00D26701"/>
    <w:rsid w:val="00D30D2C"/>
    <w:rsid w:val="00D30D71"/>
    <w:rsid w:val="00D31807"/>
    <w:rsid w:val="00D319CF"/>
    <w:rsid w:val="00D31F38"/>
    <w:rsid w:val="00D41343"/>
    <w:rsid w:val="00D41EBF"/>
    <w:rsid w:val="00D46AB0"/>
    <w:rsid w:val="00D557B1"/>
    <w:rsid w:val="00D60631"/>
    <w:rsid w:val="00D60BE3"/>
    <w:rsid w:val="00D63314"/>
    <w:rsid w:val="00D6597E"/>
    <w:rsid w:val="00D65D07"/>
    <w:rsid w:val="00D66504"/>
    <w:rsid w:val="00D6795F"/>
    <w:rsid w:val="00D77270"/>
    <w:rsid w:val="00D8177A"/>
    <w:rsid w:val="00D82857"/>
    <w:rsid w:val="00D876E1"/>
    <w:rsid w:val="00D94EB2"/>
    <w:rsid w:val="00D960A0"/>
    <w:rsid w:val="00D97CF5"/>
    <w:rsid w:val="00DA30EF"/>
    <w:rsid w:val="00DA4E36"/>
    <w:rsid w:val="00DA74DD"/>
    <w:rsid w:val="00DB11C3"/>
    <w:rsid w:val="00DB5B0A"/>
    <w:rsid w:val="00DC4281"/>
    <w:rsid w:val="00DD5EBE"/>
    <w:rsid w:val="00DD663C"/>
    <w:rsid w:val="00DE4E25"/>
    <w:rsid w:val="00DF1FEB"/>
    <w:rsid w:val="00DF4AA2"/>
    <w:rsid w:val="00DF75C0"/>
    <w:rsid w:val="00E03518"/>
    <w:rsid w:val="00E047A5"/>
    <w:rsid w:val="00E102A8"/>
    <w:rsid w:val="00E120BE"/>
    <w:rsid w:val="00E21F6C"/>
    <w:rsid w:val="00E23385"/>
    <w:rsid w:val="00E2535D"/>
    <w:rsid w:val="00E25F1D"/>
    <w:rsid w:val="00E350E1"/>
    <w:rsid w:val="00E3672C"/>
    <w:rsid w:val="00E37371"/>
    <w:rsid w:val="00E37501"/>
    <w:rsid w:val="00E418D1"/>
    <w:rsid w:val="00E468A7"/>
    <w:rsid w:val="00E50F41"/>
    <w:rsid w:val="00E57B2D"/>
    <w:rsid w:val="00E83F35"/>
    <w:rsid w:val="00E86CB6"/>
    <w:rsid w:val="00E920ED"/>
    <w:rsid w:val="00E92828"/>
    <w:rsid w:val="00E948F9"/>
    <w:rsid w:val="00EA014C"/>
    <w:rsid w:val="00EA0FCC"/>
    <w:rsid w:val="00EA620B"/>
    <w:rsid w:val="00EB2124"/>
    <w:rsid w:val="00EB2559"/>
    <w:rsid w:val="00EB29FC"/>
    <w:rsid w:val="00EB4973"/>
    <w:rsid w:val="00EB5971"/>
    <w:rsid w:val="00EB5F79"/>
    <w:rsid w:val="00EB6C31"/>
    <w:rsid w:val="00EC7377"/>
    <w:rsid w:val="00ED424A"/>
    <w:rsid w:val="00ED4D04"/>
    <w:rsid w:val="00ED6441"/>
    <w:rsid w:val="00ED72B2"/>
    <w:rsid w:val="00ED773D"/>
    <w:rsid w:val="00EE1D8D"/>
    <w:rsid w:val="00EE201B"/>
    <w:rsid w:val="00EE43E1"/>
    <w:rsid w:val="00EE568B"/>
    <w:rsid w:val="00EE5B11"/>
    <w:rsid w:val="00EF56C1"/>
    <w:rsid w:val="00F01B46"/>
    <w:rsid w:val="00F10092"/>
    <w:rsid w:val="00F1506B"/>
    <w:rsid w:val="00F15AF6"/>
    <w:rsid w:val="00F172B3"/>
    <w:rsid w:val="00F21FC3"/>
    <w:rsid w:val="00F2359B"/>
    <w:rsid w:val="00F277BB"/>
    <w:rsid w:val="00F2795F"/>
    <w:rsid w:val="00F304EB"/>
    <w:rsid w:val="00F317FE"/>
    <w:rsid w:val="00F3192F"/>
    <w:rsid w:val="00F330B0"/>
    <w:rsid w:val="00F33CFC"/>
    <w:rsid w:val="00F36637"/>
    <w:rsid w:val="00F40E55"/>
    <w:rsid w:val="00F45786"/>
    <w:rsid w:val="00F46271"/>
    <w:rsid w:val="00F511DE"/>
    <w:rsid w:val="00F52625"/>
    <w:rsid w:val="00F560F4"/>
    <w:rsid w:val="00F56640"/>
    <w:rsid w:val="00F63DFA"/>
    <w:rsid w:val="00F70B2F"/>
    <w:rsid w:val="00F74438"/>
    <w:rsid w:val="00F80D7F"/>
    <w:rsid w:val="00F81321"/>
    <w:rsid w:val="00F92392"/>
    <w:rsid w:val="00F927EE"/>
    <w:rsid w:val="00F950C7"/>
    <w:rsid w:val="00FA2B53"/>
    <w:rsid w:val="00FA3077"/>
    <w:rsid w:val="00FB2B94"/>
    <w:rsid w:val="00FB44C8"/>
    <w:rsid w:val="00FC5BD9"/>
    <w:rsid w:val="00FC6711"/>
    <w:rsid w:val="00FD2E1A"/>
    <w:rsid w:val="00FD3A65"/>
    <w:rsid w:val="00FD4EAD"/>
    <w:rsid w:val="00FF144F"/>
    <w:rsid w:val="00FF37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locked="0" w:uiPriority="67"/>
    <w:lsdException w:name="No Spacing" w:locked="0" w:uiPriority="68"/>
    <w:lsdException w:name="Light Shading" w:locked="0" w:uiPriority="69"/>
    <w:lsdException w:name="Light List" w:locked="0" w:uiPriority="70"/>
    <w:lsdException w:name="Light Grid" w:locked="0" w:uiPriority="71"/>
    <w:lsdException w:name="Medium Shading 1" w:locked="0" w:uiPriority="72"/>
    <w:lsdException w:name="Medium Shading 2" w:locked="0" w:uiPriority="73"/>
    <w:lsdException w:name="Medium List 1" w:locked="0" w:uiPriority="60"/>
    <w:lsdException w:name="Medium List 2" w:locked="0" w:uiPriority="61"/>
    <w:lsdException w:name="Medium Grid 1" w:locked="0" w:uiPriority="62"/>
    <w:lsdException w:name="Medium Grid 2" w:locked="0" w:uiPriority="63"/>
    <w:lsdException w:name="Medium Grid 3" w:locked="0" w:uiPriority="64"/>
    <w:lsdException w:name="Dark List" w:locked="0" w:uiPriority="65"/>
    <w:lsdException w:name="Colorful Shading" w:locked="0" w:semiHidden="1" w:uiPriority="99"/>
    <w:lsdException w:name="Colorful List" w:locked="0" w:uiPriority="34" w:qFormat="1"/>
    <w:lsdException w:name="Colorful Grid" w:locked="0" w:uiPriority="29" w:qFormat="1"/>
    <w:lsdException w:name="Light Shading Accent 1" w:locked="0" w:uiPriority="30" w:qFormat="1"/>
    <w:lsdException w:name="Light List Accent 1" w:locked="0" w:uiPriority="66"/>
    <w:lsdException w:name="Light Grid Accent 1" w:locked="0" w:uiPriority="67"/>
    <w:lsdException w:name="Medium Shading 1 Accent 1" w:locked="0" w:uiPriority="68"/>
    <w:lsdException w:name="Medium Shading 2 Accent 1" w:locked="0" w:uiPriority="69"/>
    <w:lsdException w:name="Medium List 1 Accent 1" w:locked="0" w:uiPriority="70"/>
    <w:lsdException w:name="Revision" w:locked="0" w:uiPriority="71"/>
    <w:lsdException w:name="List Paragraph" w:locked="0" w:uiPriority="72"/>
    <w:lsdException w:name="Quote" w:locked="0" w:uiPriority="73"/>
    <w:lsdException w:name="Intense Quote" w:locked="0" w:uiPriority="60"/>
    <w:lsdException w:name="Medium List 2 Accent 1" w:locked="0" w:uiPriority="61"/>
    <w:lsdException w:name="Medium Grid 1 Accent 1" w:locked="0" w:uiPriority="62"/>
    <w:lsdException w:name="Medium Grid 2 Accent 1" w:locked="0" w:uiPriority="63"/>
    <w:lsdException w:name="Medium Grid 3 Accent 1" w:locked="0" w:uiPriority="64"/>
    <w:lsdException w:name="Dark List Accent 1" w:locked="0" w:uiPriority="65"/>
    <w:lsdException w:name="Colorful Shading Accent 1" w:locked="0" w:uiPriority="66"/>
    <w:lsdException w:name="Colorful List Accent 1" w:locked="0" w:uiPriority="67"/>
    <w:lsdException w:name="Colorful Grid Accent 1" w:locked="0" w:uiPriority="68"/>
    <w:lsdException w:name="Light Shading Accent 2" w:locked="0" w:uiPriority="69"/>
    <w:lsdException w:name="Light List Accent 2" w:locked="0" w:uiPriority="70"/>
    <w:lsdException w:name="Light Grid Accent 2" w:locked="0" w:uiPriority="71"/>
    <w:lsdException w:name="Medium Shading 1 Accent 2" w:locked="0" w:uiPriority="72"/>
    <w:lsdException w:name="Medium Shading 2 Accent 2" w:locked="0" w:uiPriority="73"/>
    <w:lsdException w:name="Medium List 1 Accent 2" w:locked="0" w:uiPriority="60"/>
    <w:lsdException w:name="Medium List 2 Accent 2" w:locked="0" w:uiPriority="61"/>
    <w:lsdException w:name="Medium Grid 1 Accent 2" w:locked="0" w:uiPriority="62"/>
    <w:lsdException w:name="Medium Grid 2 Accent 2" w:locked="0" w:uiPriority="63"/>
    <w:lsdException w:name="Medium Grid 3 Accent 2" w:locked="0" w:uiPriority="64"/>
    <w:lsdException w:name="Dark List Accent 2" w:locked="0" w:uiPriority="65"/>
    <w:lsdException w:name="Colorful Shading Accent 2" w:locked="0" w:uiPriority="66"/>
    <w:lsdException w:name="Colorful List Accent 2" w:locked="0" w:uiPriority="67"/>
    <w:lsdException w:name="Colorful Grid Accent 2" w:locked="0" w:uiPriority="68"/>
    <w:lsdException w:name="Light Shading Accent 3" w:locked="0" w:uiPriority="69"/>
    <w:lsdException w:name="Light List Accent 3" w:locked="0" w:uiPriority="70"/>
    <w:lsdException w:name="Light Grid Accent 3" w:locked="0" w:uiPriority="71"/>
    <w:lsdException w:name="Medium Shading 1 Accent 3" w:locked="0" w:uiPriority="72"/>
    <w:lsdException w:name="Medium Shading 2 Accent 3" w:locked="0" w:uiPriority="73"/>
    <w:lsdException w:name="Medium List 1 Accent 3" w:locked="0" w:uiPriority="60"/>
    <w:lsdException w:name="Medium List 2 Accent 3" w:locked="0" w:uiPriority="61"/>
    <w:lsdException w:name="Medium Grid 1 Accent 3" w:locked="0" w:uiPriority="62"/>
    <w:lsdException w:name="Medium Grid 2 Accent 3" w:locked="0" w:uiPriority="63"/>
    <w:lsdException w:name="Medium Grid 3 Accent 3" w:locked="0" w:uiPriority="64"/>
    <w:lsdException w:name="Dark List Accent 3" w:locked="0" w:uiPriority="65"/>
    <w:lsdException w:name="Colorful Shading Accent 3" w:locked="0" w:uiPriority="66"/>
    <w:lsdException w:name="Colorful List Accent 3" w:locked="0" w:uiPriority="67"/>
    <w:lsdException w:name="Colorful Grid Accent 3" w:locked="0" w:uiPriority="68"/>
    <w:lsdException w:name="Light Shading Accent 4" w:locked="0" w:uiPriority="69"/>
    <w:lsdException w:name="Light List Accent 4" w:locked="0" w:uiPriority="70"/>
    <w:lsdException w:name="Light Grid Accent 4" w:locked="0" w:uiPriority="71"/>
    <w:lsdException w:name="Medium Shading 1 Accent 4" w:locked="0" w:uiPriority="72"/>
    <w:lsdException w:name="Medium Shading 2 Accent 4" w:locked="0" w:uiPriority="73"/>
    <w:lsdException w:name="Medium List 1 Accent 4" w:locked="0" w:uiPriority="60"/>
    <w:lsdException w:name="Medium List 2 Accent 4" w:locked="0" w:uiPriority="61"/>
    <w:lsdException w:name="Medium Grid 1 Accent 4" w:locked="0" w:uiPriority="62"/>
    <w:lsdException w:name="Medium Grid 2 Accent 4" w:locked="0" w:uiPriority="63"/>
    <w:lsdException w:name="Medium Grid 3 Accent 4" w:locked="0" w:uiPriority="64"/>
    <w:lsdException w:name="Dark List Accent 4" w:locked="0" w:uiPriority="65"/>
    <w:lsdException w:name="Colorful Shading Accent 4" w:locked="0" w:uiPriority="66"/>
    <w:lsdException w:name="Colorful List Accent 4" w:locked="0" w:uiPriority="67"/>
    <w:lsdException w:name="Colorful Grid Accent 4" w:locked="0" w:uiPriority="68"/>
    <w:lsdException w:name="Light Shading Accent 5" w:locked="0" w:uiPriority="69"/>
    <w:lsdException w:name="Light List Accent 5" w:locked="0" w:uiPriority="70"/>
    <w:lsdException w:name="Light Grid Accent 5" w:locked="0" w:uiPriority="71"/>
    <w:lsdException w:name="Medium Shading 1 Accent 5" w:locked="0" w:uiPriority="72"/>
    <w:lsdException w:name="Medium Shading 2 Accent 5" w:locked="0" w:uiPriority="73"/>
    <w:lsdException w:name="Medium List 1 Accent 5" w:locked="0" w:uiPriority="60"/>
    <w:lsdException w:name="Medium List 2 Accent 5" w:locked="0" w:uiPriority="61"/>
    <w:lsdException w:name="Medium Grid 1 Accent 5" w:locked="0" w:uiPriority="62"/>
    <w:lsdException w:name="Medium Grid 2 Accent 5" w:locked="0" w:uiPriority="63"/>
    <w:lsdException w:name="Medium Grid 3 Accent 5" w:locked="0" w:uiPriority="64"/>
    <w:lsdException w:name="Dark List Accent 5" w:locked="0" w:uiPriority="65"/>
    <w:lsdException w:name="Colorful Shading Accent 5" w:locked="0" w:uiPriority="66"/>
    <w:lsdException w:name="Colorful List Accent 5" w:locked="0" w:uiPriority="67"/>
    <w:lsdException w:name="Colorful Grid Accent 5" w:locked="0" w:uiPriority="68"/>
    <w:lsdException w:name="Light Shading Accent 6" w:locked="0" w:uiPriority="69"/>
    <w:lsdException w:name="Light List Accent 6" w:locked="0" w:uiPriority="70"/>
    <w:lsdException w:name="Light Grid Accent 6" w:locked="0" w:uiPriority="71"/>
    <w:lsdException w:name="Medium Shading 1 Accent 6" w:locked="0" w:uiPriority="72"/>
    <w:lsdException w:name="Medium Shading 2 Accent 6" w:locked="0" w:uiPriority="73"/>
    <w:lsdException w:name="Medium List 1 Accent 6" w:locked="0" w:uiPriority="19" w:qFormat="1"/>
    <w:lsdException w:name="Medium List 2 Accent 6" w:locked="0" w:uiPriority="21" w:qFormat="1"/>
    <w:lsdException w:name="Medium Grid 1 Accent 6" w:locked="0" w:uiPriority="31" w:qFormat="1"/>
    <w:lsdException w:name="Medium Grid 2 Accent 6" w:locked="0" w:uiPriority="32" w:qFormat="1"/>
    <w:lsdException w:name="Medium Grid 3 Accent 6" w:locked="0" w:uiPriority="33" w:qFormat="1"/>
    <w:lsdException w:name="Dark List Accent 6" w:locked="0" w:semiHidden="1" w:uiPriority="37" w:unhideWhenUsed="1"/>
    <w:lsdException w:name="Colorful Shading Accent 6" w:locked="0" w:semiHidden="1" w:uiPriority="39" w:unhideWhenUsed="1" w:qFormat="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e">
    <w:name w:val="Normal"/>
    <w:qFormat/>
    <w:rPr>
      <w:rFonts w:eastAsia="ヒラギノ角ゴ Pro W3"/>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FreeForm">
    <w:name w:val="Free Form"/>
    <w:rPr>
      <w:rFonts w:ascii="Lucida Grande" w:eastAsia="ヒラギノ角ゴ Pro W3" w:hAnsi="Lucida Grande"/>
      <w:color w:val="000000"/>
      <w:lang w:val="en-GB" w:eastAsia="en-GB"/>
    </w:rPr>
  </w:style>
  <w:style w:type="paragraph" w:customStyle="1" w:styleId="Footer1">
    <w:name w:val="Footer1"/>
    <w:pPr>
      <w:tabs>
        <w:tab w:val="center" w:pos="4513"/>
        <w:tab w:val="right" w:pos="9026"/>
      </w:tabs>
    </w:pPr>
    <w:rPr>
      <w:rFonts w:eastAsia="ヒラギノ角ゴ Pro W3"/>
      <w:color w:val="000000"/>
      <w:lang w:eastAsia="en-GB"/>
    </w:rPr>
  </w:style>
  <w:style w:type="character" w:customStyle="1" w:styleId="Hyperlink1">
    <w:name w:val="Hyperlink1"/>
    <w:rPr>
      <w:color w:val="0000FF"/>
      <w:sz w:val="20"/>
      <w:u w:val="single"/>
    </w:rPr>
  </w:style>
  <w:style w:type="character" w:customStyle="1" w:styleId="CommentReference1">
    <w:name w:val="Comment Reference1"/>
    <w:rPr>
      <w:color w:val="000000"/>
      <w:sz w:val="16"/>
    </w:rPr>
  </w:style>
  <w:style w:type="paragraph" w:customStyle="1" w:styleId="CommentText1">
    <w:name w:val="Comment Text1"/>
    <w:rPr>
      <w:rFonts w:eastAsia="ヒラギノ角ゴ Pro W3"/>
      <w:color w:val="000000"/>
      <w:lang w:eastAsia="en-GB"/>
    </w:rPr>
  </w:style>
  <w:style w:type="character" w:customStyle="1" w:styleId="FootnoteReference1">
    <w:name w:val="Footnote Reference1"/>
    <w:aliases w:val="ESPON Footnote No"/>
    <w:rPr>
      <w:color w:val="000000"/>
      <w:sz w:val="20"/>
      <w:vertAlign w:val="superscript"/>
    </w:rPr>
  </w:style>
  <w:style w:type="paragraph" w:customStyle="1" w:styleId="FootnoteText1">
    <w:name w:val="Footnote Text1"/>
    <w:aliases w:val="stile 1,Footnote,Footnote1,Footnote2,Footnote3,Footnote4,Footnote5,Footnote6,Footnote7,Footnote8,Footnote9,Footnote10,Footnote11,Footnote21,Footnote31,Footnote41,Footnote51,Footnote61,Footnote71,Footnote81,Footnote91"/>
    <w:rPr>
      <w:rFonts w:eastAsia="ヒラギノ角ゴ Pro W3"/>
      <w:color w:val="000000"/>
      <w:lang w:val="en-GB" w:eastAsia="en-GB"/>
    </w:rPr>
  </w:style>
  <w:style w:type="paragraph" w:customStyle="1" w:styleId="Heading2A">
    <w:name w:val="Heading 2 A"/>
    <w:next w:val="Normale"/>
    <w:pPr>
      <w:keepNext/>
      <w:spacing w:before="240" w:after="60"/>
      <w:outlineLvl w:val="1"/>
    </w:pPr>
    <w:rPr>
      <w:rFonts w:ascii="Lucida Grande" w:eastAsia="ヒラギノ角ゴ Pro W3" w:hAnsi="Lucida Grande"/>
      <w:b/>
      <w:color w:val="000000"/>
      <w:sz w:val="28"/>
      <w:lang w:eastAsia="en-GB"/>
    </w:rPr>
  </w:style>
  <w:style w:type="character" w:customStyle="1" w:styleId="Unknown0">
    <w:name w:val="Unknown 0"/>
    <w:semiHidden/>
  </w:style>
  <w:style w:type="paragraph" w:customStyle="1" w:styleId="BodyText1">
    <w:name w:val="Body Text1"/>
    <w:pPr>
      <w:widowControl w:val="0"/>
      <w:suppressAutoHyphens/>
      <w:spacing w:before="360" w:line="480" w:lineRule="auto"/>
      <w:jc w:val="both"/>
    </w:pPr>
    <w:rPr>
      <w:rFonts w:ascii="Arial" w:eastAsia="ヒラギノ角ゴ Pro W3" w:hAnsi="Arial"/>
      <w:color w:val="000000"/>
      <w:lang w:val="fr-FR" w:eastAsia="en-GB"/>
    </w:rPr>
  </w:style>
  <w:style w:type="paragraph" w:customStyle="1" w:styleId="Heading1A">
    <w:name w:val="Heading 1 A"/>
    <w:next w:val="Normale"/>
    <w:pPr>
      <w:keepNext/>
      <w:spacing w:before="240" w:after="60"/>
      <w:outlineLvl w:val="0"/>
    </w:pPr>
    <w:rPr>
      <w:rFonts w:ascii="Lucida Grande" w:eastAsia="ヒラギノ角ゴ Pro W3" w:hAnsi="Lucida Grande"/>
      <w:b/>
      <w:color w:val="000000"/>
      <w:kern w:val="32"/>
      <w:sz w:val="32"/>
      <w:lang w:eastAsia="en-GB"/>
    </w:rPr>
  </w:style>
  <w:style w:type="paragraph" w:styleId="Testofumetto">
    <w:name w:val="Balloon Text"/>
    <w:basedOn w:val="Normale"/>
    <w:link w:val="TestofumettoCarattere"/>
    <w:locked/>
    <w:rsid w:val="003C4D46"/>
    <w:rPr>
      <w:rFonts w:ascii="Tahoma" w:hAnsi="Tahoma" w:cs="Tahoma"/>
      <w:sz w:val="16"/>
      <w:szCs w:val="16"/>
    </w:rPr>
  </w:style>
  <w:style w:type="character" w:customStyle="1" w:styleId="TestofumettoCarattere">
    <w:name w:val="Testo fumetto Carattere"/>
    <w:link w:val="Testofumetto"/>
    <w:rsid w:val="003C4D46"/>
    <w:rPr>
      <w:rFonts w:ascii="Tahoma" w:eastAsia="ヒラギノ角ゴ Pro W3" w:hAnsi="Tahoma" w:cs="Tahoma"/>
      <w:color w:val="000000"/>
      <w:sz w:val="16"/>
      <w:szCs w:val="16"/>
      <w:lang w:val="en-US" w:eastAsia="en-US"/>
    </w:rPr>
  </w:style>
  <w:style w:type="character" w:styleId="Rimandocommento">
    <w:name w:val="annotation reference"/>
    <w:locked/>
    <w:rsid w:val="000E579E"/>
    <w:rPr>
      <w:sz w:val="16"/>
      <w:szCs w:val="16"/>
    </w:rPr>
  </w:style>
  <w:style w:type="paragraph" w:styleId="Testocommento">
    <w:name w:val="annotation text"/>
    <w:basedOn w:val="Normale"/>
    <w:link w:val="TestocommentoCarattere"/>
    <w:locked/>
    <w:rsid w:val="000E579E"/>
    <w:rPr>
      <w:sz w:val="20"/>
      <w:szCs w:val="20"/>
    </w:rPr>
  </w:style>
  <w:style w:type="character" w:customStyle="1" w:styleId="TestocommentoCarattere">
    <w:name w:val="Testo commento Carattere"/>
    <w:link w:val="Testocommento"/>
    <w:rsid w:val="000E579E"/>
    <w:rPr>
      <w:rFonts w:eastAsia="ヒラギノ角ゴ Pro W3"/>
      <w:color w:val="000000"/>
      <w:lang w:val="en-US" w:eastAsia="en-US"/>
    </w:rPr>
  </w:style>
  <w:style w:type="paragraph" w:styleId="Soggettocommento">
    <w:name w:val="annotation subject"/>
    <w:basedOn w:val="Testocommento"/>
    <w:next w:val="Testocommento"/>
    <w:link w:val="SoggettocommentoCarattere"/>
    <w:locked/>
    <w:rsid w:val="000E579E"/>
    <w:rPr>
      <w:b/>
      <w:bCs/>
    </w:rPr>
  </w:style>
  <w:style w:type="character" w:customStyle="1" w:styleId="SoggettocommentoCarattere">
    <w:name w:val="Soggetto commento Carattere"/>
    <w:link w:val="Soggettocommento"/>
    <w:rsid w:val="000E579E"/>
    <w:rPr>
      <w:rFonts w:eastAsia="ヒラギノ角ゴ Pro W3"/>
      <w:b/>
      <w:bCs/>
      <w:color w:val="000000"/>
      <w:lang w:val="en-US" w:eastAsia="en-US"/>
    </w:rPr>
  </w:style>
  <w:style w:type="character" w:styleId="Collegamentoipertestuale">
    <w:name w:val="Hyperlink"/>
    <w:uiPriority w:val="99"/>
    <w:unhideWhenUsed/>
    <w:locked/>
    <w:rsid w:val="00AC5414"/>
    <w:rPr>
      <w:color w:val="0000FF"/>
      <w:u w:val="single"/>
    </w:rPr>
  </w:style>
  <w:style w:type="paragraph" w:styleId="Paragrafoelenco">
    <w:name w:val="List Paragraph"/>
    <w:aliases w:val="Akapit z listą BS"/>
    <w:basedOn w:val="Normale"/>
    <w:link w:val="ParagrafoelencoCarattere"/>
    <w:autoRedefine/>
    <w:uiPriority w:val="34"/>
    <w:qFormat/>
    <w:rsid w:val="003B331F"/>
    <w:pPr>
      <w:numPr>
        <w:numId w:val="2"/>
      </w:numPr>
      <w:tabs>
        <w:tab w:val="left" w:pos="0"/>
        <w:tab w:val="left" w:pos="624"/>
        <w:tab w:val="left" w:pos="1065"/>
      </w:tabs>
      <w:spacing w:before="200" w:after="200" w:line="276" w:lineRule="auto"/>
      <w:ind w:left="0" w:firstLine="0"/>
      <w:jc w:val="both"/>
    </w:pPr>
    <w:rPr>
      <w:rFonts w:ascii="Calibri" w:eastAsia="Calibri" w:hAnsi="Calibri"/>
      <w:color w:val="auto"/>
      <w:sz w:val="22"/>
      <w:szCs w:val="20"/>
    </w:rPr>
  </w:style>
  <w:style w:type="character" w:customStyle="1" w:styleId="ParagrafoelencoCarattere">
    <w:name w:val="Paragrafo elenco Carattere"/>
    <w:aliases w:val="Akapit z listą BS Carattere"/>
    <w:link w:val="Paragrafoelenco"/>
    <w:uiPriority w:val="34"/>
    <w:rsid w:val="003B331F"/>
    <w:rPr>
      <w:rFonts w:ascii="Calibri" w:eastAsia="Calibri" w:hAnsi="Calibri"/>
      <w:sz w:val="22"/>
      <w:lang w:val="en-US" w:eastAsia="en-US"/>
    </w:rPr>
  </w:style>
  <w:style w:type="paragraph" w:styleId="Didascalia">
    <w:name w:val="caption"/>
    <w:basedOn w:val="Normale"/>
    <w:next w:val="Normale"/>
    <w:unhideWhenUsed/>
    <w:qFormat/>
    <w:locked/>
    <w:rsid w:val="00936206"/>
    <w:rPr>
      <w:b/>
      <w:bCs/>
      <w:sz w:val="20"/>
      <w:szCs w:val="20"/>
    </w:rPr>
  </w:style>
  <w:style w:type="table" w:styleId="Grigliatabella">
    <w:name w:val="Table Grid"/>
    <w:basedOn w:val="Tabellanormale"/>
    <w:uiPriority w:val="59"/>
    <w:locked/>
    <w:rsid w:val="00936206"/>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notaapidipagina">
    <w:name w:val="footnote text"/>
    <w:basedOn w:val="Normale"/>
    <w:link w:val="TestonotaapidipaginaCarattere"/>
    <w:locked/>
    <w:rsid w:val="00DF75C0"/>
    <w:rPr>
      <w:sz w:val="20"/>
      <w:szCs w:val="20"/>
    </w:rPr>
  </w:style>
  <w:style w:type="character" w:customStyle="1" w:styleId="TestonotaapidipaginaCarattere">
    <w:name w:val="Testo nota a piè di pagina Carattere"/>
    <w:link w:val="Testonotaapidipagina"/>
    <w:rsid w:val="00DF75C0"/>
    <w:rPr>
      <w:rFonts w:eastAsia="ヒラギノ角ゴ Pro W3"/>
      <w:color w:val="000000"/>
      <w:lang w:val="en-US" w:eastAsia="en-US"/>
    </w:rPr>
  </w:style>
  <w:style w:type="character" w:styleId="Rimandonotaapidipagina">
    <w:name w:val="footnote reference"/>
    <w:locked/>
    <w:rsid w:val="00DF75C0"/>
    <w:rPr>
      <w:vertAlign w:val="superscript"/>
    </w:rPr>
  </w:style>
  <w:style w:type="paragraph" w:customStyle="1" w:styleId="Default">
    <w:name w:val="Default"/>
    <w:rsid w:val="00416A04"/>
    <w:pPr>
      <w:autoSpaceDE w:val="0"/>
      <w:autoSpaceDN w:val="0"/>
      <w:adjustRightInd w:val="0"/>
    </w:pPr>
    <w:rPr>
      <w:rFonts w:ascii="Calibri" w:hAnsi="Calibri" w:cs="Calibri"/>
      <w:color w:val="000000"/>
      <w:lang w:val="it-IT" w:eastAsia="it-IT"/>
    </w:rPr>
  </w:style>
  <w:style w:type="paragraph" w:styleId="Revisione">
    <w:name w:val="Revision"/>
    <w:hidden/>
    <w:uiPriority w:val="71"/>
    <w:rsid w:val="00C46018"/>
    <w:rPr>
      <w:rFonts w:eastAsia="ヒラギノ角ゴ Pro W3"/>
      <w:color w:val="000000"/>
    </w:rPr>
  </w:style>
  <w:style w:type="paragraph" w:customStyle="1" w:styleId="Pa22">
    <w:name w:val="Pa22"/>
    <w:basedOn w:val="Default"/>
    <w:next w:val="Default"/>
    <w:uiPriority w:val="99"/>
    <w:rsid w:val="00B82533"/>
    <w:pPr>
      <w:spacing w:line="181" w:lineRule="atLeast"/>
    </w:pPr>
    <w:rPr>
      <w:rFonts w:ascii="Times New Roman" w:hAnsi="Times New Roman" w:cs="Times New Roman"/>
      <w:color w:val="auto"/>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locked="0" w:uiPriority="67"/>
    <w:lsdException w:name="No Spacing" w:locked="0" w:uiPriority="68"/>
    <w:lsdException w:name="Light Shading" w:locked="0" w:uiPriority="69"/>
    <w:lsdException w:name="Light List" w:locked="0" w:uiPriority="70"/>
    <w:lsdException w:name="Light Grid" w:locked="0" w:uiPriority="71"/>
    <w:lsdException w:name="Medium Shading 1" w:locked="0" w:uiPriority="72"/>
    <w:lsdException w:name="Medium Shading 2" w:locked="0" w:uiPriority="73"/>
    <w:lsdException w:name="Medium List 1" w:locked="0" w:uiPriority="60"/>
    <w:lsdException w:name="Medium List 2" w:locked="0" w:uiPriority="61"/>
    <w:lsdException w:name="Medium Grid 1" w:locked="0" w:uiPriority="62"/>
    <w:lsdException w:name="Medium Grid 2" w:locked="0" w:uiPriority="63"/>
    <w:lsdException w:name="Medium Grid 3" w:locked="0" w:uiPriority="64"/>
    <w:lsdException w:name="Dark List" w:locked="0" w:uiPriority="65"/>
    <w:lsdException w:name="Colorful Shading" w:locked="0" w:semiHidden="1" w:uiPriority="99"/>
    <w:lsdException w:name="Colorful List" w:locked="0" w:uiPriority="34" w:qFormat="1"/>
    <w:lsdException w:name="Colorful Grid" w:locked="0" w:uiPriority="29" w:qFormat="1"/>
    <w:lsdException w:name="Light Shading Accent 1" w:locked="0" w:uiPriority="30" w:qFormat="1"/>
    <w:lsdException w:name="Light List Accent 1" w:locked="0" w:uiPriority="66"/>
    <w:lsdException w:name="Light Grid Accent 1" w:locked="0" w:uiPriority="67"/>
    <w:lsdException w:name="Medium Shading 1 Accent 1" w:locked="0" w:uiPriority="68"/>
    <w:lsdException w:name="Medium Shading 2 Accent 1" w:locked="0" w:uiPriority="69"/>
    <w:lsdException w:name="Medium List 1 Accent 1" w:locked="0" w:uiPriority="70"/>
    <w:lsdException w:name="Revision" w:locked="0" w:uiPriority="71"/>
    <w:lsdException w:name="List Paragraph" w:locked="0" w:uiPriority="72"/>
    <w:lsdException w:name="Quote" w:locked="0" w:uiPriority="73"/>
    <w:lsdException w:name="Intense Quote" w:locked="0" w:uiPriority="60"/>
    <w:lsdException w:name="Medium List 2 Accent 1" w:locked="0" w:uiPriority="61"/>
    <w:lsdException w:name="Medium Grid 1 Accent 1" w:locked="0" w:uiPriority="62"/>
    <w:lsdException w:name="Medium Grid 2 Accent 1" w:locked="0" w:uiPriority="63"/>
    <w:lsdException w:name="Medium Grid 3 Accent 1" w:locked="0" w:uiPriority="64"/>
    <w:lsdException w:name="Dark List Accent 1" w:locked="0" w:uiPriority="65"/>
    <w:lsdException w:name="Colorful Shading Accent 1" w:locked="0" w:uiPriority="66"/>
    <w:lsdException w:name="Colorful List Accent 1" w:locked="0" w:uiPriority="67"/>
    <w:lsdException w:name="Colorful Grid Accent 1" w:locked="0" w:uiPriority="68"/>
    <w:lsdException w:name="Light Shading Accent 2" w:locked="0" w:uiPriority="69"/>
    <w:lsdException w:name="Light List Accent 2" w:locked="0" w:uiPriority="70"/>
    <w:lsdException w:name="Light Grid Accent 2" w:locked="0" w:uiPriority="71"/>
    <w:lsdException w:name="Medium Shading 1 Accent 2" w:locked="0" w:uiPriority="72"/>
    <w:lsdException w:name="Medium Shading 2 Accent 2" w:locked="0" w:uiPriority="73"/>
    <w:lsdException w:name="Medium List 1 Accent 2" w:locked="0" w:uiPriority="60"/>
    <w:lsdException w:name="Medium List 2 Accent 2" w:locked="0" w:uiPriority="61"/>
    <w:lsdException w:name="Medium Grid 1 Accent 2" w:locked="0" w:uiPriority="62"/>
    <w:lsdException w:name="Medium Grid 2 Accent 2" w:locked="0" w:uiPriority="63"/>
    <w:lsdException w:name="Medium Grid 3 Accent 2" w:locked="0" w:uiPriority="64"/>
    <w:lsdException w:name="Dark List Accent 2" w:locked="0" w:uiPriority="65"/>
    <w:lsdException w:name="Colorful Shading Accent 2" w:locked="0" w:uiPriority="66"/>
    <w:lsdException w:name="Colorful List Accent 2" w:locked="0" w:uiPriority="67"/>
    <w:lsdException w:name="Colorful Grid Accent 2" w:locked="0" w:uiPriority="68"/>
    <w:lsdException w:name="Light Shading Accent 3" w:locked="0" w:uiPriority="69"/>
    <w:lsdException w:name="Light List Accent 3" w:locked="0" w:uiPriority="70"/>
    <w:lsdException w:name="Light Grid Accent 3" w:locked="0" w:uiPriority="71"/>
    <w:lsdException w:name="Medium Shading 1 Accent 3" w:locked="0" w:uiPriority="72"/>
    <w:lsdException w:name="Medium Shading 2 Accent 3" w:locked="0" w:uiPriority="73"/>
    <w:lsdException w:name="Medium List 1 Accent 3" w:locked="0" w:uiPriority="60"/>
    <w:lsdException w:name="Medium List 2 Accent 3" w:locked="0" w:uiPriority="61"/>
    <w:lsdException w:name="Medium Grid 1 Accent 3" w:locked="0" w:uiPriority="62"/>
    <w:lsdException w:name="Medium Grid 2 Accent 3" w:locked="0" w:uiPriority="63"/>
    <w:lsdException w:name="Medium Grid 3 Accent 3" w:locked="0" w:uiPriority="64"/>
    <w:lsdException w:name="Dark List Accent 3" w:locked="0" w:uiPriority="65"/>
    <w:lsdException w:name="Colorful Shading Accent 3" w:locked="0" w:uiPriority="66"/>
    <w:lsdException w:name="Colorful List Accent 3" w:locked="0" w:uiPriority="67"/>
    <w:lsdException w:name="Colorful Grid Accent 3" w:locked="0" w:uiPriority="68"/>
    <w:lsdException w:name="Light Shading Accent 4" w:locked="0" w:uiPriority="69"/>
    <w:lsdException w:name="Light List Accent 4" w:locked="0" w:uiPriority="70"/>
    <w:lsdException w:name="Light Grid Accent 4" w:locked="0" w:uiPriority="71"/>
    <w:lsdException w:name="Medium Shading 1 Accent 4" w:locked="0" w:uiPriority="72"/>
    <w:lsdException w:name="Medium Shading 2 Accent 4" w:locked="0" w:uiPriority="73"/>
    <w:lsdException w:name="Medium List 1 Accent 4" w:locked="0" w:uiPriority="60"/>
    <w:lsdException w:name="Medium List 2 Accent 4" w:locked="0" w:uiPriority="61"/>
    <w:lsdException w:name="Medium Grid 1 Accent 4" w:locked="0" w:uiPriority="62"/>
    <w:lsdException w:name="Medium Grid 2 Accent 4" w:locked="0" w:uiPriority="63"/>
    <w:lsdException w:name="Medium Grid 3 Accent 4" w:locked="0" w:uiPriority="64"/>
    <w:lsdException w:name="Dark List Accent 4" w:locked="0" w:uiPriority="65"/>
    <w:lsdException w:name="Colorful Shading Accent 4" w:locked="0" w:uiPriority="66"/>
    <w:lsdException w:name="Colorful List Accent 4" w:locked="0" w:uiPriority="67"/>
    <w:lsdException w:name="Colorful Grid Accent 4" w:locked="0" w:uiPriority="68"/>
    <w:lsdException w:name="Light Shading Accent 5" w:locked="0" w:uiPriority="69"/>
    <w:lsdException w:name="Light List Accent 5" w:locked="0" w:uiPriority="70"/>
    <w:lsdException w:name="Light Grid Accent 5" w:locked="0" w:uiPriority="71"/>
    <w:lsdException w:name="Medium Shading 1 Accent 5" w:locked="0" w:uiPriority="72"/>
    <w:lsdException w:name="Medium Shading 2 Accent 5" w:locked="0" w:uiPriority="73"/>
    <w:lsdException w:name="Medium List 1 Accent 5" w:locked="0" w:uiPriority="60"/>
    <w:lsdException w:name="Medium List 2 Accent 5" w:locked="0" w:uiPriority="61"/>
    <w:lsdException w:name="Medium Grid 1 Accent 5" w:locked="0" w:uiPriority="62"/>
    <w:lsdException w:name="Medium Grid 2 Accent 5" w:locked="0" w:uiPriority="63"/>
    <w:lsdException w:name="Medium Grid 3 Accent 5" w:locked="0" w:uiPriority="64"/>
    <w:lsdException w:name="Dark List Accent 5" w:locked="0" w:uiPriority="65"/>
    <w:lsdException w:name="Colorful Shading Accent 5" w:locked="0" w:uiPriority="66"/>
    <w:lsdException w:name="Colorful List Accent 5" w:locked="0" w:uiPriority="67"/>
    <w:lsdException w:name="Colorful Grid Accent 5" w:locked="0" w:uiPriority="68"/>
    <w:lsdException w:name="Light Shading Accent 6" w:locked="0" w:uiPriority="69"/>
    <w:lsdException w:name="Light List Accent 6" w:locked="0" w:uiPriority="70"/>
    <w:lsdException w:name="Light Grid Accent 6" w:locked="0" w:uiPriority="71"/>
    <w:lsdException w:name="Medium Shading 1 Accent 6" w:locked="0" w:uiPriority="72"/>
    <w:lsdException w:name="Medium Shading 2 Accent 6" w:locked="0" w:uiPriority="73"/>
    <w:lsdException w:name="Medium List 1 Accent 6" w:locked="0" w:uiPriority="19" w:qFormat="1"/>
    <w:lsdException w:name="Medium List 2 Accent 6" w:locked="0" w:uiPriority="21" w:qFormat="1"/>
    <w:lsdException w:name="Medium Grid 1 Accent 6" w:locked="0" w:uiPriority="31" w:qFormat="1"/>
    <w:lsdException w:name="Medium Grid 2 Accent 6" w:locked="0" w:uiPriority="32" w:qFormat="1"/>
    <w:lsdException w:name="Medium Grid 3 Accent 6" w:locked="0" w:uiPriority="33" w:qFormat="1"/>
    <w:lsdException w:name="Dark List Accent 6" w:locked="0" w:semiHidden="1" w:uiPriority="37" w:unhideWhenUsed="1"/>
    <w:lsdException w:name="Colorful Shading Accent 6" w:locked="0" w:semiHidden="1" w:uiPriority="39" w:unhideWhenUsed="1" w:qFormat="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e">
    <w:name w:val="Normal"/>
    <w:qFormat/>
    <w:rPr>
      <w:rFonts w:eastAsia="ヒラギノ角ゴ Pro W3"/>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FreeForm">
    <w:name w:val="Free Form"/>
    <w:rPr>
      <w:rFonts w:ascii="Lucida Grande" w:eastAsia="ヒラギノ角ゴ Pro W3" w:hAnsi="Lucida Grande"/>
      <w:color w:val="000000"/>
      <w:lang w:val="en-GB" w:eastAsia="en-GB"/>
    </w:rPr>
  </w:style>
  <w:style w:type="paragraph" w:customStyle="1" w:styleId="Footer1">
    <w:name w:val="Footer1"/>
    <w:pPr>
      <w:tabs>
        <w:tab w:val="center" w:pos="4513"/>
        <w:tab w:val="right" w:pos="9026"/>
      </w:tabs>
    </w:pPr>
    <w:rPr>
      <w:rFonts w:eastAsia="ヒラギノ角ゴ Pro W3"/>
      <w:color w:val="000000"/>
      <w:lang w:eastAsia="en-GB"/>
    </w:rPr>
  </w:style>
  <w:style w:type="character" w:customStyle="1" w:styleId="Hyperlink1">
    <w:name w:val="Hyperlink1"/>
    <w:rPr>
      <w:color w:val="0000FF"/>
      <w:sz w:val="20"/>
      <w:u w:val="single"/>
    </w:rPr>
  </w:style>
  <w:style w:type="character" w:customStyle="1" w:styleId="CommentReference1">
    <w:name w:val="Comment Reference1"/>
    <w:rPr>
      <w:color w:val="000000"/>
      <w:sz w:val="16"/>
    </w:rPr>
  </w:style>
  <w:style w:type="paragraph" w:customStyle="1" w:styleId="CommentText1">
    <w:name w:val="Comment Text1"/>
    <w:rPr>
      <w:rFonts w:eastAsia="ヒラギノ角ゴ Pro W3"/>
      <w:color w:val="000000"/>
      <w:lang w:eastAsia="en-GB"/>
    </w:rPr>
  </w:style>
  <w:style w:type="character" w:customStyle="1" w:styleId="FootnoteReference1">
    <w:name w:val="Footnote Reference1"/>
    <w:aliases w:val="ESPON Footnote No"/>
    <w:rPr>
      <w:color w:val="000000"/>
      <w:sz w:val="20"/>
      <w:vertAlign w:val="superscript"/>
    </w:rPr>
  </w:style>
  <w:style w:type="paragraph" w:customStyle="1" w:styleId="FootnoteText1">
    <w:name w:val="Footnote Text1"/>
    <w:aliases w:val="stile 1,Footnote,Footnote1,Footnote2,Footnote3,Footnote4,Footnote5,Footnote6,Footnote7,Footnote8,Footnote9,Footnote10,Footnote11,Footnote21,Footnote31,Footnote41,Footnote51,Footnote61,Footnote71,Footnote81,Footnote91"/>
    <w:rPr>
      <w:rFonts w:eastAsia="ヒラギノ角ゴ Pro W3"/>
      <w:color w:val="000000"/>
      <w:lang w:val="en-GB" w:eastAsia="en-GB"/>
    </w:rPr>
  </w:style>
  <w:style w:type="paragraph" w:customStyle="1" w:styleId="Heading2A">
    <w:name w:val="Heading 2 A"/>
    <w:next w:val="Normale"/>
    <w:pPr>
      <w:keepNext/>
      <w:spacing w:before="240" w:after="60"/>
      <w:outlineLvl w:val="1"/>
    </w:pPr>
    <w:rPr>
      <w:rFonts w:ascii="Lucida Grande" w:eastAsia="ヒラギノ角ゴ Pro W3" w:hAnsi="Lucida Grande"/>
      <w:b/>
      <w:color w:val="000000"/>
      <w:sz w:val="28"/>
      <w:lang w:eastAsia="en-GB"/>
    </w:rPr>
  </w:style>
  <w:style w:type="character" w:customStyle="1" w:styleId="Unknown0">
    <w:name w:val="Unknown 0"/>
    <w:semiHidden/>
  </w:style>
  <w:style w:type="paragraph" w:customStyle="1" w:styleId="BodyText1">
    <w:name w:val="Body Text1"/>
    <w:pPr>
      <w:widowControl w:val="0"/>
      <w:suppressAutoHyphens/>
      <w:spacing w:before="360" w:line="480" w:lineRule="auto"/>
      <w:jc w:val="both"/>
    </w:pPr>
    <w:rPr>
      <w:rFonts w:ascii="Arial" w:eastAsia="ヒラギノ角ゴ Pro W3" w:hAnsi="Arial"/>
      <w:color w:val="000000"/>
      <w:lang w:val="fr-FR" w:eastAsia="en-GB"/>
    </w:rPr>
  </w:style>
  <w:style w:type="paragraph" w:customStyle="1" w:styleId="Heading1A">
    <w:name w:val="Heading 1 A"/>
    <w:next w:val="Normale"/>
    <w:pPr>
      <w:keepNext/>
      <w:spacing w:before="240" w:after="60"/>
      <w:outlineLvl w:val="0"/>
    </w:pPr>
    <w:rPr>
      <w:rFonts w:ascii="Lucida Grande" w:eastAsia="ヒラギノ角ゴ Pro W3" w:hAnsi="Lucida Grande"/>
      <w:b/>
      <w:color w:val="000000"/>
      <w:kern w:val="32"/>
      <w:sz w:val="32"/>
      <w:lang w:eastAsia="en-GB"/>
    </w:rPr>
  </w:style>
  <w:style w:type="paragraph" w:styleId="Testofumetto">
    <w:name w:val="Balloon Text"/>
    <w:basedOn w:val="Normale"/>
    <w:link w:val="TestofumettoCarattere"/>
    <w:locked/>
    <w:rsid w:val="003C4D46"/>
    <w:rPr>
      <w:rFonts w:ascii="Tahoma" w:hAnsi="Tahoma" w:cs="Tahoma"/>
      <w:sz w:val="16"/>
      <w:szCs w:val="16"/>
    </w:rPr>
  </w:style>
  <w:style w:type="character" w:customStyle="1" w:styleId="TestofumettoCarattere">
    <w:name w:val="Testo fumetto Carattere"/>
    <w:link w:val="Testofumetto"/>
    <w:rsid w:val="003C4D46"/>
    <w:rPr>
      <w:rFonts w:ascii="Tahoma" w:eastAsia="ヒラギノ角ゴ Pro W3" w:hAnsi="Tahoma" w:cs="Tahoma"/>
      <w:color w:val="000000"/>
      <w:sz w:val="16"/>
      <w:szCs w:val="16"/>
      <w:lang w:val="en-US" w:eastAsia="en-US"/>
    </w:rPr>
  </w:style>
  <w:style w:type="character" w:styleId="Rimandocommento">
    <w:name w:val="annotation reference"/>
    <w:locked/>
    <w:rsid w:val="000E579E"/>
    <w:rPr>
      <w:sz w:val="16"/>
      <w:szCs w:val="16"/>
    </w:rPr>
  </w:style>
  <w:style w:type="paragraph" w:styleId="Testocommento">
    <w:name w:val="annotation text"/>
    <w:basedOn w:val="Normale"/>
    <w:link w:val="TestocommentoCarattere"/>
    <w:locked/>
    <w:rsid w:val="000E579E"/>
    <w:rPr>
      <w:sz w:val="20"/>
      <w:szCs w:val="20"/>
    </w:rPr>
  </w:style>
  <w:style w:type="character" w:customStyle="1" w:styleId="TestocommentoCarattere">
    <w:name w:val="Testo commento Carattere"/>
    <w:link w:val="Testocommento"/>
    <w:rsid w:val="000E579E"/>
    <w:rPr>
      <w:rFonts w:eastAsia="ヒラギノ角ゴ Pro W3"/>
      <w:color w:val="000000"/>
      <w:lang w:val="en-US" w:eastAsia="en-US"/>
    </w:rPr>
  </w:style>
  <w:style w:type="paragraph" w:styleId="Soggettocommento">
    <w:name w:val="annotation subject"/>
    <w:basedOn w:val="Testocommento"/>
    <w:next w:val="Testocommento"/>
    <w:link w:val="SoggettocommentoCarattere"/>
    <w:locked/>
    <w:rsid w:val="000E579E"/>
    <w:rPr>
      <w:b/>
      <w:bCs/>
    </w:rPr>
  </w:style>
  <w:style w:type="character" w:customStyle="1" w:styleId="SoggettocommentoCarattere">
    <w:name w:val="Soggetto commento Carattere"/>
    <w:link w:val="Soggettocommento"/>
    <w:rsid w:val="000E579E"/>
    <w:rPr>
      <w:rFonts w:eastAsia="ヒラギノ角ゴ Pro W3"/>
      <w:b/>
      <w:bCs/>
      <w:color w:val="000000"/>
      <w:lang w:val="en-US" w:eastAsia="en-US"/>
    </w:rPr>
  </w:style>
  <w:style w:type="character" w:styleId="Collegamentoipertestuale">
    <w:name w:val="Hyperlink"/>
    <w:uiPriority w:val="99"/>
    <w:unhideWhenUsed/>
    <w:locked/>
    <w:rsid w:val="00AC5414"/>
    <w:rPr>
      <w:color w:val="0000FF"/>
      <w:u w:val="single"/>
    </w:rPr>
  </w:style>
  <w:style w:type="paragraph" w:styleId="Paragrafoelenco">
    <w:name w:val="List Paragraph"/>
    <w:aliases w:val="Akapit z listą BS"/>
    <w:basedOn w:val="Normale"/>
    <w:link w:val="ParagrafoelencoCarattere"/>
    <w:autoRedefine/>
    <w:uiPriority w:val="34"/>
    <w:qFormat/>
    <w:rsid w:val="003B331F"/>
    <w:pPr>
      <w:numPr>
        <w:numId w:val="2"/>
      </w:numPr>
      <w:tabs>
        <w:tab w:val="left" w:pos="0"/>
        <w:tab w:val="left" w:pos="624"/>
        <w:tab w:val="left" w:pos="1065"/>
      </w:tabs>
      <w:spacing w:before="200" w:after="200" w:line="276" w:lineRule="auto"/>
      <w:ind w:left="0" w:firstLine="0"/>
      <w:jc w:val="both"/>
    </w:pPr>
    <w:rPr>
      <w:rFonts w:ascii="Calibri" w:eastAsia="Calibri" w:hAnsi="Calibri"/>
      <w:color w:val="auto"/>
      <w:sz w:val="22"/>
      <w:szCs w:val="20"/>
    </w:rPr>
  </w:style>
  <w:style w:type="character" w:customStyle="1" w:styleId="ParagrafoelencoCarattere">
    <w:name w:val="Paragrafo elenco Carattere"/>
    <w:aliases w:val="Akapit z listą BS Carattere"/>
    <w:link w:val="Paragrafoelenco"/>
    <w:uiPriority w:val="34"/>
    <w:rsid w:val="003B331F"/>
    <w:rPr>
      <w:rFonts w:ascii="Calibri" w:eastAsia="Calibri" w:hAnsi="Calibri"/>
      <w:sz w:val="22"/>
      <w:lang w:val="en-US" w:eastAsia="en-US"/>
    </w:rPr>
  </w:style>
  <w:style w:type="paragraph" w:styleId="Didascalia">
    <w:name w:val="caption"/>
    <w:basedOn w:val="Normale"/>
    <w:next w:val="Normale"/>
    <w:unhideWhenUsed/>
    <w:qFormat/>
    <w:locked/>
    <w:rsid w:val="00936206"/>
    <w:rPr>
      <w:b/>
      <w:bCs/>
      <w:sz w:val="20"/>
      <w:szCs w:val="20"/>
    </w:rPr>
  </w:style>
  <w:style w:type="table" w:styleId="Grigliatabella">
    <w:name w:val="Table Grid"/>
    <w:basedOn w:val="Tabellanormale"/>
    <w:uiPriority w:val="59"/>
    <w:locked/>
    <w:rsid w:val="00936206"/>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notaapidipagina">
    <w:name w:val="footnote text"/>
    <w:basedOn w:val="Normale"/>
    <w:link w:val="TestonotaapidipaginaCarattere"/>
    <w:locked/>
    <w:rsid w:val="00DF75C0"/>
    <w:rPr>
      <w:sz w:val="20"/>
      <w:szCs w:val="20"/>
    </w:rPr>
  </w:style>
  <w:style w:type="character" w:customStyle="1" w:styleId="TestonotaapidipaginaCarattere">
    <w:name w:val="Testo nota a piè di pagina Carattere"/>
    <w:link w:val="Testonotaapidipagina"/>
    <w:rsid w:val="00DF75C0"/>
    <w:rPr>
      <w:rFonts w:eastAsia="ヒラギノ角ゴ Pro W3"/>
      <w:color w:val="000000"/>
      <w:lang w:val="en-US" w:eastAsia="en-US"/>
    </w:rPr>
  </w:style>
  <w:style w:type="character" w:styleId="Rimandonotaapidipagina">
    <w:name w:val="footnote reference"/>
    <w:locked/>
    <w:rsid w:val="00DF75C0"/>
    <w:rPr>
      <w:vertAlign w:val="superscript"/>
    </w:rPr>
  </w:style>
  <w:style w:type="paragraph" w:customStyle="1" w:styleId="Default">
    <w:name w:val="Default"/>
    <w:rsid w:val="00416A04"/>
    <w:pPr>
      <w:autoSpaceDE w:val="0"/>
      <w:autoSpaceDN w:val="0"/>
      <w:adjustRightInd w:val="0"/>
    </w:pPr>
    <w:rPr>
      <w:rFonts w:ascii="Calibri" w:hAnsi="Calibri" w:cs="Calibri"/>
      <w:color w:val="000000"/>
      <w:lang w:val="it-IT" w:eastAsia="it-IT"/>
    </w:rPr>
  </w:style>
  <w:style w:type="paragraph" w:styleId="Revisione">
    <w:name w:val="Revision"/>
    <w:hidden/>
    <w:uiPriority w:val="71"/>
    <w:rsid w:val="00C46018"/>
    <w:rPr>
      <w:rFonts w:eastAsia="ヒラギノ角ゴ Pro W3"/>
      <w:color w:val="000000"/>
    </w:rPr>
  </w:style>
  <w:style w:type="paragraph" w:customStyle="1" w:styleId="Pa22">
    <w:name w:val="Pa22"/>
    <w:basedOn w:val="Default"/>
    <w:next w:val="Default"/>
    <w:uiPriority w:val="99"/>
    <w:rsid w:val="00B82533"/>
    <w:pPr>
      <w:spacing w:line="181" w:lineRule="atLeast"/>
    </w:pPr>
    <w:rPr>
      <w:rFonts w:ascii="Times New Roman" w:hAnsi="Times New Roman" w:cs="Times New Roman"/>
      <w:color w:val="auto"/>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723419">
      <w:bodyDiv w:val="1"/>
      <w:marLeft w:val="0"/>
      <w:marRight w:val="0"/>
      <w:marTop w:val="0"/>
      <w:marBottom w:val="0"/>
      <w:divBdr>
        <w:top w:val="none" w:sz="0" w:space="0" w:color="auto"/>
        <w:left w:val="none" w:sz="0" w:space="0" w:color="auto"/>
        <w:bottom w:val="none" w:sz="0" w:space="0" w:color="auto"/>
        <w:right w:val="none" w:sz="0" w:space="0" w:color="auto"/>
      </w:divBdr>
    </w:div>
    <w:div w:id="1571889427">
      <w:bodyDiv w:val="1"/>
      <w:marLeft w:val="0"/>
      <w:marRight w:val="0"/>
      <w:marTop w:val="0"/>
      <w:marBottom w:val="0"/>
      <w:divBdr>
        <w:top w:val="none" w:sz="0" w:space="0" w:color="auto"/>
        <w:left w:val="none" w:sz="0" w:space="0" w:color="auto"/>
        <w:bottom w:val="none" w:sz="0" w:space="0" w:color="auto"/>
        <w:right w:val="none" w:sz="0" w:space="0" w:color="auto"/>
      </w:divBdr>
    </w:div>
    <w:div w:id="1720545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rpm.org/pub/agenda/1125_manifesto-emerging_stronger_from_the_crisis.pdf" TargetMode="External"/><Relationship Id="rId18" Type="http://schemas.openxmlformats.org/officeDocument/2006/relationships/hyperlink" Target="http://epp.eurostat.ec.europa.eu/portal/page/portal/eurostat/home/" TargetMode="External"/><Relationship Id="rId26" Type="http://schemas.openxmlformats.org/officeDocument/2006/relationships/hyperlink" Target="http://www.espon.eu/export/sites/default/Documents/Projects/TargetedAnalyses/PURR/PURR_DFR.pdf" TargetMode="External"/><Relationship Id="rId3" Type="http://schemas.openxmlformats.org/officeDocument/2006/relationships/styles" Target="styles.xml"/><Relationship Id="rId21" Type="http://schemas.openxmlformats.org/officeDocument/2006/relationships/hyperlink" Target="http://www.eu2011.hu/files/bveu/documents/TA2020.pdf"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commin.org/en/planning-systems/national-planning-systems/nations.html" TargetMode="External"/><Relationship Id="rId17" Type="http://schemas.openxmlformats.org/officeDocument/2006/relationships/hyperlink" Target="http://www.eua.be/news/09-11-13/EUA_delegation_visit_to_Latvia_focuses_on_higher_education_funding_and_reforms.aspx" TargetMode="External"/><Relationship Id="rId25" Type="http://schemas.openxmlformats.org/officeDocument/2006/relationships/hyperlink" Target="http://kcl.qc.uk/content/1/c6/03/46/00/wp9b.pdf"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ec.europa.eu/regional_policy/consultation/terco/contrib_en.htm" TargetMode="External"/><Relationship Id="rId20" Type="http://schemas.openxmlformats.org/officeDocument/2006/relationships/hyperlink" Target="http://ec.europa.eu/regional_policy/consultation/terco/pdf/lookingglass.pdf" TargetMode="External"/><Relationship Id="rId29" Type="http://schemas.openxmlformats.org/officeDocument/2006/relationships/hyperlink" Target="http://eur-lex.europa.eu/en/treaties/index.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umboldt-foundation.de" TargetMode="External"/><Relationship Id="rId24" Type="http://schemas.openxmlformats.org/officeDocument/2006/relationships/hyperlink" Target="http://ec.europa.eu/regional_policy/consultation/terco/contrib_en.htm"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ec.europa.eu/regional_policy/sources/docoffic/official/communic/baltic/com_baltic_en.pdf" TargetMode="External"/><Relationship Id="rId23" Type="http://schemas.openxmlformats.org/officeDocument/2006/relationships/hyperlink" Target="http://ec.europa.eu/regional_policy/consultation/terco/contrib_en.htm" TargetMode="External"/><Relationship Id="rId28" Type="http://schemas.openxmlformats.org/officeDocument/2006/relationships/hyperlink" Target="http://eur-lex.europa.eu/en/treaties/index.htm" TargetMode="External"/><Relationship Id="rId36" Type="http://schemas.openxmlformats.org/officeDocument/2006/relationships/fontTable" Target="fontTable.xml"/><Relationship Id="rId10" Type="http://schemas.openxmlformats.org/officeDocument/2006/relationships/hyperlink" Target="mailto:cotella@rhrk.uni-kl.de" TargetMode="External"/><Relationship Id="rId19" Type="http://schemas.openxmlformats.org/officeDocument/2006/relationships/hyperlink" Target="http://www.eukn.org/binaries/eukn/netherlands/research/2009/07/tia_tc_webversie.pdf" TargetMode="External"/><Relationship Id="rId31" Type="http://schemas.openxmlformats.org/officeDocument/2006/relationships/hyperlink" Target="http://www.vasab.org/conference/page/67" TargetMode="External"/><Relationship Id="rId4" Type="http://schemas.microsoft.com/office/2007/relationships/stylesWithEffects" Target="stylesWithEffects.xml"/><Relationship Id="rId9" Type="http://schemas.openxmlformats.org/officeDocument/2006/relationships/hyperlink" Target="mailto:adamsn3@lsbu.ac.uk" TargetMode="External"/><Relationship Id="rId14" Type="http://schemas.openxmlformats.org/officeDocument/2006/relationships/hyperlink" Target="http://www.eu-territorial-agenda.eu/Reference%20Documents/Territorial-Agenda-of-the-European-Union-Agreed-on-25-May-2007.pdf" TargetMode="External"/><Relationship Id="rId22" Type="http://schemas.openxmlformats.org/officeDocument/2006/relationships/hyperlink" Target="http://ec.europa.eu/governance/impact/background/docs/laeken_concl_en.pdf" TargetMode="External"/><Relationship Id="rId27" Type="http://schemas.openxmlformats.org/officeDocument/2006/relationships/hyperlink" Target="http://eur-lex.europa.eu/en/treaties/index.htm" TargetMode="External"/><Relationship Id="rId30" Type="http://schemas.openxmlformats.org/officeDocument/2006/relationships/hyperlink" Target="http://www.vasab.org/conference/upload/dokumenti/vasab_15.jpg" TargetMode="External"/><Relationship Id="rId35"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ec.europa.eu/regional_policy/archive/consultation/terco/consultation_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A0F876-C21B-451D-A7D8-5ACCBCEE9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38</Pages>
  <Words>11812</Words>
  <Characters>74629</Characters>
  <Application>Microsoft Office Word</Application>
  <DocSecurity>0</DocSecurity>
  <Lines>621</Lines>
  <Paragraphs>172</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Title</vt:lpstr>
      <vt:lpstr>Title</vt:lpstr>
      <vt:lpstr>Title</vt:lpstr>
    </vt:vector>
  </TitlesOfParts>
  <Company>Uni-KL</Company>
  <LinksUpToDate>false</LinksUpToDate>
  <CharactersWithSpaces>86269</CharactersWithSpaces>
  <SharedDoc>false</SharedDoc>
  <HLinks>
    <vt:vector size="162" baseType="variant">
      <vt:variant>
        <vt:i4>3604572</vt:i4>
      </vt:variant>
      <vt:variant>
        <vt:i4>78</vt:i4>
      </vt:variant>
      <vt:variant>
        <vt:i4>0</vt:i4>
      </vt:variant>
      <vt:variant>
        <vt:i4>5</vt:i4>
      </vt:variant>
      <vt:variant>
        <vt:lpwstr>http://www.vasab.org/conference/page/67</vt:lpwstr>
      </vt:variant>
      <vt:variant>
        <vt:lpwstr/>
      </vt:variant>
      <vt:variant>
        <vt:i4>2621509</vt:i4>
      </vt:variant>
      <vt:variant>
        <vt:i4>75</vt:i4>
      </vt:variant>
      <vt:variant>
        <vt:i4>0</vt:i4>
      </vt:variant>
      <vt:variant>
        <vt:i4>5</vt:i4>
      </vt:variant>
      <vt:variant>
        <vt:lpwstr>http://www.vasab.org/?id=72</vt:lpwstr>
      </vt:variant>
      <vt:variant>
        <vt:lpwstr/>
      </vt:variant>
      <vt:variant>
        <vt:i4>1245255</vt:i4>
      </vt:variant>
      <vt:variant>
        <vt:i4>72</vt:i4>
      </vt:variant>
      <vt:variant>
        <vt:i4>0</vt:i4>
      </vt:variant>
      <vt:variant>
        <vt:i4>5</vt:i4>
      </vt:variant>
      <vt:variant>
        <vt:lpwstr>http://www.vasab.org/conference/upload/dokumenti/vasab_15.jpg</vt:lpwstr>
      </vt:variant>
      <vt:variant>
        <vt:lpwstr/>
      </vt:variant>
      <vt:variant>
        <vt:i4>2555963</vt:i4>
      </vt:variant>
      <vt:variant>
        <vt:i4>69</vt:i4>
      </vt:variant>
      <vt:variant>
        <vt:i4>0</vt:i4>
      </vt:variant>
      <vt:variant>
        <vt:i4>5</vt:i4>
      </vt:variant>
      <vt:variant>
        <vt:lpwstr>http://eur-lex.europa.eu/en/treaties/index.htm</vt:lpwstr>
      </vt:variant>
      <vt:variant>
        <vt:lpwstr/>
      </vt:variant>
      <vt:variant>
        <vt:i4>2555963</vt:i4>
      </vt:variant>
      <vt:variant>
        <vt:i4>66</vt:i4>
      </vt:variant>
      <vt:variant>
        <vt:i4>0</vt:i4>
      </vt:variant>
      <vt:variant>
        <vt:i4>5</vt:i4>
      </vt:variant>
      <vt:variant>
        <vt:lpwstr>http://eur-lex.europa.eu/en/treaties/index.htm</vt:lpwstr>
      </vt:variant>
      <vt:variant>
        <vt:lpwstr/>
      </vt:variant>
      <vt:variant>
        <vt:i4>2555963</vt:i4>
      </vt:variant>
      <vt:variant>
        <vt:i4>63</vt:i4>
      </vt:variant>
      <vt:variant>
        <vt:i4>0</vt:i4>
      </vt:variant>
      <vt:variant>
        <vt:i4>5</vt:i4>
      </vt:variant>
      <vt:variant>
        <vt:lpwstr>http://eur-lex.europa.eu/en/treaties/index.htm</vt:lpwstr>
      </vt:variant>
      <vt:variant>
        <vt:lpwstr/>
      </vt:variant>
      <vt:variant>
        <vt:i4>2555963</vt:i4>
      </vt:variant>
      <vt:variant>
        <vt:i4>60</vt:i4>
      </vt:variant>
      <vt:variant>
        <vt:i4>0</vt:i4>
      </vt:variant>
      <vt:variant>
        <vt:i4>5</vt:i4>
      </vt:variant>
      <vt:variant>
        <vt:lpwstr>http://eur-lex.europa.eu/en/treaties/index.htm</vt:lpwstr>
      </vt:variant>
      <vt:variant>
        <vt:lpwstr/>
      </vt:variant>
      <vt:variant>
        <vt:i4>3997738</vt:i4>
      </vt:variant>
      <vt:variant>
        <vt:i4>57</vt:i4>
      </vt:variant>
      <vt:variant>
        <vt:i4>0</vt:i4>
      </vt:variant>
      <vt:variant>
        <vt:i4>5</vt:i4>
      </vt:variant>
      <vt:variant>
        <vt:lpwstr>http://www.espon.eu/main/Menu_Projects/Menu_TargetedAnalyses/purr.html</vt:lpwstr>
      </vt:variant>
      <vt:variant>
        <vt:lpwstr/>
      </vt:variant>
      <vt:variant>
        <vt:i4>6619148</vt:i4>
      </vt:variant>
      <vt:variant>
        <vt:i4>54</vt:i4>
      </vt:variant>
      <vt:variant>
        <vt:i4>0</vt:i4>
      </vt:variant>
      <vt:variant>
        <vt:i4>5</vt:i4>
      </vt:variant>
      <vt:variant>
        <vt:lpwstr>http://kcl.qc.uk/content/1/c6/03/46/00/wp9b.pdf</vt:lpwstr>
      </vt:variant>
      <vt:variant>
        <vt:lpwstr/>
      </vt:variant>
      <vt:variant>
        <vt:i4>5374010</vt:i4>
      </vt:variant>
      <vt:variant>
        <vt:i4>51</vt:i4>
      </vt:variant>
      <vt:variant>
        <vt:i4>0</vt:i4>
      </vt:variant>
      <vt:variant>
        <vt:i4>5</vt:i4>
      </vt:variant>
      <vt:variant>
        <vt:lpwstr>http://ec.europa.eu/regional_policy/consultation/terco/contrib_en.htm</vt:lpwstr>
      </vt:variant>
      <vt:variant>
        <vt:lpwstr/>
      </vt:variant>
      <vt:variant>
        <vt:i4>5374010</vt:i4>
      </vt:variant>
      <vt:variant>
        <vt:i4>48</vt:i4>
      </vt:variant>
      <vt:variant>
        <vt:i4>0</vt:i4>
      </vt:variant>
      <vt:variant>
        <vt:i4>5</vt:i4>
      </vt:variant>
      <vt:variant>
        <vt:lpwstr>http://ec.europa.eu/regional_policy/consultation/terco/contrib_en.htm</vt:lpwstr>
      </vt:variant>
      <vt:variant>
        <vt:lpwstr/>
      </vt:variant>
      <vt:variant>
        <vt:i4>44</vt:i4>
      </vt:variant>
      <vt:variant>
        <vt:i4>45</vt:i4>
      </vt:variant>
      <vt:variant>
        <vt:i4>0</vt:i4>
      </vt:variant>
      <vt:variant>
        <vt:i4>5</vt:i4>
      </vt:variant>
      <vt:variant>
        <vt:lpwstr>http://ec.europa.eu/governance/impact/background/docs/laeken_concl_en.pdf</vt:lpwstr>
      </vt:variant>
      <vt:variant>
        <vt:lpwstr/>
      </vt:variant>
      <vt:variant>
        <vt:i4>2359355</vt:i4>
      </vt:variant>
      <vt:variant>
        <vt:i4>42</vt:i4>
      </vt:variant>
      <vt:variant>
        <vt:i4>0</vt:i4>
      </vt:variant>
      <vt:variant>
        <vt:i4>5</vt:i4>
      </vt:variant>
      <vt:variant>
        <vt:lpwstr>http://www.bmvbs.de/Anlage/original_1005295/Territorial-Agenda-of-the-European-Union-Agreed-on-19-May-2011-accessible.pdf</vt:lpwstr>
      </vt:variant>
      <vt:variant>
        <vt:lpwstr/>
      </vt:variant>
      <vt:variant>
        <vt:i4>4063294</vt:i4>
      </vt:variant>
      <vt:variant>
        <vt:i4>39</vt:i4>
      </vt:variant>
      <vt:variant>
        <vt:i4>0</vt:i4>
      </vt:variant>
      <vt:variant>
        <vt:i4>5</vt:i4>
      </vt:variant>
      <vt:variant>
        <vt:lpwstr>http://ec.europa.eu/regional_policy/consultation/terco/pdf/lookingglass.pdf</vt:lpwstr>
      </vt:variant>
      <vt:variant>
        <vt:lpwstr/>
      </vt:variant>
      <vt:variant>
        <vt:i4>4980861</vt:i4>
      </vt:variant>
      <vt:variant>
        <vt:i4>36</vt:i4>
      </vt:variant>
      <vt:variant>
        <vt:i4>0</vt:i4>
      </vt:variant>
      <vt:variant>
        <vt:i4>5</vt:i4>
      </vt:variant>
      <vt:variant>
        <vt:lpwstr>http://www.eukn.org/binaries/eukn/netherlands/research/2009/07/tia_tc_webversie.pdf</vt:lpwstr>
      </vt:variant>
      <vt:variant>
        <vt:lpwstr/>
      </vt:variant>
      <vt:variant>
        <vt:i4>8257583</vt:i4>
      </vt:variant>
      <vt:variant>
        <vt:i4>33</vt:i4>
      </vt:variant>
      <vt:variant>
        <vt:i4>0</vt:i4>
      </vt:variant>
      <vt:variant>
        <vt:i4>5</vt:i4>
      </vt:variant>
      <vt:variant>
        <vt:lpwstr>http://epp.eurostat.ec.europa.eu/portal/page/portal/eurostat/home/</vt:lpwstr>
      </vt:variant>
      <vt:variant>
        <vt:lpwstr/>
      </vt:variant>
      <vt:variant>
        <vt:i4>1114132</vt:i4>
      </vt:variant>
      <vt:variant>
        <vt:i4>30</vt:i4>
      </vt:variant>
      <vt:variant>
        <vt:i4>0</vt:i4>
      </vt:variant>
      <vt:variant>
        <vt:i4>5</vt:i4>
      </vt:variant>
      <vt:variant>
        <vt:lpwstr>http://www.eua.be/news/09-11-13/EUA_delegation_visit_to_Latvia_focuses_on_higher_education_funding_and_reforms.aspx</vt:lpwstr>
      </vt:variant>
      <vt:variant>
        <vt:lpwstr/>
      </vt:variant>
      <vt:variant>
        <vt:i4>5374010</vt:i4>
      </vt:variant>
      <vt:variant>
        <vt:i4>27</vt:i4>
      </vt:variant>
      <vt:variant>
        <vt:i4>0</vt:i4>
      </vt:variant>
      <vt:variant>
        <vt:i4>5</vt:i4>
      </vt:variant>
      <vt:variant>
        <vt:lpwstr>http://ec.europa.eu/regional_policy/consultation/terco/contrib_en.htm</vt:lpwstr>
      </vt:variant>
      <vt:variant>
        <vt:lpwstr/>
      </vt:variant>
      <vt:variant>
        <vt:i4>6815861</vt:i4>
      </vt:variant>
      <vt:variant>
        <vt:i4>24</vt:i4>
      </vt:variant>
      <vt:variant>
        <vt:i4>0</vt:i4>
      </vt:variant>
      <vt:variant>
        <vt:i4>5</vt:i4>
      </vt:variant>
      <vt:variant>
        <vt:lpwstr>http://www.espon.eu/main/Menu_Projects/Menu_AppliedResearch/edora.html</vt:lpwstr>
      </vt:variant>
      <vt:variant>
        <vt:lpwstr/>
      </vt:variant>
      <vt:variant>
        <vt:i4>5701715</vt:i4>
      </vt:variant>
      <vt:variant>
        <vt:i4>21</vt:i4>
      </vt:variant>
      <vt:variant>
        <vt:i4>0</vt:i4>
      </vt:variant>
      <vt:variant>
        <vt:i4>5</vt:i4>
      </vt:variant>
      <vt:variant>
        <vt:lpwstr>http://ec.europa.eu/regional_policy/sources/docoffic/official/communic/baltic/com_baltic_en.pdf</vt:lpwstr>
      </vt:variant>
      <vt:variant>
        <vt:lpwstr/>
      </vt:variant>
      <vt:variant>
        <vt:i4>2162742</vt:i4>
      </vt:variant>
      <vt:variant>
        <vt:i4>18</vt:i4>
      </vt:variant>
      <vt:variant>
        <vt:i4>0</vt:i4>
      </vt:variant>
      <vt:variant>
        <vt:i4>5</vt:i4>
      </vt:variant>
      <vt:variant>
        <vt:lpwstr>http://www.bmvbs.de/Anlage/original_1005295/Territorial-Agenda-of-the-European-Union-Agreed-on-25-May-2007-accessible.pdf</vt:lpwstr>
      </vt:variant>
      <vt:variant>
        <vt:lpwstr/>
      </vt:variant>
      <vt:variant>
        <vt:i4>7471162</vt:i4>
      </vt:variant>
      <vt:variant>
        <vt:i4>15</vt:i4>
      </vt:variant>
      <vt:variant>
        <vt:i4>0</vt:i4>
      </vt:variant>
      <vt:variant>
        <vt:i4>5</vt:i4>
      </vt:variant>
      <vt:variant>
        <vt:lpwstr>http://www.crpm.org/pub/agenda/1125_manifesto-emerging_stronger_from_the_crisis.pdf</vt:lpwstr>
      </vt:variant>
      <vt:variant>
        <vt:lpwstr/>
      </vt:variant>
      <vt:variant>
        <vt:i4>65605</vt:i4>
      </vt:variant>
      <vt:variant>
        <vt:i4>12</vt:i4>
      </vt:variant>
      <vt:variant>
        <vt:i4>0</vt:i4>
      </vt:variant>
      <vt:variant>
        <vt:i4>5</vt:i4>
      </vt:variant>
      <vt:variant>
        <vt:lpwstr>http://www.lote.ut.ee/orb.aw/class=file/action=preview/id=950204/08_ESP_GC_required02.pdf</vt:lpwstr>
      </vt:variant>
      <vt:variant>
        <vt:lpwstr/>
      </vt:variant>
      <vt:variant>
        <vt:i4>720925</vt:i4>
      </vt:variant>
      <vt:variant>
        <vt:i4>9</vt:i4>
      </vt:variant>
      <vt:variant>
        <vt:i4>0</vt:i4>
      </vt:variant>
      <vt:variant>
        <vt:i4>5</vt:i4>
      </vt:variant>
      <vt:variant>
        <vt:lpwstr>http://commin.org/en/planning-systems/national-planning-systems/nations.html</vt:lpwstr>
      </vt:variant>
      <vt:variant>
        <vt:lpwstr/>
      </vt:variant>
      <vt:variant>
        <vt:i4>8</vt:i4>
      </vt:variant>
      <vt:variant>
        <vt:i4>6</vt:i4>
      </vt:variant>
      <vt:variant>
        <vt:i4>0</vt:i4>
      </vt:variant>
      <vt:variant>
        <vt:i4>5</vt:i4>
      </vt:variant>
      <vt:variant>
        <vt:lpwstr>mailto:rnunes@brookes.ac.uk</vt:lpwstr>
      </vt:variant>
      <vt:variant>
        <vt:lpwstr/>
      </vt:variant>
      <vt:variant>
        <vt:i4>4587529</vt:i4>
      </vt:variant>
      <vt:variant>
        <vt:i4>3</vt:i4>
      </vt:variant>
      <vt:variant>
        <vt:i4>0</vt:i4>
      </vt:variant>
      <vt:variant>
        <vt:i4>5</vt:i4>
      </vt:variant>
      <vt:variant>
        <vt:lpwstr>mailto:quancarlos@libero.it</vt:lpwstr>
      </vt:variant>
      <vt:variant>
        <vt:lpwstr/>
      </vt:variant>
      <vt:variant>
        <vt:i4>1310799</vt:i4>
      </vt:variant>
      <vt:variant>
        <vt:i4>0</vt:i4>
      </vt:variant>
      <vt:variant>
        <vt:i4>0</vt:i4>
      </vt:variant>
      <vt:variant>
        <vt:i4>5</vt:i4>
      </vt:variant>
      <vt:variant>
        <vt:lpwstr>mailto:adamsn3@lsbu.ac.uk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Giancarlo</dc:creator>
  <cp:lastModifiedBy>Quan</cp:lastModifiedBy>
  <cp:revision>19</cp:revision>
  <cp:lastPrinted>2011-10-31T12:16:00Z</cp:lastPrinted>
  <dcterms:created xsi:type="dcterms:W3CDTF">2012-07-12T17:28:00Z</dcterms:created>
  <dcterms:modified xsi:type="dcterms:W3CDTF">2012-07-12T18:10:00Z</dcterms:modified>
</cp:coreProperties>
</file>